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157063d425.htm"/>
      <w:bookmarkStart w:id="1" w:name="ksd157063d425"/>
      <w:bookmarkEnd w:id="0"/>
      <w:bookmarkEnd w:id="1"/>
      <w:r>
        <w:rPr>
          <w:rFonts w:ascii="Times New Roman" w:hAnsi="Times New Roman"/>
          <w:sz w:val="20"/>
        </w:rPr>
        <w:t xml:space="preserve">Filed by Cyclerion Therapeutics, Inc.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w:t>
      </w:r>
    </w:p>
    <w:p>
      <w:pPr>
        <w:pStyle w:val="TextBody"/>
        <w:bidi w:val="0"/>
        <w:spacing w:before="0" w:after="0"/>
        <w:jc w:val="right"/>
        <w:rPr>
          <w:rFonts w:ascii="Times New Roman" w:hAnsi="Times New Roman"/>
          <w:sz w:val="20"/>
        </w:rPr>
      </w:pPr>
      <w:r>
        <w:rPr>
          <w:rFonts w:ascii="Times New Roman" w:hAnsi="Times New Roman"/>
          <w:sz w:val="20"/>
        </w:rPr>
        <w:t xml:space="preserve">and deemed filed pursuant to Rule 14a-12 </w:t>
      </w:r>
    </w:p>
    <w:p>
      <w:pPr>
        <w:pStyle w:val="TextBody"/>
        <w:bidi w:val="0"/>
        <w:spacing w:before="0" w:after="0"/>
        <w:jc w:val="right"/>
        <w:rPr>
          <w:rFonts w:ascii="Times New Roman" w:hAnsi="Times New Roman"/>
          <w:sz w:val="20"/>
        </w:rPr>
      </w:pPr>
      <w:r>
        <w:rPr>
          <w:rFonts w:ascii="Times New Roman" w:hAnsi="Times New Roman"/>
          <w:sz w:val="20"/>
        </w:rPr>
        <w:t xml:space="preserve">under the Securities Exchange Act of 1934 </w:t>
      </w:r>
    </w:p>
    <w:p>
      <w:pPr>
        <w:pStyle w:val="TextBody"/>
        <w:bidi w:val="0"/>
        <w:spacing w:before="240" w:after="0"/>
        <w:jc w:val="right"/>
        <w:rPr>
          <w:rFonts w:ascii="Times New Roman" w:hAnsi="Times New Roman"/>
          <w:sz w:val="20"/>
        </w:rPr>
      </w:pPr>
      <w:r>
        <w:rPr>
          <w:rFonts w:ascii="Times New Roman" w:hAnsi="Times New Roman"/>
          <w:sz w:val="20"/>
        </w:rPr>
        <w:t xml:space="preserve">Subject Company: Cyclerion Therapeutics, Inc. </w:t>
      </w:r>
    </w:p>
    <w:p>
      <w:pPr>
        <w:pStyle w:val="TextBody"/>
        <w:bidi w:val="0"/>
        <w:spacing w:before="0" w:after="0"/>
        <w:jc w:val="right"/>
        <w:rPr>
          <w:rFonts w:ascii="Times New Roman" w:hAnsi="Times New Roman"/>
          <w:sz w:val="20"/>
        </w:rPr>
      </w:pPr>
      <w:r>
        <w:rPr>
          <w:rFonts w:ascii="Times New Roman" w:hAnsi="Times New Roman"/>
          <w:sz w:val="20"/>
        </w:rPr>
        <w:t xml:space="preserve">Commission File No.: 333-295175 </w:t>
      </w:r>
    </w:p>
    <w:p>
      <w:pPr>
        <w:pStyle w:val="TextBody"/>
        <w:bidi w:val="0"/>
        <w:spacing w:before="0" w:after="0"/>
        <w:jc w:val="right"/>
        <w:rPr>
          <w:rFonts w:ascii="Times New Roman" w:hAnsi="Times New Roman"/>
          <w:sz w:val="20"/>
        </w:rPr>
      </w:pPr>
      <w:r>
        <w:rPr>
          <w:rFonts w:ascii="Times New Roman" w:hAnsi="Times New Roman"/>
          <w:sz w:val="20"/>
        </w:rPr>
        <w:t xml:space="preserve">Date: August 3, 2026 </w:t>
      </w:r>
    </w:p>
    <w:p>
      <w:pPr>
        <w:pStyle w:val="TextBody"/>
        <w:bidi w:val="0"/>
        <w:spacing w:before="240" w:after="0"/>
        <w:jc w:val="left"/>
        <w:rPr>
          <w:rFonts w:ascii="Times New Roman" w:hAnsi="Times New Roman"/>
          <w:sz w:val="20"/>
        </w:rPr>
      </w:pPr>
      <w:r>
        <w:rPr>
          <w:rFonts w:ascii="Times New Roman" w:hAnsi="Times New Roman"/>
          <w:sz w:val="20"/>
        </w:rPr>
        <w:t>This filing relates to the proposed transaction pursuant to the terms of that certain Agreement and Plan of Merger and Reorganization dated as of April 1, 2026, by and among Cyclerion Therapeutics, Inc., a Massachusetts corporation (“</w:t>
      </w:r>
      <w:r>
        <w:rPr>
          <w:rFonts w:ascii="Times New Roman" w:hAnsi="Times New Roman"/>
          <w:sz w:val="20"/>
          <w:u w:val="single"/>
        </w:rPr>
        <w:t>Cyclerion</w:t>
      </w:r>
      <w:r>
        <w:rPr>
          <w:rFonts w:ascii="Times New Roman" w:hAnsi="Times New Roman"/>
          <w:sz w:val="20"/>
        </w:rPr>
        <w:t>”), Cariboos Merger Sub Corp., a Delaware corporation and a wholly-owned subsidiary of Cyclerion (“</w:t>
      </w:r>
      <w:r>
        <w:rPr>
          <w:rFonts w:ascii="Times New Roman" w:hAnsi="Times New Roman"/>
          <w:sz w:val="20"/>
          <w:u w:val="single"/>
        </w:rPr>
        <w:t>First Merger Sub</w:t>
      </w:r>
      <w:r>
        <w:rPr>
          <w:rFonts w:ascii="Times New Roman" w:hAnsi="Times New Roman"/>
          <w:sz w:val="20"/>
        </w:rPr>
        <w:t>”), Cariboos Merger Sub II, LLC, a Delaware limited liability company and wholly-owned subsidiary of Cyclerion (“</w:t>
      </w:r>
      <w:r>
        <w:rPr>
          <w:rFonts w:ascii="Times New Roman" w:hAnsi="Times New Roman"/>
          <w:sz w:val="20"/>
          <w:u w:val="single"/>
        </w:rPr>
        <w:t>Second Merger Sub</w:t>
      </w:r>
      <w:r>
        <w:rPr>
          <w:rFonts w:ascii="Times New Roman" w:hAnsi="Times New Roman"/>
          <w:sz w:val="20"/>
        </w:rPr>
        <w:t>” and, together with First Merger Sub, the “</w:t>
      </w:r>
      <w:r>
        <w:rPr>
          <w:rFonts w:ascii="Times New Roman" w:hAnsi="Times New Roman"/>
          <w:sz w:val="20"/>
          <w:u w:val="single"/>
        </w:rPr>
        <w:t>Merger Subs</w:t>
      </w:r>
      <w:r>
        <w:rPr>
          <w:rFonts w:ascii="Times New Roman" w:hAnsi="Times New Roman"/>
          <w:sz w:val="20"/>
        </w:rPr>
        <w:t>”), and Korsana Biosciences, Inc., a Delaware corporation (“</w:t>
      </w:r>
      <w:r>
        <w:rPr>
          <w:rFonts w:ascii="Times New Roman" w:hAnsi="Times New Roman"/>
          <w:sz w:val="20"/>
          <w:u w:val="single"/>
        </w:rPr>
        <w:t>Korsana</w:t>
      </w:r>
      <w:r>
        <w:rPr>
          <w:rFonts w:ascii="Times New Roman" w:hAnsi="Times New Roman"/>
          <w:sz w:val="20"/>
        </w:rPr>
        <w:t>”) (as may be amended from time to time, the “</w:t>
      </w:r>
      <w:r>
        <w:rPr>
          <w:rFonts w:ascii="Times New Roman" w:hAnsi="Times New Roman"/>
          <w:sz w:val="20"/>
          <w:u w:val="single"/>
        </w:rPr>
        <w:t>Merger Agreement</w:t>
      </w:r>
      <w:r>
        <w:rPr>
          <w:rFonts w:ascii="Times New Roman" w:hAnsi="Times New Roman"/>
          <w:sz w:val="20"/>
        </w:rPr>
        <w:t>”), pursuant to which, among other matters, and subject to the satisfaction or waiver of the conditions set forth in the Merger Agreement, (i) First Merger Sub will merge with and into Korsana, with Korsana continuing as a wholly owned subsidiary of Cyclerion and the surviving corporation of the merger (the “</w:t>
      </w:r>
      <w:r>
        <w:rPr>
          <w:rFonts w:ascii="Times New Roman" w:hAnsi="Times New Roman"/>
          <w:sz w:val="20"/>
          <w:u w:val="single"/>
        </w:rPr>
        <w:t>First Merger</w:t>
      </w:r>
      <w:r>
        <w:rPr>
          <w:rFonts w:ascii="Times New Roman" w:hAnsi="Times New Roman"/>
          <w:sz w:val="20"/>
        </w:rPr>
        <w:t xml:space="preserve">”) and (ii) immediately following the First Merger and as part of the same overall transaction as the First Merger, Korsana will merge with and into Second Merger Sub. </w:t>
      </w:r>
    </w:p>
    <w:p>
      <w:pPr>
        <w:pStyle w:val="TextBody"/>
        <w:bidi w:val="0"/>
        <w:spacing w:before="240" w:after="0"/>
        <w:jc w:val="left"/>
        <w:rPr>
          <w:rFonts w:ascii="Times New Roman" w:hAnsi="Times New Roman"/>
          <w:sz w:val="20"/>
        </w:rPr>
      </w:pPr>
      <w:r>
        <w:rPr>
          <w:rFonts w:ascii="Times New Roman" w:hAnsi="Times New Roman"/>
          <w:sz w:val="20"/>
        </w:rPr>
        <w:t xml:space="preserve">On August 3, 2026, Korsana published the following communication: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165735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57350" cy="3810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Korsana Biosciences Strengthens Leadership with Executive and Board Appointments to Support Next Phase of Growth </w:t>
      </w:r>
    </w:p>
    <w:p>
      <w:pPr>
        <w:pStyle w:val="TextBody"/>
        <w:bidi w:val="0"/>
        <w:spacing w:before="120" w:after="0"/>
        <w:jc w:val="center"/>
        <w:rPr>
          <w:rFonts w:ascii="Times New Roman" w:hAnsi="Times New Roman"/>
          <w:i/>
          <w:sz w:val="20"/>
        </w:rPr>
      </w:pPr>
      <w:r>
        <w:rPr>
          <w:rFonts w:ascii="Times New Roman" w:hAnsi="Times New Roman"/>
          <w:i/>
          <w:sz w:val="20"/>
        </w:rPr>
        <w:t xml:space="preserve">Matthew Leoni, M.D., appointed Chief Medical Officer and </w:t>
      </w:r>
    </w:p>
    <w:p>
      <w:pPr>
        <w:pStyle w:val="TextBody"/>
        <w:bidi w:val="0"/>
        <w:spacing w:before="0" w:after="0"/>
        <w:jc w:val="center"/>
        <w:rPr>
          <w:rFonts w:ascii="Times New Roman" w:hAnsi="Times New Roman"/>
          <w:i/>
          <w:sz w:val="20"/>
        </w:rPr>
      </w:pPr>
      <w:r>
        <w:rPr>
          <w:rFonts w:ascii="Times New Roman" w:hAnsi="Times New Roman"/>
          <w:i/>
          <w:sz w:val="20"/>
        </w:rPr>
        <w:t xml:space="preserve">Gan Wei, Ph.D., appointed Chief Technical Officer </w:t>
      </w:r>
    </w:p>
    <w:p>
      <w:pPr>
        <w:pStyle w:val="TextBody"/>
        <w:bidi w:val="0"/>
        <w:spacing w:before="120" w:after="0"/>
        <w:jc w:val="center"/>
        <w:rPr>
          <w:rFonts w:ascii="Times New Roman" w:hAnsi="Times New Roman"/>
          <w:i/>
          <w:sz w:val="20"/>
        </w:rPr>
      </w:pPr>
      <w:r>
        <w:rPr>
          <w:rFonts w:ascii="Times New Roman" w:hAnsi="Times New Roman"/>
          <w:i/>
          <w:sz w:val="20"/>
        </w:rPr>
        <w:t xml:space="preserve">Heidi Henson appointed to Board of Directors and will serve as Chair of the Audit Committee </w:t>
      </w:r>
    </w:p>
    <w:p>
      <w:pPr>
        <w:pStyle w:val="TextBody"/>
        <w:bidi w:val="0"/>
        <w:spacing w:before="120" w:after="0"/>
        <w:jc w:val="center"/>
        <w:rPr>
          <w:rFonts w:ascii="Times New Roman" w:hAnsi="Times New Roman"/>
          <w:i/>
          <w:sz w:val="20"/>
        </w:rPr>
      </w:pPr>
      <w:r>
        <w:rPr>
          <w:rFonts w:ascii="Times New Roman" w:hAnsi="Times New Roman"/>
          <w:i/>
          <w:sz w:val="20"/>
        </w:rPr>
        <w:t xml:space="preserve">Leadership additions enhance clinical, technical and governance capabilities as Korsana advances lead program KRSA-028 for the treatment of Alzheimer’s disease </w:t>
      </w:r>
    </w:p>
    <w:p>
      <w:pPr>
        <w:pStyle w:val="TextBody"/>
        <w:bidi w:val="0"/>
        <w:spacing w:before="240" w:after="0"/>
        <w:jc w:val="left"/>
        <w:rPr>
          <w:rFonts w:ascii="Times New Roman" w:hAnsi="Times New Roman"/>
          <w:sz w:val="20"/>
        </w:rPr>
      </w:pPr>
      <w:r>
        <w:rPr>
          <w:rFonts w:ascii="Times New Roman" w:hAnsi="Times New Roman"/>
          <w:sz w:val="20"/>
        </w:rPr>
        <w:t xml:space="preserve">WALTHAM, Mass., August 3, 2026—Korsana Biosciences, Inc. (“Korsana” or the “Company”), a biotechnology company discovering and developing novel therapies to reduce the burden of neurodegenerative diseases, today announced the appointments of Matthew Leoni, M.D., as Chief Medical Officer, Gan Wei, Ph.D., as Chief Technical Officer, and Heidi Henson as a member of its Board of Directors, where she will serve as Chair of the Audit Committee. Collectively, these appointments strengthen Korsana’s leadership team as the Company advances KRSA-028, its lead THETA-enabled therapeutic candidate for Alzheimer’s disease, toward clinical development while continuing to progress its pipeline of potential best-in-class therapies for neurodegenerative diseases. </w:t>
      </w:r>
    </w:p>
    <w:p>
      <w:pPr>
        <w:pStyle w:val="TextBody"/>
        <w:bidi w:val="0"/>
        <w:spacing w:before="240" w:after="0"/>
        <w:jc w:val="left"/>
        <w:rPr/>
      </w:pPr>
      <w:r>
        <w:rPr/>
        <w:t>“</w:t>
      </w:r>
      <w:r>
        <w:rPr>
          <w:rFonts w:ascii="Times New Roman" w:hAnsi="Times New Roman"/>
          <w:sz w:val="20"/>
        </w:rPr>
        <w:t xml:space="preserve">We are delighted to welcome Matt, Gan, and Heidi to Korsana as we enter our next phase of growth,” said Jonathan Violin, Ph.D., President and Chief Executive Officer of Korsana. “As Korsana advances toward becoming a clinical-stage company, we are assembling a leadership team with the expertise needed to execute our strategy and position Korsana for long-term success. Matt, Gan, and Heidi each bring exceptional experience building and scaling innovative biotechnology organizations, and together they significantly strengthen our ability to advance KRSA-028 and realize the full potential of our THETA platform for patients with neurodegenerative diseases.” </w:t>
      </w:r>
    </w:p>
    <w:p>
      <w:pPr>
        <w:pStyle w:val="TextBody"/>
        <w:bidi w:val="0"/>
        <w:spacing w:before="240" w:after="0"/>
        <w:jc w:val="left"/>
        <w:rPr>
          <w:rFonts w:ascii="Times New Roman" w:hAnsi="Times New Roman"/>
          <w:sz w:val="20"/>
        </w:rPr>
      </w:pPr>
      <w:r>
        <w:rPr>
          <w:rFonts w:ascii="Times New Roman" w:hAnsi="Times New Roman"/>
          <w:sz w:val="20"/>
        </w:rPr>
        <w:t xml:space="preserve">Korsana continues to expect its previously announced merger with Cyclerion Therapeutics to close in the third quarter of 2026, subject to the satisfaction of customary closing conditions. Upon completion of the transaction, the combined company plans to operate under the name Korsana Biosciences, Inc. and trade on Nasdaq under the ticker symbol “KRSA.” The Company is also advancing KRSA-028 toward the clinic, with Phase 1 healthy volunteer data expected in mid-2027 and interim proof-of-concept data evaluating amyloid plaque clearance in Alzheimer’s disease patients anticipated by the end of 2027 or the first quarter of 2028.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Matthew Leoni, M.D., Chief Medical Officer </w:t>
      </w:r>
    </w:p>
    <w:p>
      <w:pPr>
        <w:pStyle w:val="TextBody"/>
        <w:bidi w:val="0"/>
        <w:spacing w:before="120" w:after="0"/>
        <w:jc w:val="left"/>
        <w:rPr>
          <w:rFonts w:ascii="Times New Roman" w:hAnsi="Times New Roman"/>
          <w:sz w:val="20"/>
        </w:rPr>
      </w:pPr>
      <w:r>
        <w:rPr>
          <w:rFonts w:ascii="Times New Roman" w:hAnsi="Times New Roman"/>
          <w:sz w:val="20"/>
        </w:rPr>
        <w:t xml:space="preserve">Dr. Leoni is an accomplished drug developer whose work in early- and late-stage clinical development has contributed to the advancement and approval of multiple innovative therapies over more than 20 years in the biopharmaceutical industry. Most recently, he served as Chief Medical Officer of Merida Biosciences, where he joined following its Series A financing, built the development organization, and advanced its lead program through IND clearance and into the clinic. Prior to Merida, he was Senior Vice President of Development at Cerevel Therapeutics, where he was a member of the company’s founding leadership team and helped guide the organization through multiple clinical milestones, its public debut, and subsequent acquisition by AbbVie. Earlier in his career, Dr. Leoni held clinical development leadership roles at Otsuka, Novartis, Galderma, and Immunomedics. He earned his M.D. from the University of Pennsylvania School of Medicine, an M.B.A. in Pharmaceutical Management from Drexel University, and a B.A. in Biology from Franklin &amp; Marshall College. </w:t>
      </w:r>
    </w:p>
    <w:p>
      <w:pPr>
        <w:pStyle w:val="TextBody"/>
        <w:bidi w:val="0"/>
        <w:spacing w:before="360" w:after="0"/>
        <w:jc w:val="left"/>
        <w:rPr>
          <w:rFonts w:ascii="Times New Roman" w:hAnsi="Times New Roman"/>
          <w:b/>
          <w:sz w:val="20"/>
        </w:rPr>
      </w:pPr>
      <w:r>
        <w:rPr>
          <w:rFonts w:ascii="Times New Roman" w:hAnsi="Times New Roman"/>
          <w:b/>
          <w:sz w:val="20"/>
        </w:rPr>
        <w:t xml:space="preserve">Gan Wei, Ph.D., Chief Technical Officer </w:t>
      </w:r>
    </w:p>
    <w:p>
      <w:pPr>
        <w:pStyle w:val="TextBody"/>
        <w:bidi w:val="0"/>
        <w:spacing w:before="120" w:after="0"/>
        <w:jc w:val="left"/>
        <w:rPr>
          <w:rFonts w:ascii="Times New Roman" w:hAnsi="Times New Roman"/>
          <w:sz w:val="20"/>
        </w:rPr>
      </w:pPr>
      <w:r>
        <w:rPr>
          <w:rFonts w:ascii="Times New Roman" w:hAnsi="Times New Roman"/>
          <w:sz w:val="20"/>
        </w:rPr>
        <w:t xml:space="preserve">Dr. Wei brings more than 25 years of experience in biologics manufacturing process development, commercialization, and lifecycle management. Most recently, he served as Senior Vice President of Global Technical Operations at Zenas BioPharma. Previously, he held leadership positions at Voyager Therapeutics and TESARO/GSK, following earlier roles of increasing responsibility at Shire Pharmaceuticals, Eli Lilly and Company, and Momenta Pharmaceuticals. He earned his Ph.D. in Chemical and Biochemical Engineering from the University of Maryland, Baltimore County, and his B.S. in Biochemical Engineering from East China University of Science and Technology. </w:t>
      </w:r>
    </w:p>
    <w:p>
      <w:pPr>
        <w:pStyle w:val="TextBody"/>
        <w:bidi w:val="0"/>
        <w:spacing w:before="360" w:after="0"/>
        <w:jc w:val="left"/>
        <w:rPr>
          <w:rFonts w:ascii="Times New Roman" w:hAnsi="Times New Roman"/>
          <w:b/>
          <w:sz w:val="20"/>
        </w:rPr>
      </w:pPr>
      <w:r>
        <w:rPr>
          <w:rFonts w:ascii="Times New Roman" w:hAnsi="Times New Roman"/>
          <w:b/>
          <w:sz w:val="20"/>
        </w:rPr>
        <w:t xml:space="preserve">Heidi Henson, Board Director and Chair of the 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Ms. Henson brings more than 20 years of financial operations experience across public and private biopharmaceutical companies. She currently serves on the boards of directors of Lisata Therapeutics, PepGen Inc., and Perspective Therapeutics, Inc. Most recently, she served as Chief Financial Officer of Pardes Biosciences, Inc. through its acquisition. Previously, she served as Chief Financial Officer of Imbria Pharmaceuticals, Kura Oncology, Wellspring Biosciences and its parent company, Araxes Pharma LLC. Ms. Henson began her career in auditing at PricewaterhouseCoopers LLP, where she served both public and private companies. She earned a Bachelor of Accountancy from the University of San Diego. </w:t>
      </w:r>
    </w:p>
    <w:p>
      <w:pPr>
        <w:pStyle w:val="TextBody"/>
        <w:bidi w:val="0"/>
        <w:spacing w:before="360" w:after="0"/>
        <w:jc w:val="left"/>
        <w:rPr>
          <w:rFonts w:ascii="Times New Roman" w:hAnsi="Times New Roman"/>
          <w:b/>
          <w:sz w:val="20"/>
        </w:rPr>
      </w:pPr>
      <w:r>
        <w:rPr>
          <w:rFonts w:ascii="Times New Roman" w:hAnsi="Times New Roman"/>
          <w:b/>
          <w:sz w:val="20"/>
        </w:rPr>
        <w:t xml:space="preserve">About Korsana Biosciences </w:t>
      </w:r>
    </w:p>
    <w:p>
      <w:pPr>
        <w:pStyle w:val="TextBody"/>
        <w:bidi w:val="0"/>
        <w:spacing w:before="120" w:after="0"/>
        <w:jc w:val="left"/>
        <w:rPr>
          <w:rFonts w:ascii="Times New Roman" w:hAnsi="Times New Roman"/>
          <w:sz w:val="20"/>
        </w:rPr>
      </w:pPr>
      <w:r>
        <w:rPr>
          <w:rFonts w:ascii="Times New Roman" w:hAnsi="Times New Roman"/>
          <w:sz w:val="20"/>
        </w:rPr>
        <w:t xml:space="preserve">Korsana Biosciences was founded to reduce the burden of neurodegenerative diseases for patients and caregivers. Developed in partnership with Paragon Therapeutics, Therapeutic Targeting (THETA) is a novel blood-brain barrier-penetrant shuttle platform designed to enable dramatically higher drug concentration inside the brain and overcome the limitations of earlier shuttle technologies. Korsana is advancing a pipeline of innovative THETA-enabled therapies for neurodegenerative diseases, starting with KRSA-028 for the treatment of Alzheimer’s disease. For more information, please visit </w:t>
      </w:r>
      <w:r>
        <w:rPr>
          <w:rFonts w:ascii="Times New Roman" w:hAnsi="Times New Roman"/>
          <w:sz w:val="20"/>
          <w:u w:val="single"/>
        </w:rPr>
        <w:t>www.korsana.com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A registration statement on Form S-4, which contains a proxy statement/prospectus, has been filed by Cyclerion Therapeutics, Inc. (“Cyclerion”) in connection with a proposed reverse merger transaction between Cyclerion and the Company. This communication does not substitute for the Form S-4, proxy statement/prospectus or for any other document that Cyclerion has filed or may file with the SEC in connection with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CYCLERION INVESTORS AND STOCKHOLDERS ARE URGED TO READ THE FORM S-4, PROXY STATEMENT/PROSPECTUS AND ANY OTHER RELEVANT DOCUMENTS THAT HAVE BEEN OR MAY BE FILED WITH THE SEC, AS WELL AS ANY AMENDMENTS OR SUPPLEMENTS TO THOSE DOCUMENTS, CAREFULLY AND IN THEIR ENTIRETY IF AND WHEN THEY BECOME AVAILABLE BECAUSE THEY CONTAIN OR WILL CONTAIN IMPORTANT INFORMATION ABOUT CYCLERION, KORSANA, THE PROPOSED TRANSACTION AND RELATED MATTERS. Investors and stockholders can obtain free copies of the Form S-4 and other documents filed by Cyclerion with the SEC (when they become available) through the website maintained by the SEC at </w:t>
      </w:r>
      <w:r>
        <w:rPr>
          <w:rFonts w:ascii="Times New Roman" w:hAnsi="Times New Roman"/>
          <w:sz w:val="20"/>
          <w:u w:val="single"/>
        </w:rPr>
        <w:t>www.sec.gov</w:t>
      </w:r>
      <w:r>
        <w:rPr>
          <w:rFonts w:ascii="Times New Roman" w:hAnsi="Times New Roman"/>
          <w:sz w:val="20"/>
        </w:rPr>
        <w:t>. In addition, investors and stockholders should note that Cyclerion communicates with investors and the public using its website (</w:t>
      </w:r>
      <w:r>
        <w:rPr>
          <w:rFonts w:ascii="Times New Roman" w:hAnsi="Times New Roman"/>
          <w:sz w:val="20"/>
          <w:u w:val="single"/>
        </w:rPr>
        <w:t>www.cyclerion.com</w:t>
      </w:r>
      <w:r>
        <w:rPr>
          <w:rFonts w:ascii="Times New Roman" w:hAnsi="Times New Roman"/>
          <w:sz w:val="20"/>
        </w:rPr>
        <w:t xml:space="preserve">) and the investor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relations website (</w:t>
      </w:r>
      <w:r>
        <w:rPr>
          <w:rFonts w:ascii="Times New Roman" w:hAnsi="Times New Roman"/>
          <w:sz w:val="20"/>
          <w:u w:val="single"/>
        </w:rPr>
        <w:t>www.cyclerion.com/investor-resources</w:t>
      </w:r>
      <w:r>
        <w:rPr>
          <w:rFonts w:ascii="Times New Roman" w:hAnsi="Times New Roman"/>
          <w:sz w:val="20"/>
        </w:rPr>
        <w:t xml:space="preserve">) where anyone is able to obtain free copies of the Form S-4 and other documents filed by Cyclerion with the SEC and stockholders are urged to read the Form S-4 and the other relevant materials when they become available before making any voting or investment decision with respect to the proposed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and does not constitute (i) a solicitation of a proxy, consent or approval with respect to any securities or in respect of the proposed transaction between the Company and Cyclerion Therapeutics, or (ii) an offer to sell or the solicitation of an offer to subscribe for or buy or an invitation to purchase or subscribe for any securities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NEITHER THE SEC NOR ANY STATE SECURITIES COMMISSION HAS APPROVED OR DISAPPROVED OF THE SECURITIES OR DETERMINED IF THIS COMMUNICATION IS TRUTHFUL OR COMPLETE.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Cyclerion, Korsana and their respective directors and executive officers may be deemed to be participants in the solicitation of proxies from stockholders in connection with the proposed transaction. Information about Cyclerion’s directors and executive officers including a description of their interests in Cyclerion is included in Cyclerion’s Annual Report on Form 10-K, as filed with the SEC on March 30, 2026 and amended on April 30, 2026, and in subsequent reports filed with the SEC. Additional information regarding these persons and their interests in the proposed transaction are included in the Form S-4 relating to the proposed transaction filed with the SEC. These documents can be obtained free of charge from the sources indicated above.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(including within the meaning of Section 21E of the Exchange Act and Section 27A of the Securities Act). The words “anticipate,” “believe,” “contemplate,” “continue,” “could,” “estimate,” “expect,” “intends,” “may,” “might,” “plan,” “possible,” “potential,” “predict,” “project,” “should,” “will,” “would” and similar expressions (including the negatives of these terms or variations of them) may identify forward-looking statements, but the absence of these words does not mean that a statement is not forward-looking. All statements contained in this press release that do not relate to matters of historical fact should be considered forward-looking statements, including without limitation, statements regarding: the development, potential benefits and therapeutic potential of KRSA-028; the Company having a pipeline of potential best-in-class therapies for neurodegenerative diseases; the strength of the Company’s leadership team to position the Company for long-term success, advance KRSA-028 into the clinic, and realize the full potential of the THETA platform; the expected timing of the closing of the merger with Cyclerion Therapeutics; the expected name, Nasdaq listing and ticker symbol of the combined company following completion of the merger; and the expected timing of clinical data from the KRSA-028 research program.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contained in this communication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without limitation, the following: risks associated with the Company’s ability to manage expenses and unanticipated spending and costs that could reduce the Company’s cash resources; risks related to the Company’s ability to correctly estimate its operating expenses and other events; changes in capital resource requirements; risks related to the inability of the Company to obtain sufficient additional capital to continue to advance its product candidates or its preclinical programs; the ability of the Company to obtain, maintain and protect its intellectual property rights, in particular those related to its product candidates; the Company’s ability to advance the development of its product candidates or preclinical activities under the timelines it anticipates in planned and future clinical trials; the Company’s ability 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replicate in later clinical trials positive results found in preclinical studies and early-stage clinical trials of its product candidates; the Company’s ability to realize the anticipated benefits of its research and development programs, strategic partnerships, licensing programs or other collaborations; regulatory requirements or developments and the Company’s ability to obtain necessary approvals from the U.S. Food and Drug Administration or other regulatory authorities; changes to clinical trial designs and regulatory pathways; changes in expected or existing competition; legislative, regulatory, political and economic developments; and those risks and uncertainties and other factors more fully described in the registration statement on Form S-4 and in other filings made by Cyclerion with the SEC from time to time and available at www.sec.gov. Any such forward-looking statements represent management’s estimates as of the date of this release. We undertake no obligation to update such statements to reflect subsequent events or circumstances, except as otherwise required by securities and other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and Media Contact: </w:t>
      </w:r>
    </w:p>
    <w:p>
      <w:pPr>
        <w:pStyle w:val="TextBody"/>
        <w:bidi w:val="0"/>
        <w:spacing w:before="120" w:after="0"/>
        <w:jc w:val="left"/>
        <w:rPr>
          <w:rFonts w:ascii="Times New Roman" w:hAnsi="Times New Roman"/>
          <w:sz w:val="20"/>
        </w:rPr>
      </w:pPr>
      <w:r>
        <w:rPr>
          <w:rFonts w:ascii="Times New Roman" w:hAnsi="Times New Roman"/>
          <w:sz w:val="20"/>
        </w:rPr>
        <w:t xml:space="preserve">Eva Stroynowski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IR@korsana.com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Media@korsana.com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(including within the meaning of Section 21E of the Exchange Act and Section 27A of the Securities Act) concerning Cyclerion, Korsana, the proposed transactions and other matters. These forward-looking statements include express or implied statements relating to the development, potential benefits and therapeutic potential of KRSA-028; Korsana having a pipeline of potential best-in-class therapies for neurodegenerative diseases; the strength of Korsana’s leadership team to position Korsana for long-term success, advance KRSA-028 into the clinic, and realize the full potential of the THETA platform; the expected timing of the closing of the Merger; the expected name, Nasdaq listing and ticker symbol of the combined company following completion of the Merger; the expected timing of clinical data from the KRSA-028 research program; and other statements that are not historical fact. The words “anticipate,” “believe,” “contemplate,” “continue,” “could,” “estimate,” “expect,” “intends,” “may,” “might,” “plan,” “possible,” “potential,” “predict,” “project,” “should,” “will,” “would” and similar expressions (including the negatives of these terms or variations of them)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Cyclerion, Korsana or the proposed transaction will be those that have been anticipated.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contained in this communication are based on current expectations and beliefs concerning future developments and their potential effects and therefore subject to other risks and uncertainties. These risks and uncertainties include, but are not limited to, risks associated with the possible failure to satisfy the conditions to the closing or consummation of the Merger, including Cyclerion’s failure to obtain shareholder approval for the Merger, risks associated with the potential failure to complete the financing transaction in a timely manner or at all, risks associated with the uncertainty as to the timing of the consummation of the Merger and the ability of each of Cyclerion and Korsana to consummate the transactions contemplated by the Merger, risks associated with Cyclerion’s continued listing on Nasdaq until closing of the Merger, the failure or delay in obtaining required approvals from any governmental or quasi-governmental entity necessary to consummate the Merger; the occurrence of any event, change or other circumstance or condition that could give rise to the termination of the Merger prior to the closing or consummation of the Merger, risks associated with the possible failure to realize certain anticipated benefits of the Merger, including with respect to future financial and operating results; the effect of the completion of the Merger on the combined company’s business relationships, operating results and business generally; risks associated with the combined company’s ability to manage expenses and unanticipated spending and costs that could reduce the combined company’s cash resources; risks related to the combined company’s ability to correctly estimate its operating expenses and other events; changes in capital resource requirements; risks related to the inability of the combined company to obtain sufficient additional capital to continue to advance its product candidates or its preclinical programs; the outcome of any legal proceedings that may be instituted against the combined company or any of its directors or officers related to the Merger Agreement or the transactions contemplated thereby; the ability of the combined company to obtain, maintain and protect its intellectual property rights, in particular those related to its product candidates; the combined company’s ability to advance the development of its product candidates or preclinical activities under the timelines it anticipates in planned and future clinical trials; the combined company’s ability to replicate in later clinical trials positive results found in preclinical studies and early-stage clinical trials of its product candidates; the combined company’s ability to realize the anticipated benefits of its research and development programs, strategic partnerships, licensing programs or other collaborations; regulatory requirements or developments and the combined company’s ability to obtain necessary approvals from the U.S. Food and Drug Administration or other regulatory authorities; changes to clinical trial designs and regulatory pathways; competitive responses to the Merger and changes in expected or existing competition; unexpected costs, charges or expenses resulting from the Merger; potential adverse reactions or changes to business relationships resulting from the completion of the Merger; legislative, regulatory, political and economic developments; and those risks and uncertainties and other factors more fully described in filings with the Securities and Exchange Commission, including reports filed on Form 10-K, 10-Q and 8-K and in other filings made by Cyclerion with the SEC from time to time and available at www.sec.gov. These forward-looking statements are based on current expectations, and with regard to the proposed transaction, are based on Cyclerion’s current expectations, estimates and projections about the expected date of closing of the proposed transaction and the potential benefits thereof, its business and industry, management’s beliefs and certain assumptions made by Cyclerion, all of which are subject to change. Such forward-looking statements are made as of the date of this release, and the parties undertake no obligation to update such statements to reflect subsequent events or circumstances, except as otherwise required by securities and other applicable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and does not constitute (i) a solicitation of a proxy, consent or approval with respect to any securities or in respect of the proposed transaction or (ii) an offer to sell or the solicitation of an offer to subscribe for or buy or an invitation to purchase or subscribe for any securities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NEITHER THE SEC NOR ANY STATE SECURITIES COMMISSION HAS APPROVED OR DISAPPROVED OF THE SECURITIES OR DETERMINED IF THIS COMMUNICATION IS TRUTHFUL OR COMPLETE.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Additional Information About the Proposed Transaction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does not substitute for the Form S-4, proxy statement/prospectus or for any other document that Cyclerion has filed or may file with the SEC in connection with the proposed transaction. In connection with the proposed transaction between Cyclerion and Korsana, Cyclerion has filed relevant materials with the SEC, including the Form S-4 that contains a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CYCLERION URGES INVESTORS AND STOCKHOLDERS TO READ THE FORM S-4, PROXY STATEMENT/PROSPECTUS AND ANY OTHER RELEVANT DOCUMENTS THAT HAVE BEEN OR MAY BE FILED WITH THE SEC, AS WELL AS ANY AMENDMENTS OR SUPPLEMENTS TO THOSE DOCUMENTS, CAREFULLY AND IN THEIR ENTIRETY IF AND WHEN THEY BECOME AVAILABLE BECAUSE THEY CONTAIN OR WILL CONTAIN IMPORTANT INFORMATION ABOUT CYCLERION, KORSANA, THE PROPOSED TRANSACTION AND RELATED MATTERS. </w:t>
      </w:r>
    </w:p>
    <w:p>
      <w:pPr>
        <w:pStyle w:val="TextBody"/>
        <w:bidi w:val="0"/>
        <w:spacing w:before="240" w:after="0"/>
        <w:jc w:val="left"/>
        <w:rPr>
          <w:rFonts w:ascii="Times New Roman" w:hAnsi="Times New Roman"/>
          <w:sz w:val="20"/>
        </w:rPr>
      </w:pPr>
      <w:r>
        <w:rPr>
          <w:rFonts w:ascii="Times New Roman" w:hAnsi="Times New Roman"/>
          <w:sz w:val="20"/>
        </w:rPr>
        <w:t xml:space="preserve">Investors and stockholders can obtain free copies of the Form S-4 and other documents filed by Cyclerion with the SEC (when they become available) through the website maintained by the SEC at www.sec.gov. In addition, investors and stockholders should note that Cyclerion communicates with investors and the public using its website (www.cyclerion.com) and the investor relations website (www.cyclerion.com/investor-resources) where anyone is able to obtain free copies of the Form S-4 and other documents filed by Cyclerion with the SEC and stockholders are urged to read the Form S-4 and the other relevant materials when they become available before making any voting or investment decision with respect to the proposed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Cyclerion, Korsana and their respective directors and executive officers may be deemed to be participants in the solicitation of proxies from stockholders in connection with the proposed transaction. Information about Cyclerion’s directors and executive officers including a description of their interests in Cyclerion is included in Cyclerion’s Annual Report on Form 10-K, as filed with the SEC on March 30, 2026 and amended on April 30, 2026, and in subsequent reports filed with the SEC. Additional information regarding these persons and their interests in the proposed transaction are included in the Form S-4 relating to the proposed transaction filed with the SEC. These documents can be obtained free of charge from the sources indicated above.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3606</Words>
  <Characters>21214</Characters>
  <CharactersWithSpaces>24816</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