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069ds4a.htm"/>
        <w:bookmarkStart w:id="1" w:name="ksd111069ds4a"/>
        <w:bookmarkEnd w:id="0"/>
        <w:bookmarkEnd w:id="1"/>
        <w:r>
          <w:rPr>
            <w:rStyle w:val="InternetLink"/>
            <w:b/>
            <w:sz w:val="20"/>
          </w:rPr>
          <w:t>Table of Contents</w:t>
        </w:r>
      </w:hyperlink>
    </w:p>
    <w:p>
      <w:pPr>
        <w:pStyle w:val="TextBody"/>
        <w:bidi w:val="0"/>
        <w:spacing w:before="0" w:after="0"/>
        <w:ind w:left="0" w:right="0" w:hanging="0"/>
        <w:jc w:val="center"/>
        <w:rPr>
          <w:rFonts w:ascii="Times New Roman" w:hAnsi="Times New Roman"/>
          <w:b/>
          <w:sz w:val="16"/>
        </w:rPr>
      </w:pPr>
      <w:r>
        <w:rPr>
          <w:rFonts w:ascii="Times New Roman" w:hAnsi="Times New Roman"/>
          <w:b/>
          <w:sz w:val="16"/>
        </w:rPr>
        <w:t xml:space="preserve">As filed with the Securities and Exchange Commission on July 22, 2026 </w:t>
      </w:r>
    </w:p>
    <w:p>
      <w:pPr>
        <w:pStyle w:val="TextBody"/>
        <w:bidi w:val="0"/>
        <w:spacing w:before="0" w:after="0"/>
        <w:ind w:left="0" w:right="0" w:hanging="0"/>
        <w:jc w:val="right"/>
        <w:rPr>
          <w:rFonts w:ascii="Times New Roman" w:hAnsi="Times New Roman"/>
          <w:b/>
          <w:spacing w:val="0"/>
          <w:sz w:val="16"/>
        </w:rPr>
      </w:pPr>
      <w:r>
        <w:rPr>
          <w:rFonts w:ascii="Times New Roman" w:hAnsi="Times New Roman"/>
          <w:b/>
          <w:spacing w:val="0"/>
          <w:sz w:val="16"/>
        </w:rPr>
        <w:t xml:space="preserve">No. 333-295175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pPr>
      <w:r>
        <w:rPr/>
        <w:t> </w:t>
      </w:r>
    </w:p>
    <w:p>
      <w:pPr>
        <w:pStyle w:val="TextBody"/>
        <w:bidi w:val="0"/>
        <w:spacing w:lineRule="atLeast" w:line="142" w:before="0" w:after="40"/>
        <w:ind w:left="0" w:right="0" w:hanging="0"/>
        <w:jc w:val="left"/>
        <w:rPr/>
      </w:pPr>
      <w:r>
        <w:rPr/>
        <w:t> </w:t>
      </w:r>
    </w:p>
    <w:p>
      <w:pPr>
        <w:pStyle w:val="TextBody"/>
        <w:bidi w:val="0"/>
        <w:spacing w:before="80" w:after="0"/>
        <w:ind w:left="0" w:right="0" w:hanging="0"/>
        <w:jc w:val="center"/>
        <w:rPr>
          <w:rFonts w:ascii="Times New Roman" w:hAnsi="Times New Roman"/>
          <w:b/>
          <w:spacing w:val="0"/>
          <w:sz w:val="32"/>
        </w:rPr>
      </w:pPr>
      <w:r>
        <w:rPr>
          <w:rFonts w:ascii="Times New Roman" w:hAnsi="Times New Roman"/>
          <w:b/>
          <w:spacing w:val="0"/>
          <w:sz w:val="32"/>
        </w:rPr>
        <w:t xml:space="preserve">UNITED </w:t>
      </w:r>
    </w:p>
    <w:p>
      <w:pPr>
        <w:pStyle w:val="TextBody"/>
        <w:bidi w:val="0"/>
        <w:spacing w:before="80" w:after="0"/>
        <w:jc w:val="center"/>
        <w:rPr>
          <w:rFonts w:ascii="Times New Roman" w:hAnsi="Times New Roman"/>
          <w:b/>
          <w:spacing w:val="0"/>
          <w:sz w:val="32"/>
        </w:rPr>
      </w:pPr>
      <w:r>
        <w:rPr>
          <w:rFonts w:ascii="Times New Roman" w:hAnsi="Times New Roman"/>
          <w:b/>
          <w:spacing w:val="0"/>
          <w:sz w:val="32"/>
        </w:rPr>
        <w:t>STATES</w:t>
      </w:r>
    </w:p>
    <w:p>
      <w:pPr>
        <w:pStyle w:val="TextBody"/>
        <w:bidi w:val="0"/>
        <w:spacing w:before="0" w:after="0"/>
        <w:ind w:left="0" w:right="0" w:hanging="0"/>
        <w:jc w:val="center"/>
        <w:rPr>
          <w:rFonts w:ascii="Times New Roman" w:hAnsi="Times New Roman"/>
          <w:b/>
          <w:spacing w:val="0"/>
          <w:sz w:val="32"/>
        </w:rPr>
      </w:pPr>
      <w:r>
        <w:rPr>
          <w:rFonts w:ascii="Times New Roman" w:hAnsi="Times New Roman"/>
          <w:b/>
          <w:spacing w:val="0"/>
          <w:sz w:val="32"/>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20549</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sz w:val="34"/>
        </w:rPr>
      </w:pPr>
      <w:r>
        <w:rPr>
          <w:rFonts w:ascii="Times New Roman" w:hAnsi="Times New Roman"/>
          <w:b/>
          <w:sz w:val="34"/>
        </w:rPr>
        <w:t>AMENDMENT NO. 3</w:t>
      </w:r>
    </w:p>
    <w:p>
      <w:pPr>
        <w:pStyle w:val="TextBody"/>
        <w:bidi w:val="0"/>
        <w:spacing w:before="0" w:after="0"/>
        <w:ind w:left="0" w:right="0" w:hanging="0"/>
        <w:jc w:val="center"/>
        <w:rPr>
          <w:rFonts w:ascii="Times New Roman" w:hAnsi="Times New Roman"/>
          <w:b/>
          <w:spacing w:val="0"/>
          <w:sz w:val="34"/>
        </w:rPr>
      </w:pPr>
      <w:r>
        <w:rPr>
          <w:rFonts w:ascii="Times New Roman" w:hAnsi="Times New Roman"/>
          <w:b/>
          <w:spacing w:val="0"/>
          <w:sz w:val="34"/>
        </w:rPr>
        <w:t>to</w:t>
      </w:r>
    </w:p>
    <w:p>
      <w:pPr>
        <w:pStyle w:val="TextBody"/>
        <w:bidi w:val="0"/>
        <w:spacing w:before="0" w:after="0"/>
        <w:jc w:val="center"/>
        <w:rPr>
          <w:rFonts w:ascii="Times New Roman" w:hAnsi="Times New Roman"/>
          <w:b/>
          <w:sz w:val="34"/>
        </w:rPr>
      </w:pPr>
      <w:r>
        <w:rPr>
          <w:rFonts w:ascii="Times New Roman" w:hAnsi="Times New Roman"/>
          <w:b/>
          <w:sz w:val="34"/>
        </w:rPr>
        <w:t xml:space="preserve">FORM </w:t>
      </w:r>
    </w:p>
    <w:p>
      <w:pPr>
        <w:pStyle w:val="TextBody"/>
        <w:bidi w:val="0"/>
        <w:spacing w:before="0" w:after="0"/>
        <w:jc w:val="center"/>
        <w:rPr>
          <w:rFonts w:ascii="Times New Roman" w:hAnsi="Times New Roman"/>
          <w:b/>
          <w:spacing w:val="0"/>
          <w:sz w:val="34"/>
        </w:rPr>
      </w:pPr>
      <w:r>
        <w:rPr>
          <w:rFonts w:ascii="Times New Roman" w:hAnsi="Times New Roman"/>
          <w:b/>
          <w:spacing w:val="0"/>
          <w:sz w:val="34"/>
        </w:rPr>
        <w:t>S-4</w:t>
      </w:r>
    </w:p>
    <w:p>
      <w:pPr>
        <w:pStyle w:val="TextBody"/>
        <w:bidi w:val="0"/>
        <w:spacing w:before="0" w:after="0"/>
        <w:jc w:val="center"/>
        <w:rPr>
          <w:rFonts w:ascii="Times New Roman" w:hAnsi="Times New Roman"/>
          <w:b/>
          <w:spacing w:val="0"/>
          <w:sz w:val="34"/>
        </w:rPr>
      </w:pPr>
      <w:r>
        <w:rPr>
          <w:rFonts w:ascii="Times New Roman" w:hAnsi="Times New Roman"/>
          <w:b/>
          <w:spacing w:val="0"/>
          <w:sz w:val="34"/>
        </w:rPr>
        <w:t>REGISTRATION STATEMENT</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UNDER</w:t>
      </w:r>
    </w:p>
    <w:p>
      <w:pPr>
        <w:pStyle w:val="TextBody"/>
        <w:bidi w:val="0"/>
        <w:spacing w:before="0" w:after="0"/>
        <w:jc w:val="center"/>
        <w:rPr>
          <w:rFonts w:ascii="Times New Roman" w:hAnsi="Times New Roman"/>
          <w:b/>
          <w:i/>
          <w:caps w:val="false"/>
          <w:smallCaps w:val="false"/>
          <w:spacing w:val="0"/>
          <w:sz w:val="22"/>
        </w:rPr>
      </w:pPr>
      <w:r>
        <w:rPr>
          <w:rFonts w:ascii="Times New Roman" w:hAnsi="Times New Roman"/>
          <w:b/>
          <w:i/>
          <w:caps w:val="false"/>
          <w:smallCaps w:val="false"/>
          <w:spacing w:val="0"/>
          <w:sz w:val="22"/>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spacing w:val="0"/>
          <w:sz w:val="44"/>
        </w:rPr>
      </w:pPr>
      <w:r>
        <w:rPr>
          <w:rFonts w:ascii="Times New Roman" w:hAnsi="Times New Roman"/>
          <w:b/>
          <w:spacing w:val="0"/>
          <w:sz w:val="44"/>
        </w:rPr>
        <w:t>CYCLERION THERAPEUTICS, INC.</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0" w:after="0"/>
        <w:jc w:val="left"/>
        <w:rPr>
          <w:spacing w:val="0"/>
        </w:rPr>
      </w:pPr>
      <w:r>
        <w:rPr>
          <w:spacing w:val="0"/>
        </w:rPr>
        <w:t> </w:t>
      </w:r>
    </w:p>
    <w:tbl>
      <w:tblPr>
        <w:tblW w:w="4995" w:type="dxa"/>
        <w:jc w:val="left"/>
        <w:tblInd w:w="0" w:type="dxa"/>
        <w:tblLayout w:type="fixed"/>
        <w:tblCellMar>
          <w:top w:w="0" w:type="dxa"/>
          <w:left w:w="0" w:type="dxa"/>
          <w:bottom w:w="0" w:type="dxa"/>
          <w:right w:w="0" w:type="dxa"/>
        </w:tblCellMar>
      </w:tblPr>
      <w:tblGrid>
        <w:gridCol w:w="1895"/>
        <w:gridCol w:w="60"/>
        <w:gridCol w:w="1790"/>
        <w:gridCol w:w="60"/>
        <w:gridCol w:w="119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center"/>
              <w:rPr>
                <w:b/>
                <w:spacing w:val="0"/>
              </w:rPr>
            </w:pPr>
            <w:r>
              <w:rPr>
                <w:b/>
                <w:spacing w:val="0"/>
              </w:rPr>
              <w:t>Massachusetts</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center"/>
              <w:rPr>
                <w:b/>
                <w:spacing w:val="0"/>
              </w:rPr>
            </w:pPr>
            <w:r>
              <w:rPr>
                <w:b/>
                <w:spacing w:val="0"/>
              </w:rPr>
              <w:t>2834</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83-1895370</w:t>
            </w:r>
          </w:p>
        </w:tc>
      </w:tr>
      <w:tr>
        <w:trPr/>
        <w:tc>
          <w:tcPr>
            <w:tcW w:w="1895"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(State or other jurisdiction of</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incorporation or organization)</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(Primary Standard Industrial</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Classification Code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pacing w:val="0"/>
                <w:sz w:val="14"/>
              </w:rPr>
            </w:pPr>
            <w:r>
              <w:rPr>
                <w:rFonts w:ascii="Times New Roman" w:hAnsi="Times New Roman"/>
                <w:b/>
                <w:spacing w:val="0"/>
                <w:sz w:val="14"/>
              </w:rPr>
              <w:t>(I.R.S. Employer</w:t>
            </w:r>
          </w:p>
          <w:p>
            <w:pPr>
              <w:pStyle w:val="TableContents"/>
              <w:bidi w:val="0"/>
              <w:spacing w:before="0" w:after="20"/>
              <w:jc w:val="center"/>
              <w:rPr>
                <w:rFonts w:ascii="Times New Roman" w:hAnsi="Times New Roman"/>
                <w:b/>
                <w:spacing w:val="0"/>
                <w:sz w:val="14"/>
              </w:rPr>
            </w:pPr>
            <w:r>
              <w:rPr>
                <w:rFonts w:ascii="Times New Roman" w:hAnsi="Times New Roman"/>
                <w:b/>
                <w:spacing w:val="0"/>
                <w:sz w:val="14"/>
              </w:rPr>
              <w:t>Identification No.)</w:t>
            </w:r>
          </w:p>
        </w:tc>
      </w:tr>
    </w:tbl>
    <w:p>
      <w:pPr>
        <w:pStyle w:val="TextBody"/>
        <w:bidi w:val="0"/>
        <w:spacing w:before="120" w:after="0"/>
        <w:jc w:val="center"/>
        <w:rPr>
          <w:rFonts w:ascii="Times New Roman" w:hAnsi="Times New Roman"/>
          <w:b/>
          <w:spacing w:val="0"/>
          <w:sz w:val="16"/>
        </w:rPr>
      </w:pPr>
      <w:r>
        <w:rPr>
          <w:rFonts w:ascii="Times New Roman" w:hAnsi="Times New Roman"/>
          <w:b/>
          <w:spacing w:val="0"/>
          <w:sz w:val="16"/>
        </w:rPr>
        <w:t>245 First Street, 18</w:t>
      </w:r>
    </w:p>
    <w:p>
      <w:pPr>
        <w:pStyle w:val="TextBody"/>
        <w:bidi w:val="0"/>
        <w:spacing w:before="120" w:after="0"/>
        <w:jc w:val="center"/>
        <w:rPr>
          <w:rFonts w:ascii="Times New Roman" w:hAnsi="Times New Roman"/>
          <w:b/>
          <w:spacing w:val="0"/>
          <w:sz w:val="16"/>
        </w:rPr>
      </w:pPr>
      <w:r>
        <w:rPr>
          <w:rFonts w:ascii="Times New Roman" w:hAnsi="Times New Roman"/>
          <w:b/>
          <w:spacing w:val="0"/>
          <w:sz w:val="16"/>
        </w:rPr>
        <w:t>th 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Massachusetts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(857)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327-8778</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spacing w:val="0"/>
          <w:sz w:val="16"/>
        </w:rPr>
      </w:pPr>
      <w:r>
        <w:rPr>
          <w:rFonts w:ascii="Times New Roman" w:hAnsi="Times New Roman"/>
          <w:b/>
          <w:spacing w:val="0"/>
          <w:sz w:val="16"/>
        </w:rPr>
        <w:t>Regina Graul, Ph.D.</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President and Chief Executive Officer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Cyclerion Therapeutics, Inc.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245 First Street, 18</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th Floor</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Massachusetts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02142</w:t>
      </w:r>
    </w:p>
    <w:p>
      <w:pPr>
        <w:pStyle w:val="TextBody"/>
        <w:bidi w:val="0"/>
        <w:spacing w:before="0" w:after="0"/>
        <w:jc w:val="center"/>
        <w:rPr>
          <w:rFonts w:ascii="Times New Roman" w:hAnsi="Times New Roman"/>
          <w:b/>
          <w:sz w:val="16"/>
        </w:rPr>
      </w:pPr>
      <w:r>
        <w:rPr>
          <w:rFonts w:ascii="Times New Roman" w:hAnsi="Times New Roman"/>
          <w:b/>
          <w:sz w:val="16"/>
        </w:rPr>
        <w:t xml:space="preserve">(857)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327-8778</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of all communications, including communications sent to agent for service, should be sent to: </w:t>
      </w:r>
    </w:p>
    <w:p>
      <w:pPr>
        <w:pStyle w:val="TextBody"/>
        <w:bidi w:val="0"/>
        <w:spacing w:before="0" w:after="0"/>
        <w:jc w:val="left"/>
        <w:rPr>
          <w:spacing w:val="0"/>
        </w:rPr>
      </w:pPr>
      <w:r>
        <w:rPr>
          <w:spacing w:val="0"/>
        </w:rPr>
        <w:t> </w:t>
      </w:r>
    </w:p>
    <w:tbl>
      <w:tblPr>
        <w:tblW w:w="6055" w:type="dxa"/>
        <w:jc w:val="left"/>
        <w:tblInd w:w="0" w:type="dxa"/>
        <w:tblLayout w:type="fixed"/>
        <w:tblCellMar>
          <w:top w:w="0" w:type="dxa"/>
          <w:left w:w="0" w:type="dxa"/>
          <w:bottom w:w="0" w:type="dxa"/>
          <w:right w:w="0" w:type="dxa"/>
        </w:tblCellMar>
      </w:tblPr>
      <w:tblGrid>
        <w:gridCol w:w="2135"/>
        <w:gridCol w:w="60"/>
        <w:gridCol w:w="3860"/>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William J. Michener,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Zachary Blume, Esq.</w:t>
            </w:r>
          </w:p>
          <w:p>
            <w:pPr>
              <w:pStyle w:val="TableContents"/>
              <w:bidi w:val="0"/>
              <w:spacing w:before="0" w:after="20"/>
              <w:jc w:val="center"/>
              <w:rPr>
                <w:rFonts w:ascii="Times New Roman" w:hAnsi="Times New Roman"/>
                <w:b/>
                <w:sz w:val="16"/>
              </w:rPr>
            </w:pPr>
            <w:r>
              <w:rPr>
                <w:rFonts w:ascii="Times New Roman" w:hAnsi="Times New Roman"/>
                <w:b/>
                <w:sz w:val="16"/>
              </w:rPr>
              <w:t>Ropes &amp; Gray LLP</w:t>
              <w:br/>
              <w:t>Prudential Tower</w:t>
              <w:br/>
              <w:t>800 Boylston Street</w:t>
              <w:br/>
              <w:t>Boston, Massachusetts 02199</w:t>
              <w:b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951-7000</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center"/>
              <w:rPr>
                <w:b/>
                <w:spacing w:val="0"/>
              </w:rPr>
            </w:pPr>
            <w:r>
              <w:rPr>
                <w:b/>
                <w:spacing w:val="0"/>
              </w:rPr>
              <w:t>Ryan A. Murr, Esq.</w:t>
              <w:br/>
              <w:t>Branden C. Berns, Esq.</w:t>
              <w:br/>
              <w:t>Gibson, Dunn &amp; Crutcher LLP</w:t>
              <w:br/>
              <w:t>One Embarcadero Center, Suite 2600</w:t>
              <w:br/>
              <w:t>San Francisco, California 94111</w:t>
              <w:br/>
              <w:t xml:space="preserve">(415) </w:t>
            </w:r>
          </w:p>
          <w:p>
            <w:pPr>
              <w:pStyle w:val="TableContents"/>
              <w:bidi w:val="0"/>
              <w:spacing w:before="0" w:after="0"/>
              <w:jc w:val="center"/>
              <w:rPr>
                <w:b/>
                <w:spacing w:val="0"/>
              </w:rPr>
            </w:pPr>
            <w:r>
              <w:rPr>
                <w:b/>
                <w:spacing w:val="0"/>
              </w:rPr>
              <w:t>393-8373</w:t>
            </w:r>
          </w:p>
        </w:tc>
      </w:tr>
    </w:tbl>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b/>
          <w:spacing w:val="0"/>
          <w:sz w:val="16"/>
        </w:rPr>
      </w:pPr>
      <w:r>
        <w:rPr>
          <w:rFonts w:ascii="Times New Roman" w:hAnsi="Times New Roman"/>
          <w:b/>
          <w:spacing w:val="0"/>
          <w:sz w:val="16"/>
        </w:rPr>
        <w:t>Approximate date of commencement of proposed sale of the securities to the public:</w:t>
      </w:r>
    </w:p>
    <w:p>
      <w:pPr>
        <w:pStyle w:val="TextBody"/>
        <w:bidi w:val="0"/>
        <w:spacing w:before="240" w:after="0"/>
        <w:jc w:val="left"/>
        <w:rPr>
          <w:rFonts w:ascii="Times New Roman" w:hAnsi="Times New Roman"/>
          <w:sz w:val="16"/>
        </w:rPr>
      </w:pPr>
      <w:r>
        <w:rPr>
          <w:rFonts w:ascii="Times New Roman" w:hAnsi="Times New Roman"/>
          <w:sz w:val="16"/>
        </w:rPr>
        <w:t xml:space="preserve">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12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120" w:after="0"/>
        <w:jc w:val="left"/>
        <w:rPr>
          <w:rFonts w:ascii="Times New Roman" w:hAnsi="Times New Roman"/>
          <w:sz w:val="16"/>
        </w:rPr>
      </w:pPr>
      <w:r>
        <w:rPr>
          <w:rFonts w:ascii="Times New Roman" w:hAnsi="Times New Roman"/>
          <w:sz w:val="16"/>
        </w:rPr>
        <w:t xml:space="preserve">filer, a smaller reporting company, or emerging growth company. See the definitions of “large accelerated filer,” “accelerated filer,” “smaller reporting company,” and “emerging growth company” in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12b-2</w:t>
      </w:r>
    </w:p>
    <w:p>
      <w:pPr>
        <w:pStyle w:val="TextBody"/>
        <w:bidi w:val="0"/>
        <w:spacing w:before="12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pacing w:val="0"/>
          <w:sz w:val="16"/>
        </w:rPr>
      </w:pPr>
      <w:r>
        <w:rPr>
          <w:rFonts w:ascii="Times New Roman" w:hAnsi="Times New Roman"/>
          <w:spacing w:val="0"/>
          <w:sz w:val="16"/>
        </w:rPr>
        <w:t xml:space="preserve">If applicable, place an X in the box to designate the appropriate rule provision relied upon in conducting this transaction: </w:t>
      </w:r>
    </w:p>
    <w:p>
      <w:pPr>
        <w:pStyle w:val="TextBody"/>
        <w:bidi w:val="0"/>
        <w:spacing w:before="12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13e-4(i)</w:t>
      </w:r>
    </w:p>
    <w:p>
      <w:pPr>
        <w:pStyle w:val="TextBody"/>
        <w:bidi w:val="0"/>
        <w:spacing w:before="120" w:after="0"/>
        <w:jc w:val="left"/>
        <w:rPr>
          <w:rFonts w:ascii="Times New Roman" w:hAnsi="Times New Roman"/>
          <w:sz w:val="16"/>
        </w:rPr>
      </w:pPr>
      <w:r>
        <w:rPr>
          <w:rFonts w:ascii="Times New Roman" w:hAnsi="Times New Roman"/>
          <w:sz w:val="16"/>
        </w:rPr>
        <w:t xml:space="preserve">(Cross-Border Issuer Tender Offer) ☐ </w:t>
      </w:r>
    </w:p>
    <w:p>
      <w:pPr>
        <w:pStyle w:val="TextBody"/>
        <w:bidi w:val="0"/>
        <w:spacing w:before="12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120" w:after="0"/>
        <w:jc w:val="left"/>
        <w:rPr>
          <w:rFonts w:ascii="Times New Roman" w:hAnsi="Times New Roman"/>
          <w:spacing w:val="0"/>
          <w:sz w:val="16"/>
        </w:rPr>
      </w:pPr>
      <w:r>
        <w:rPr>
          <w:rFonts w:ascii="Times New Roman" w:hAnsi="Times New Roman"/>
          <w:spacing w:val="0"/>
          <w:sz w:val="16"/>
        </w:rPr>
        <w:t>14d-1(d)</w:t>
      </w:r>
    </w:p>
    <w:p>
      <w:pPr>
        <w:pStyle w:val="TextBody"/>
        <w:bidi w:val="0"/>
        <w:spacing w:before="120" w:after="0"/>
        <w:jc w:val="left"/>
        <w:rPr>
          <w:rFonts w:ascii="Times New Roman" w:hAnsi="Times New Roman"/>
          <w:sz w:val="16"/>
        </w:rPr>
      </w:pPr>
      <w:r>
        <w:rPr>
          <w:rFonts w:ascii="Times New Roman" w:hAnsi="Times New Roman"/>
          <w:sz w:val="16"/>
        </w:rPr>
        <w:t xml:space="preserve">(Cross-Border Third-Party Tender Offer) ☐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120" w:after="0"/>
        <w:jc w:val="left"/>
        <w:rPr>
          <w:rFonts w:ascii="Times New Roman" w:hAnsi="Times New Roman"/>
          <w:b/>
          <w:spacing w:val="0"/>
          <w:sz w:val="16"/>
        </w:rPr>
      </w:pPr>
      <w:r>
        <w:rPr>
          <w:rFonts w:ascii="Times New Roman" w:hAnsi="Times New Roman"/>
          <w:b/>
          <w:spacing w:val="0"/>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The issuances of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are intended to be covered by this registration statement on Form S-4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There is no difference between (A) the shares of Cyclerion Common Stock that will be issued in exchange for each share of Korsana Common Stock and Korsana Series A Preferred Stock (including shares of Korsana Common Stock issued in the Korsana Pre-Closing Financing), (B) the shares of Cyclerion Common Stock that will be issuable upon the exercise of Cyclerion Warrants issued in exchange for Korsana Warrants, (C) the shares of Cyclerion Common Stock that will be issuable upon conversion of Cyclerion Series B Preferred Stock issued in exchange for each share of Korsana Series Seed Preferred Stock, (D) the shares of Cyclerion Common Stock that will be issuable upon the exercise of options to purchase shares of Cyclerion Common Stock issued in exchange for Korsana Options, and (E) the shares of Cyclerion Common Stock that will be issuable upon the settlement of Cyclerion RSUs that will be issued in exchange for Korsana RSUs. </w:t>
      </w:r>
    </w:p>
    <w:p>
      <w:pPr>
        <w:pStyle w:val="TextBody"/>
        <w:bidi w:val="0"/>
        <w:spacing w:before="48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Cyclerion Therapeutics, Inc. that is not included in or delivered with this document. You may obtain this information without charge through the Securities and Exchange Commission (“SEC”) website (</w:t>
      </w:r>
      <w:r>
        <w:rPr>
          <w:rFonts w:ascii="Times New Roman" w:hAnsi="Times New Roman"/>
          <w:i/>
          <w:sz w:val="20"/>
        </w:rPr>
        <w:t>www.sec.gov</w:t>
      </w:r>
      <w:r>
        <w:rPr>
          <w:rFonts w:ascii="Times New Roman" w:hAnsi="Times New Roman"/>
          <w:sz w:val="20"/>
        </w:rPr>
        <w:t xml:space="preserve">) or upon your written or oral request by contacting 245 First Street, 18th Floor, Cambridge, MA 02142, Attention: Secretary, or by calling (857) 327-8778. Cyclerion also maintains a website at </w:t>
      </w:r>
      <w:r>
        <w:rPr>
          <w:rFonts w:ascii="Times New Roman" w:hAnsi="Times New Roman"/>
          <w:i/>
          <w:sz w:val="20"/>
        </w:rPr>
        <w:t>www.cyclerion.com</w:t>
      </w:r>
      <w:r>
        <w:rPr>
          <w:rFonts w:ascii="Times New Roman" w:hAnsi="Times New Roman"/>
          <w:sz w:val="20"/>
        </w:rPr>
        <w:t xml:space="preserve">, at which you may access these materials free of charge as soon as reasonably practicable after they are electronically filed with, or furnished to, the SEC. However, the information contained in or accessible through Cyclerion’s website is not part of the accompanying proxy statement/prospectus or the registration statement of which the accompanying proxy statement/prospectus forms a part.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August 12, 2026 to receive them before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Cyclerion,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the accompanying proxy statement/prospectus.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The information in this preliminary proxy statement/prospectus is not complete and may be changed. Cyclerion Therapeutics, Inc.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JULY 22, 2026 </w:t>
      </w:r>
    </w:p>
    <w:p>
      <w:pPr>
        <w:pStyle w:val="TextBody"/>
        <w:bidi w:val="0"/>
        <w:spacing w:before="0" w:after="0"/>
        <w:ind w:left="960" w:right="960" w:hanging="0"/>
        <w:jc w:val="left"/>
        <w:rPr/>
      </w:pPr>
      <w:r>
        <w:rPr/>
        <w:t> </w:t>
      </w:r>
    </w:p>
    <w:tbl>
      <w:tblPr>
        <w:tblW w:w="7901" w:type="dxa"/>
        <w:jc w:val="left"/>
        <w:tblInd w:w="960" w:type="dxa"/>
        <w:tblLayout w:type="fixed"/>
        <w:tblCellMar>
          <w:top w:w="0" w:type="dxa"/>
          <w:left w:w="0" w:type="dxa"/>
          <w:bottom w:w="0" w:type="dxa"/>
          <w:right w:w="0" w:type="dxa"/>
        </w:tblCellMar>
      </w:tblPr>
      <w:tblGrid>
        <w:gridCol w:w="3277"/>
        <w:gridCol w:w="120"/>
        <w:gridCol w:w="4504"/>
      </w:tblGrid>
      <w:tr>
        <w:trPr/>
        <w:tc>
          <w:tcPr>
            <w:tcW w:w="3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04" w:type="dxa"/>
            <w:tcBorders/>
            <w:vAlign w:val="center"/>
          </w:tcPr>
          <w:p>
            <w:pPr>
              <w:pStyle w:val="TableContents"/>
              <w:bidi w:val="0"/>
              <w:spacing w:before="0" w:after="283"/>
              <w:jc w:val="left"/>
              <w:rPr>
                <w:sz w:val="4"/>
                <w:szCs w:val="4"/>
              </w:rPr>
            </w:pPr>
            <w:r>
              <w:rPr>
                <w:sz w:val="4"/>
                <w:szCs w:val="4"/>
              </w:rPr>
            </w:r>
          </w:p>
        </w:tc>
      </w:tr>
      <w:tr>
        <w:trPr/>
        <w:tc>
          <w:tcPr>
            <w:tcW w:w="3277" w:type="dxa"/>
            <w:tcBorders/>
            <w:vAlign w:val="center"/>
          </w:tcPr>
          <w:p>
            <w:pPr>
              <w:pStyle w:val="TableContents"/>
              <w:bidi w:val="0"/>
              <w:spacing w:before="0" w:after="283"/>
              <w:jc w:val="left"/>
              <w:rPr/>
            </w:pPr>
            <w:r>
              <w:rPr/>
              <w:drawing>
                <wp:inline distT="0" distB="0" distL="0" distR="0">
                  <wp:extent cx="2033270" cy="888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3270" cy="88836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504" w:type="dxa"/>
            <w:tcBorders/>
            <w:vAlign w:val="center"/>
          </w:tcPr>
          <w:p>
            <w:pPr>
              <w:pStyle w:val="TableContents"/>
              <w:bidi w:val="0"/>
              <w:spacing w:before="0" w:after="283"/>
              <w:jc w:val="left"/>
              <w:rPr/>
            </w:pPr>
            <w:r>
              <w:rPr/>
              <w:drawing>
                <wp:inline distT="0" distB="0" distL="0" distR="0">
                  <wp:extent cx="2812415" cy="5981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12415" cy="598170"/>
                          </a:xfrm>
                          <a:prstGeom prst="rect">
                            <a:avLst/>
                          </a:prstGeom>
                        </pic:spPr>
                      </pic:pic>
                    </a:graphicData>
                  </a:graphic>
                </wp:inline>
              </w:drawing>
            </w:r>
            <w:r>
              <w:rPr/>
              <w:t xml:space="preserve"> </w:t>
            </w:r>
          </w:p>
        </w:tc>
      </w:tr>
    </w:tbl>
    <w:p>
      <w:pPr>
        <w:pStyle w:val="TextBody"/>
        <w:bidi w:val="0"/>
        <w:spacing w:before="20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To the Shareholders of Cyclerion Therapeutics, Inc. and Korsana Biosciences, Inc.,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 xml:space="preserve">Cyclerion Therapeutics, Inc., a Massachusetts corporation (“Cyclerion”), and Korsana Biosciences, Inc., a Delaware corporation (“Korsana”), entered into an Agreement and Plan of Merger and Reorganization on April 1, 2026, which agreement was subsequently amended on April 17, 2026 (as amended, the “Merger Agreement”),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The term “Combined Company” when used in the accompanying proxy statement/prospectus refers to the post-Merger corporate structure including Korsana Biosciences, Inc. (f/k/a Cyclerion Therapeutics, Inc.) as the parent entity and Korsana Biosciences Operating Company, LLC as its wholly-owned subsidiary. </w:t>
      </w:r>
    </w:p>
    <w:p>
      <w:pPr>
        <w:pStyle w:val="TextBody"/>
        <w:bidi w:val="0"/>
        <w:spacing w:before="200" w:after="0"/>
        <w:ind w:left="960" w:right="960" w:hanging="0"/>
        <w:jc w:val="left"/>
        <w:rPr>
          <w:rFonts w:ascii="Times New Roman" w:hAnsi="Times New Roman"/>
          <w:sz w:val="20"/>
        </w:rPr>
      </w:pPr>
      <w:r>
        <w:rPr>
          <w:rFonts w:ascii="Times New Roman" w:hAnsi="Times New Roman"/>
          <w:sz w:val="20"/>
        </w:rPr>
        <w:t>At the closing of the First Merger (the “First Effective Time”, and the date on which the closing of the Merger occurs, the “Closing Date”), upon the terms and subject to the conditions set forth in the Merger Agreement: (i) each then-outstanding share of Korsana common stock, $0.0001 par value per share, of Korsana (the “Korsana Common Stock”) and Korsana Series A Preferred Stock, $0.0001 par value per share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Options</w:t>
      </w:r>
      <w:r>
        <w:rPr>
          <w:rFonts w:ascii="Times New Roman" w:hAnsi="Times New Roman"/>
          <w:sz w:val="20"/>
        </w:rPr>
        <w:t>” beginning on page 172 of the accompanying proxy statement/prospectus; (iv) each then-outstanding restricted stock unit (a “Korsana RSU”) for shares of Korsana Common Stock will be converted into and become a restricted stock unit (a “Cyclerion RSU”) for shares of Cyclerion Common Stock on the existing terms and conditions (including with respect to vesting and accelerated vesting),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Restricted Stock Units</w:t>
      </w:r>
      <w:r>
        <w:rPr>
          <w:rFonts w:ascii="Times New Roman" w:hAnsi="Times New Roman"/>
          <w:sz w:val="20"/>
        </w:rPr>
        <w:t>” beginning on page 173 of the accompanying proxy statement/prospectus; and (v) each then-outstanding warrant to purchase shares of Korsana Common Stock (each, a “Korsana Warrant”) will be converted into a warrant to purchase shares of Cyclerion Common Stock on the existing terms and conditions (each, a “Cyclerion Warrant”), subject to adjustment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Korsana</w:t>
      </w:r>
      <w:r>
        <w:rPr>
          <w:rFonts w:ascii="Times New Roman" w:hAnsi="Times New Roman"/>
          <w:sz w:val="20"/>
        </w:rPr>
        <w:t xml:space="preserve"> </w:t>
      </w:r>
      <w:r>
        <w:rPr>
          <w:rFonts w:ascii="Times New Roman" w:hAnsi="Times New Roman"/>
          <w:i/>
          <w:sz w:val="20"/>
        </w:rPr>
        <w:t>Warrants</w:t>
      </w:r>
      <w:r>
        <w:rPr>
          <w:rFonts w:ascii="Times New Roman" w:hAnsi="Times New Roman"/>
          <w:sz w:val="20"/>
        </w:rPr>
        <w:t xml:space="preserve">” beginning on page 173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(the “Cyclerion Board”)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and such Cyclerion Options, “In-the-Money Cyclerion Options”),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(“Cyclerion Stock Option Cash Consideration”). Each Cyclerion Option with an exercise price greater than the Cyclerion Closing Price (an “Out-of-the-Money Cyclerion Option”) will be cancelled for no consideration. The vesting of each Cyclerion RSA will be accelerated in full. </w:t>
      </w:r>
    </w:p>
    <w:p>
      <w:pPr>
        <w:pStyle w:val="TextBody"/>
        <w:bidi w:val="0"/>
        <w:spacing w:before="200" w:after="0"/>
        <w:jc w:val="left"/>
        <w:rPr>
          <w:rFonts w:ascii="Times New Roman" w:hAnsi="Times New Roman"/>
          <w:sz w:val="20"/>
        </w:rPr>
      </w:pPr>
      <w:r>
        <w:rPr>
          <w:rFonts w:ascii="Times New Roman" w:hAnsi="Times New Roman"/>
          <w:sz w:val="20"/>
        </w:rPr>
        <w:t>Based on Cyclerion’s and Korsana’s capitalization as of June 30, 2026 and assuming Cyclerion’s net cash as of closing being equal to $(2.5) million, each share of Korsana Common Stock and Korsana Series A Preferred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as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beginning on page 169 of the accompanying proxy statement/prospectus. Korsana and the investors participating in the Korsana Pre-Closing Financing have also agreed to enter into a registration rights agreement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 (“Rule 415”). The Korsana Pre-Closing Financing is more fully described in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and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Registration Rights Agreement</w:t>
      </w:r>
      <w:r>
        <w:rPr>
          <w:rFonts w:ascii="Times New Roman" w:hAnsi="Times New Roman"/>
          <w:sz w:val="20"/>
        </w:rPr>
        <w:t xml:space="preserve">” beginning on pages 188 and 190, respectively,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Immediately after the Merger, based on the estimated Exchange Ratio as described in the accompanying proxy statement/prospectus, Cyclerion securityholders as of immediately prior to the Merger are expected to own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approximately 1.1% of the outstanding shares of capital stock of the Combined Company (on a fully-diluted basis), and former holders of Korsana securities (including those issued in the Korsana Pre-Closing Financing) are expected to own approximately 98.9% of the outstanding shares of capital stock of the Combined Company (on a fully-diluted basis), subject to certain assumptions, including, but not limited to, Cyclerion’s net cash as of closing being equal to $(2.5) million. Under certain circumstances described in more detail in the section 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 </w:t>
      </w:r>
      <w:r>
        <w:rPr>
          <w:rFonts w:ascii="Times New Roman" w:hAnsi="Times New Roman"/>
          <w:i/>
          <w:sz w:val="20"/>
        </w:rPr>
        <w:t>Exchange Ratio</w:t>
      </w:r>
      <w:r>
        <w:rPr>
          <w:rFonts w:ascii="Times New Roman" w:hAnsi="Times New Roman"/>
          <w:sz w:val="20"/>
        </w:rPr>
        <w:t xml:space="preserve">” beginning on page 169 of the accompanying proxy statement/prospectus,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0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plans to file an initial listing application for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in the event that the shares of Cyclerion Common Stock to be issued in the Merger are not approved for listing on Nasdaq, it is possible that Cyclerion and Korsana may mutually agree to waive the applicable condition and nonetheless proceed with completion of the Merger.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annual meeting described below. On July 21, 2026, the last trading day before the date of the accompanying proxy statement/prospectus, the closing sale price of Cyclerion Common Stock was $3.70 per share. </w:t>
      </w:r>
    </w:p>
    <w:p>
      <w:pPr>
        <w:pStyle w:val="TextBody"/>
        <w:bidi w:val="0"/>
        <w:spacing w:before="200" w:after="0"/>
        <w:jc w:val="left"/>
        <w:rPr>
          <w:rFonts w:ascii="Times New Roman" w:hAnsi="Times New Roman"/>
          <w:sz w:val="20"/>
        </w:rPr>
      </w:pPr>
      <w:r>
        <w:rPr>
          <w:rFonts w:ascii="Times New Roman" w:hAnsi="Times New Roman"/>
          <w:sz w:val="20"/>
        </w:rPr>
        <w:t xml:space="preserve">Cyclerion shareholders are cordially invited to attend the annual meeting of Cyclerion (the “Cyclerion Shareholders Meeting”) to be held on August 26, 2026, at 2:00 p.m. Eastern Time, unless postponed or adjourned to a later date, in order to obtain the shareholder approvals necessary to complete the Merger and related matters. At the Cyclerion Shareholders Meeting, Cyclerion will ask its shareholders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2.</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the accompanying proxy statement/prospectus (the “Authorized Share Increase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3.</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the accompanying proxy statement/prospectus, with the final ratio and effectiveness of such amendment and the abandonment of such amendment to be mutually agreed by the Cyclerion Board and the Korsana board of directors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4.</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the accompanying proxy statement/prospectus (“Proposal No. 4B” and together with Proposal No. 4A, the “Redomestication Proposal” or “Proposal No. 4”);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215"/>
        <w:gridCol w:w="9335"/>
      </w:tblGrid>
      <w:tr>
        <w:trPr/>
        <w:tc>
          <w:tcPr>
            <w:tcW w:w="215" w:type="dxa"/>
            <w:tcBorders/>
            <w:vAlign w:val="center"/>
          </w:tcPr>
          <w:p>
            <w:pPr>
              <w:pStyle w:val="TableContents"/>
              <w:bidi w:val="0"/>
              <w:spacing w:before="0" w:after="283"/>
              <w:jc w:val="left"/>
              <w:rPr/>
            </w:pPr>
            <w:r>
              <w:rPr/>
              <w:t>7.</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283"/>
              <w:jc w:val="left"/>
              <w:rPr/>
            </w:pPr>
            <w:r>
              <w:rPr/>
              <w:t>8.</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10.</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12.</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00" w:after="0"/>
        <w:jc w:val="left"/>
        <w:rPr>
          <w:rFonts w:ascii="Times New Roman" w:hAnsi="Times New Roman"/>
          <w:sz w:val="20"/>
        </w:rPr>
      </w:pPr>
      <w:r>
        <w:rPr>
          <w:rFonts w:ascii="Times New Roman" w:hAnsi="Times New Roman"/>
          <w:sz w:val="20"/>
        </w:rPr>
        <w:t xml:space="preserve">As described in the accompanying proxy statement/prospectus, current directors and officers of Cyclerion who in the aggregate owned approximately 24.2% of the outstanding shares of Cyclerion capital stock on an as-converted to Cyclerion Common Stock basis as of June 30, 2026, and certain Korsana stockholders (solely in their respective capacities as Korsana stockholders) who in the aggregate owned approximately 43.9% of the outstanding shares of Korsana capital stock as of June 30, 2026, are parties to stockholder support agreements with Cyclerion and Korsana, respectively, whereby such stockholders have agreed to vote in favor of the adoption of the Merger Agreement and the approval of the Merger and related transactions contemplated by the Merger Agreement,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200" w:after="0"/>
        <w:jc w:val="left"/>
        <w:rPr>
          <w:rFonts w:ascii="Times New Roman" w:hAnsi="Times New Roman"/>
          <w:sz w:val="20"/>
        </w:rPr>
      </w:pPr>
      <w:r>
        <w:rPr>
          <w:rFonts w:ascii="Times New Roman" w:hAnsi="Times New Roman"/>
          <w:sz w:val="20"/>
        </w:rPr>
        <w:t xml:space="preserve">After careful consideration, each of the Cyclerion and the Korsana boards of directors has approved the Merger Agreement and has determined that it is advisable to consummate the Merger. The Cyclerion Board has approved the proposals described in the accompanying proxy statement/prospectus and recommends that its shareholders vote “FOR” the proposals described in the accompanying proxy statement/prospectus.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More information about Cyclerion, Korsana, the Merger Agreement and transactions contemplated thereby and the foregoing proposals are contained in the accompanying proxy statement/prospectus. Cyclerion urges you to read the accompanying proxy statement/prospectus carefully and in its entirety. IN PARTICULAR, YOU SHOULD CAREFULLY CONSIDER THE MATTERS DISCUSSED UNDER “RISK FACTORS” BEGINNING ON PAGE 33 OF THE ACCOMPANYING PROXY STATEMENT/PROSPECTUS. </w:t>
      </w:r>
    </w:p>
    <w:p>
      <w:pPr>
        <w:pStyle w:val="TextBody"/>
        <w:bidi w:val="0"/>
        <w:spacing w:before="200" w:after="0"/>
        <w:jc w:val="left"/>
        <w:rPr>
          <w:rFonts w:ascii="Times New Roman" w:hAnsi="Times New Roman"/>
          <w:sz w:val="20"/>
        </w:rPr>
      </w:pPr>
      <w:r>
        <w:rPr>
          <w:rFonts w:ascii="Times New Roman" w:hAnsi="Times New Roman"/>
          <w:sz w:val="20"/>
        </w:rPr>
        <w:t xml:space="preserve">Cyclerion and Korsana are excited about the opportunities the Merger brings to Cyclerion’s shareholders and Korsana’s stockholders and thank you for your consideration and continued support.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3620"/>
        <w:gridCol w:w="120"/>
        <w:gridCol w:w="362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Regina Graul, Ph.D.</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Jonathan Violin, Ph.D.</w:t>
            </w:r>
          </w:p>
        </w:tc>
      </w:tr>
      <w:tr>
        <w:trPr/>
        <w:tc>
          <w:tcPr>
            <w:tcW w:w="3620" w:type="dxa"/>
            <w:tcBorders/>
            <w:vAlign w:val="center"/>
          </w:tcPr>
          <w:p>
            <w:pPr>
              <w:pStyle w:val="TableContents"/>
              <w:bidi w:val="0"/>
              <w:spacing w:before="0" w:after="283"/>
              <w:jc w:val="left"/>
              <w:rPr>
                <w:i/>
              </w:rPr>
            </w:pPr>
            <w:r>
              <w:rPr>
                <w:i/>
              </w:rPr>
              <w:t>President and Chief Executive Officer</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Chief Executive Officer and President</w:t>
            </w:r>
          </w:p>
        </w:tc>
      </w:tr>
      <w:tr>
        <w:trPr/>
        <w:tc>
          <w:tcPr>
            <w:tcW w:w="3620" w:type="dxa"/>
            <w:tcBorders/>
            <w:vAlign w:val="center"/>
          </w:tcPr>
          <w:p>
            <w:pPr>
              <w:pStyle w:val="TableContents"/>
              <w:bidi w:val="0"/>
              <w:spacing w:before="0" w:after="283"/>
              <w:jc w:val="left"/>
              <w:rPr>
                <w:i/>
              </w:rPr>
            </w:pPr>
            <w:r>
              <w:rPr>
                <w:i/>
              </w:rPr>
              <w:t>Cyclerion Therapeutics, Inc.</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Korsana Biosciences,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00" w:after="0"/>
        <w:jc w:val="left"/>
        <w:rPr>
          <w:rFonts w:ascii="Times New Roman" w:hAnsi="Times New Roman"/>
          <w:b/>
          <w:sz w:val="20"/>
        </w:rPr>
      </w:pPr>
      <w:r>
        <w:rPr>
          <w:rFonts w:ascii="Times New Roman" w:hAnsi="Times New Roman"/>
          <w:b/>
          <w:sz w:val="20"/>
        </w:rPr>
        <w:t xml:space="preserve">The accompanying proxy statement/prospectus is dated July 22, 2026, and is first being mailed to Cyclerion’s shareholders on or about July 27,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245 First Street, 18th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Cyclerion Therapeutics, Inc.: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virtual annual meeting of shareholders (the “Cyclerion Shareholders Meeting”) will be held on Wednesday, August 26, 2026 at 2:00 p.m.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Cyclerion Shareholders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1.</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terms of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2.</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articles of amendment to the restated articles of organization of Cyclerion, as amended (the “Cyclerion Articles”), to increase the number of shares of Cyclerion Common Stock that Cyclerion is authorized to issue from 400,000,000 to 700,000,000, in the form attached as </w:t>
            </w:r>
            <w:r>
              <w:rPr>
                <w:rFonts w:ascii="Times New Roman" w:hAnsi="Times New Roman"/>
                <w:i/>
                <w:sz w:val="20"/>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3.</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4.</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the redomestication of Cyclerion from the Commonwealth of Massachusetts to the Cayman Islands by domestication and (B)(i) the redomestication of Cyclerion from the Commonwealth of Massachusetts to the Cayman Islands by way of continuation and (ii) and, as a special resolution for the purposes of Cayman Islands law,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5.</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6.</w:t>
            </w:r>
          </w:p>
        </w:tc>
        <w:tc>
          <w:tcPr>
            <w:tcW w:w="100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Cyclerion’s independent registered public accounting firm for fiscal year ending December 31, 2026;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215"/>
        <w:gridCol w:w="5675"/>
      </w:tblGrid>
      <w:tr>
        <w:trPr/>
        <w:tc>
          <w:tcPr>
            <w:tcW w:w="215" w:type="dxa"/>
            <w:tcBorders/>
            <w:vAlign w:val="center"/>
          </w:tcPr>
          <w:p>
            <w:pPr>
              <w:pStyle w:val="TableContents"/>
              <w:bidi w:val="0"/>
              <w:spacing w:before="0" w:after="283"/>
              <w:jc w:val="left"/>
              <w:rPr/>
            </w:pPr>
            <w:r>
              <w:rPr/>
              <w:t>7.</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Stock Incentive Plan;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215"/>
        <w:gridCol w:w="6500"/>
      </w:tblGrid>
      <w:tr>
        <w:trPr/>
        <w:tc>
          <w:tcPr>
            <w:tcW w:w="215" w:type="dxa"/>
            <w:tcBorders/>
            <w:vAlign w:val="center"/>
          </w:tcPr>
          <w:p>
            <w:pPr>
              <w:pStyle w:val="TableContents"/>
              <w:bidi w:val="0"/>
              <w:spacing w:before="0" w:after="283"/>
              <w:jc w:val="left"/>
              <w:rPr/>
            </w:pPr>
            <w:r>
              <w:rPr/>
              <w:t>8.</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Korsana Biosciences, Inc. 2026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9.</w:t>
            </w:r>
          </w:p>
        </w:tc>
        <w:tc>
          <w:tcPr>
            <w:tcW w:w="10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certain compensation arrangements for Cyclerion’s named executive officers that are based on or otherwise relate to the Merger;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945" w:type="dxa"/>
        <w:jc w:val="left"/>
        <w:tblInd w:w="0" w:type="dxa"/>
        <w:tblLayout w:type="fixed"/>
        <w:tblCellMar>
          <w:top w:w="0" w:type="dxa"/>
          <w:left w:w="0" w:type="dxa"/>
          <w:bottom w:w="0" w:type="dxa"/>
          <w:right w:w="0" w:type="dxa"/>
        </w:tblCellMar>
      </w:tblPr>
      <w:tblGrid>
        <w:gridCol w:w="335"/>
        <w:gridCol w:w="7610"/>
      </w:tblGrid>
      <w:tr>
        <w:trPr/>
        <w:tc>
          <w:tcPr>
            <w:tcW w:w="335" w:type="dxa"/>
            <w:tcBorders/>
            <w:vAlign w:val="center"/>
          </w:tcPr>
          <w:p>
            <w:pPr>
              <w:pStyle w:val="TableContents"/>
              <w:bidi w:val="0"/>
              <w:spacing w:before="0" w:after="283"/>
              <w:jc w:val="left"/>
              <w:rPr/>
            </w:pPr>
            <w:r>
              <w:rPr/>
              <w:t>10.</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Cyclerion’s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Cyclerion Shareholders Meeting, if necessary, to solicit additional proxies if there is not a sufficient number of votes in favor of the Nasdaq Stock Issuance Proposal, the Authorized Share Increase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pPr>
            <w:r>
              <w:rPr/>
              <w:t>12.</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fixed July 17, 2026 as the record date (the “Record Date”) for the determination of shareholders entitled to notice of, and to vote at, the Cyclerion Shareholders Meeting and any adjournment or postponement thereof. Only holders of record of shares of Cyclerion Common Stock at the close of business on the Record Date are entitled to notice of, and to vote at, the Cyclerion Shareholders Meeting. At the close of business on July 17, 2026, Cyclerion had 4,681,351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approvals of Proposal Nos. 4A, 4B, 7, 8, and 9 are not conditions to the completion of the Merger, however, each of these proposals is conditioned on the consummation of the Merger and will not be implemented if the Merger is not consummated. Approvals of Proposal Nos. 3, 5, 6, 10, and 11 are requested whether or not the Merger is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All shareholders are cordially invited to attend the annual meeting. Even if you plan to attend the Cyclerion Shareholders Meeting, Cyclerion requests that you sign and return the enclosed proxy or vote by mail or online to ensure that your shares will be represented at the Cyclerion Shareholders Meeting if you are unable to attend. You may change or revoke your proxy at any time before it is voted at the Cyclerion Shareholders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HAS DETERMINED AND BELIEVES THAT EACH OF THE PROPOSALS OUTLINED ABOVE IS FAIR TO, IN THE BEST INTERESTS OF, AND ADVISABLE TO CYCLERION AND ITS SHAREHOLDERS AND HAS APPROVED EACH SUCH PROPOSAL. THE CYCLERION BOARD RECOMMENDS THAT CYCLERION SHAREHOLDERS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Cyclerion Shareholders Meeting to Be Held onAugust 26, 2026 at 2:00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which also serves as the annual report to shareholders in connection with the annual meeting, is available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Cyclerion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Regina Graul, Ph.D. </w:t>
      </w:r>
    </w:p>
    <w:p>
      <w:pPr>
        <w:pStyle w:val="TextBody"/>
        <w:bidi w:val="0"/>
        <w:spacing w:before="0" w:after="0"/>
        <w:jc w:val="left"/>
        <w:rPr>
          <w:rFonts w:ascii="Times New Roman" w:hAnsi="Times New Roman"/>
          <w:sz w:val="20"/>
        </w:rPr>
      </w:pPr>
      <w:r>
        <w:rPr>
          <w:rFonts w:ascii="Times New Roman" w:hAnsi="Times New Roman"/>
          <w:sz w:val="20"/>
        </w:rPr>
        <w:t xml:space="preserve">President and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July 22,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15"/>
        <w:gridCol w:w="120"/>
        <w:gridCol w:w="94"/>
        <w:gridCol w:w="60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0"/>
              <w:jc w:val="left"/>
              <w:rPr/>
            </w:pPr>
            <w:hyperlink w:anchor="tx111069_1">
              <w:r>
                <w:rPr>
                  <w:rStyle w:val="InternetLink"/>
                  <w:rFonts w:ascii="Times New Roman" w:hAnsi="Times New Roman"/>
                  <w:sz w:val="20"/>
                </w:rPr>
                <w:t>QUESTIONS AND ANSWERS ABOUT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
              <w:r>
                <w:rPr>
                  <w:rStyle w:val="InternetLink"/>
                  <w:rFonts w:ascii="Times New Roman" w:hAnsi="Times New Roman"/>
                  <w:sz w:val="20"/>
                </w:rPr>
                <w:t>MARKET PRICE AND DIVIDEND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
              <w:r>
                <w:rPr>
                  <w:rStyle w:val="InternetLink"/>
                  <w:rFonts w:ascii="Times New Roman" w:hAnsi="Times New Roman"/>
                  <w:sz w:val="20"/>
                </w:rPr>
                <w:t>THE ANNUAL MEETING OF CYCLERION SHAREHOLDERS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7">
              <w:r>
                <w:rPr>
                  <w:rStyle w:val="InternetLink"/>
                  <w:rFonts w:ascii="Times New Roman" w:hAnsi="Times New Roman"/>
                  <w:sz w:val="20"/>
                </w:rPr>
                <w:t>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134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8">
              <w:r>
                <w:rPr>
                  <w:rStyle w:val="InternetLink"/>
                  <w:rFonts w:ascii="Times New Roman" w:hAnsi="Times New Roman"/>
                  <w:sz w:val="20"/>
                </w:rPr>
                <w:t>THE MERGER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168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9">
              <w:r>
                <w:rPr>
                  <w:rStyle w:val="InternetLink"/>
                  <w:rFonts w:ascii="Times New Roman" w:hAnsi="Times New Roman"/>
                  <w:sz w:val="20"/>
                </w:rPr>
                <w:t>AGREEMENTS RELATED TO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188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0">
              <w:r>
                <w:rPr>
                  <w:rStyle w:val="InternetLink"/>
                  <w:rFonts w:ascii="Times New Roman" w:hAnsi="Times New Roman"/>
                  <w:sz w:val="20"/>
                </w:rPr>
                <w:t>CYCLERION DIRECTORS, OFFICERS AND CORPORATE GOVERNANCE</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197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1">
              <w:r>
                <w:rPr>
                  <w:rStyle w:val="InternetLink"/>
                  <w:rFonts w:ascii="Times New Roman" w:hAnsi="Times New Roman"/>
                  <w:sz w:val="20"/>
                </w:rPr>
                <w:t>CYCLERION EXECUTIVE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2">
              <w:r>
                <w:rPr>
                  <w:rStyle w:val="InternetLink"/>
                  <w:rFonts w:ascii="Times New Roman" w:hAnsi="Times New Roman"/>
                  <w:sz w:val="20"/>
                </w:rPr>
                <w:t>CYCLERION NON-EMPLOYEE DIRECTOR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3">
              <w:r>
                <w:rPr>
                  <w:rStyle w:val="InternetLink"/>
                  <w:rFonts w:ascii="Times New Roman" w:hAnsi="Times New Roman"/>
                  <w:sz w:val="20"/>
                </w:rPr>
                <w:t>CYCLERION EQUITY COMPENSATION PLAN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4">
              <w:r>
                <w:rPr>
                  <w:rStyle w:val="InternetLink"/>
                  <w:rFonts w:ascii="Times New Roman" w:hAnsi="Times New Roman"/>
                  <w:sz w:val="20"/>
                </w:rPr>
                <w:t>KORSANA EXECUTIVE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5">
              <w:r>
                <w:rPr>
                  <w:rStyle w:val="InternetLink"/>
                  <w:rFonts w:ascii="Times New Roman" w:hAnsi="Times New Roman"/>
                  <w:sz w:val="20"/>
                </w:rPr>
                <w:t>KORSANA DIRECTOR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219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6">
              <w:r>
                <w:rPr>
                  <w:rStyle w:val="InternetLink"/>
                  <w:rFonts w:ascii="Times New Roman" w:hAnsi="Times New Roman"/>
                  <w:sz w:val="20"/>
                </w:rPr>
                <w:t>MATTERS BEING SUBMITTED TO A VOTE OF CYCLERION SHAREHOLDERS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7">
              <w:r>
                <w:rPr>
                  <w:rStyle w:val="InternetLink"/>
                  <w:rFonts w:ascii="Times New Roman" w:hAnsi="Times New Roman"/>
                  <w:sz w:val="20"/>
                </w:rPr>
                <w:t>PROPOSAL NO. 1 - THE NASDAQ STOCK ISSUANCE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8">
              <w:r>
                <w:rPr>
                  <w:rStyle w:val="InternetLink"/>
                  <w:rFonts w:ascii="Times New Roman" w:hAnsi="Times New Roman"/>
                  <w:sz w:val="20"/>
                </w:rPr>
                <w:t>PROPOSAL NO. 2 - THE AUTHORIZED SHARE INCREASE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19">
              <w:r>
                <w:rPr>
                  <w:rStyle w:val="InternetLink"/>
                  <w:rFonts w:ascii="Times New Roman" w:hAnsi="Times New Roman"/>
                  <w:sz w:val="20"/>
                </w:rPr>
                <w:t>PROPOSAL NO. 3 - THE REVERSE STOCK SPLIT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226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0">
              <w:r>
                <w:rPr>
                  <w:rStyle w:val="InternetLink"/>
                  <w:rFonts w:ascii="Times New Roman" w:hAnsi="Times New Roman"/>
                  <w:sz w:val="20"/>
                </w:rPr>
                <w:t>PROPOSAL NO. 4 - THE REDOMESTICATION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234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1">
              <w:r>
                <w:rPr>
                  <w:rStyle w:val="InternetLink"/>
                  <w:rFonts w:ascii="Times New Roman" w:hAnsi="Times New Roman"/>
                  <w:sz w:val="20"/>
                </w:rPr>
                <w:t>PROPOSAL NO. 5 - THE DIRECTOR ELECTION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265</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2">
              <w:r>
                <w:rPr>
                  <w:rStyle w:val="InternetLink"/>
                  <w:rFonts w:ascii="Times New Roman" w:hAnsi="Times New Roman"/>
                  <w:sz w:val="20"/>
                </w:rPr>
                <w:t>PROPOSAL NO. 6 - THE AUDITOR RATIFICATION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3">
              <w:r>
                <w:rPr>
                  <w:rStyle w:val="InternetLink"/>
                  <w:rFonts w:ascii="Times New Roman" w:hAnsi="Times New Roman"/>
                  <w:sz w:val="20"/>
                </w:rPr>
                <w:t>PROPOSAL NO. 7 - THE STOCK PLAN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268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4">
              <w:r>
                <w:rPr>
                  <w:rStyle w:val="InternetLink"/>
                  <w:rFonts w:ascii="Times New Roman" w:hAnsi="Times New Roman"/>
                  <w:sz w:val="20"/>
                </w:rPr>
                <w:t>PROPOSAL NO. 8 - THE ESPP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5">
              <w:r>
                <w:rPr>
                  <w:rStyle w:val="InternetLink"/>
                  <w:rFonts w:ascii="Times New Roman" w:hAnsi="Times New Roman"/>
                  <w:sz w:val="20"/>
                </w:rPr>
                <w:t>PROPOSAL NO. 9 - THE MERGER COMPENSATION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6">
              <w:r>
                <w:rPr>
                  <w:rStyle w:val="InternetLink"/>
                  <w:rFonts w:ascii="Times New Roman" w:hAnsi="Times New Roman"/>
                  <w:sz w:val="20"/>
                </w:rPr>
                <w:t>PROPOSAL NO. 10 - THE SAY-ON-PAY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7">
              <w:r>
                <w:rPr>
                  <w:rStyle w:val="InternetLink"/>
                  <w:rFonts w:ascii="Times New Roman" w:hAnsi="Times New Roman"/>
                  <w:sz w:val="20"/>
                </w:rPr>
                <w:t>PROPOSAL NO. 11 - THE ADJOURNMENT PROPOSAL</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279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8">
              <w:r>
                <w:rPr>
                  <w:rStyle w:val="InternetLink"/>
                  <w:rFonts w:ascii="Times New Roman" w:hAnsi="Times New Roman"/>
                  <w:sz w:val="20"/>
                </w:rPr>
                <w:t>CYCLERION’S BUSINESS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280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29">
              <w:r>
                <w:rPr>
                  <w:rStyle w:val="InternetLink"/>
                  <w:rFonts w:ascii="Times New Roman" w:hAnsi="Times New Roman"/>
                  <w:sz w:val="20"/>
                </w:rPr>
                <w:t>KORSANA’S BUSINESS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297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0">
              <w:r>
                <w:rPr>
                  <w:rStyle w:val="InternetLink"/>
                  <w:rFonts w:ascii="Times New Roman" w:hAnsi="Times New Roman"/>
                  <w:sz w:val="20"/>
                </w:rPr>
                <w:t>CYCLERION’S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346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1">
              <w:r>
                <w:rPr>
                  <w:rStyle w:val="InternetLink"/>
                  <w:rFonts w:ascii="Times New Roman" w:hAnsi="Times New Roman"/>
                  <w:sz w:val="20"/>
                </w:rPr>
                <w:t>KORSANA’S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358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2">
              <w:r>
                <w:rPr>
                  <w:rStyle w:val="InternetLink"/>
                  <w:rFonts w:ascii="Times New Roman" w:hAnsi="Times New Roman"/>
                  <w:sz w:val="20"/>
                </w:rPr>
                <w:t>MANAGEMENT FOLLOWING THE MERGER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379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3">
              <w:r>
                <w:rPr>
                  <w:rStyle w:val="InternetLink"/>
                  <w:rFonts w:ascii="Times New Roman" w:hAnsi="Times New Roman"/>
                  <w:sz w:val="20"/>
                </w:rPr>
                <w:t>CERTAIN RELATIONSHIPS AND RELATED PARTY TRANSACTIONS OF THE COMBINED COMPANY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386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4">
              <w:r>
                <w:rPr>
                  <w:rStyle w:val="InternetLink"/>
                  <w:rFonts w:ascii="Times New Roman" w:hAnsi="Times New Roman"/>
                  <w:sz w:val="20"/>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393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5">
              <w:r>
                <w:rPr>
                  <w:rStyle w:val="InternetLink"/>
                  <w:rFonts w:ascii="Times New Roman" w:hAnsi="Times New Roman"/>
                  <w:sz w:val="20"/>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399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6">
              <w:r>
                <w:rPr>
                  <w:rStyle w:val="InternetLink"/>
                  <w:rFonts w:ascii="Times New Roman" w:hAnsi="Times New Roman"/>
                  <w:sz w:val="20"/>
                </w:rPr>
                <w:t>DESCRIPTION OF CYCLERION CAPITAL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409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7">
              <w:r>
                <w:rPr>
                  <w:rStyle w:val="InternetLink"/>
                  <w:rFonts w:ascii="Times New Roman" w:hAnsi="Times New Roman"/>
                  <w:sz w:val="20"/>
                </w:rPr>
                <w:t>COMPARISON OF RIGHTS OF HOLDERS OF CYCLERION CAPITAL STOCK AND</w:t>
                <w:br/>
                <w:t>KORSANA CAPITAL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414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8">
              <w:r>
                <w:rPr>
                  <w:rStyle w:val="InternetLink"/>
                  <w:rFonts w:ascii="Times New Roman" w:hAnsi="Times New Roman"/>
                  <w:sz w:val="20"/>
                </w:rPr>
                <w:t>PRINCIPAL SHAREHOLDERS OF CYCLERION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427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39">
              <w:r>
                <w:rPr>
                  <w:rStyle w:val="InternetLink"/>
                  <w:rFonts w:ascii="Times New Roman" w:hAnsi="Times New Roman"/>
                  <w:sz w:val="20"/>
                </w:rPr>
                <w:t>PRINCIPAL STOCKHOLDERS OF KORSANA</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429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0">
              <w:r>
                <w:rPr>
                  <w:rStyle w:val="InternetLink"/>
                  <w:rFonts w:ascii="Times New Roman" w:hAnsi="Times New Roman"/>
                  <w:sz w:val="20"/>
                </w:rPr>
                <w:t>PRINCIPAL STOCKHOLDERS OF THE COMBINED COMPANY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3">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315"/>
        <w:gridCol w:w="120"/>
        <w:gridCol w:w="94"/>
        <w:gridCol w:w="60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4">
              <w:r>
                <w:rPr>
                  <w:rStyle w:val="InternetLink"/>
                  <w:rFonts w:ascii="Times New Roman" w:hAnsi="Times New Roman"/>
                  <w:sz w:val="20"/>
                </w:rPr>
                <w:t>STOCKHOLDER PROPOSALS OR DIRECTOR NOMINATIONS FOR 2027 ANNUAL MEETING</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439</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0"/>
              <w:jc w:val="left"/>
              <w:rPr/>
            </w:pPr>
            <w:hyperlink w:anchor="tx111069_45">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6">
              <w:r>
                <w:rPr>
                  <w:rStyle w:val="InternetLink"/>
                  <w:rFonts w:ascii="Times New Roman" w:hAnsi="Times New Roman"/>
                  <w:sz w:val="20"/>
                </w:rPr>
                <w:t>ANNEX A: AGREEMENT AND PLAN OF MERGER AND REORGANIZATION, AND THE AMENDMENT THERETO</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7">
              <w:r>
                <w:rPr>
                  <w:rStyle w:val="InternetLink"/>
                  <w:rFonts w:ascii="Times New Roman" w:hAnsi="Times New Roman"/>
                  <w:sz w:val="20"/>
                </w:rPr>
                <w:t>ANNEX B: OPINION OF GEMINI VALUATION SERVICES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8">
              <w:r>
                <w:rPr>
                  <w:rStyle w:val="InternetLink"/>
                  <w:rFonts w:ascii="Times New Roman" w:hAnsi="Times New Roman"/>
                  <w:sz w:val="20"/>
                </w:rPr>
                <w:t>ANNEX C: FORM OF CYCLERION SHAREHOLDER SUPPORT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C-1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49">
              <w:r>
                <w:rPr>
                  <w:rStyle w:val="InternetLink"/>
                  <w:rFonts w:ascii="Times New Roman" w:hAnsi="Times New Roman"/>
                  <w:sz w:val="20"/>
                </w:rPr>
                <w:t>ANNEX D: FORM OF KORSANA STOCKHOLDER SUPPORT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D-1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0">
              <w:r>
                <w:rPr>
                  <w:rStyle w:val="InternetLink"/>
                  <w:rFonts w:ascii="Times New Roman" w:hAnsi="Times New Roman"/>
                  <w:sz w:val="20"/>
                </w:rPr>
                <w:t>ANNEX E: FORM OF LOCK-UP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E-1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1">
              <w:r>
                <w:rPr>
                  <w:rStyle w:val="InternetLink"/>
                  <w:rFonts w:ascii="Times New Roman" w:hAnsi="Times New Roman"/>
                  <w:sz w:val="20"/>
                </w:rPr>
                <w:t>ANNEX F: FORM OF CVR AGREEMENT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2">
              <w:r>
                <w:rPr>
                  <w:rStyle w:val="InternetLink"/>
                  <w:rFonts w:ascii="Times New Roman" w:hAnsi="Times New Roman"/>
                  <w:sz w:val="20"/>
                </w:rPr>
                <w:t>ANNEX G: FORM OF ARTICLES OF AMENDMENT TO THE RESTATED ARTICLES OF ORGANIZATION OF CYCLERION THERAPEUTICS, INC. TO DESIGNATE SERIES B PREFERRED STOCK</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G-1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3">
              <w:r>
                <w:rPr>
                  <w:rStyle w:val="InternetLink"/>
                  <w:rFonts w:ascii="Times New Roman" w:hAnsi="Times New Roman"/>
                  <w:sz w:val="20"/>
                </w:rPr>
                <w:t>ANNEX H: FORM OF ARTICLES OF AMENDMENT TO THE RESTATED ARTICLES OF ORGANIZATION OF CYCLERION THERAPEUTICS, INC. TO REFLECT INCREASE IN AUTHORIZED SHARES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H-1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4">
              <w:r>
                <w:rPr>
                  <w:rStyle w:val="InternetLink"/>
                  <w:rFonts w:ascii="Times New Roman" w:hAnsi="Times New Roman"/>
                  <w:sz w:val="20"/>
                </w:rPr>
                <w:t>ANNEX I: FORM OF ARTICLES OF AMENDMENT TO THE RESTATED ARTICLES OF ORGANIZATION OF CYCLERION THERAPEUTICS, INC. TO REFLECT REVERSE STOCK SPLIT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I-1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5">
              <w:r>
                <w:rPr>
                  <w:rStyle w:val="InternetLink"/>
                  <w:rFonts w:ascii="Times New Roman" w:hAnsi="Times New Roman"/>
                  <w:sz w:val="20"/>
                </w:rPr>
                <w:t>ANNEX J: PLAN OF DOMESTICATION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J-1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6">
              <w:r>
                <w:rPr>
                  <w:rStyle w:val="InternetLink"/>
                  <w:rFonts w:ascii="Times New Roman" w:hAnsi="Times New Roman"/>
                  <w:sz w:val="20"/>
                </w:rPr>
                <w:t>ANNEX K: FORM OF CAYMAN ISLANDS MEMORANDUM AND ARTICLES OF ASSOCIATION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K-1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7">
              <w:r>
                <w:rPr>
                  <w:rStyle w:val="InternetLink"/>
                  <w:rFonts w:ascii="Times New Roman" w:hAnsi="Times New Roman"/>
                  <w:sz w:val="20"/>
                </w:rPr>
                <w:t>ANNEX L: APPRAISAL RIGHTS (SECTION 262 OF THE DELAWARE GENERAL CORPORATION LAW)</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L-1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8">
              <w:r>
                <w:rPr>
                  <w:rStyle w:val="InternetLink"/>
                  <w:rFonts w:ascii="Times New Roman" w:hAnsi="Times New Roman"/>
                  <w:sz w:val="20"/>
                </w:rPr>
                <w:t>ANNEX M: RESOLUTIONS OF THE CYCLERION BOARD FOR THE CAYMAN REDOMESTICATION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M-1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59">
              <w:r>
                <w:rPr>
                  <w:rStyle w:val="InternetLink"/>
                  <w:rFonts w:ascii="Times New Roman" w:hAnsi="Times New Roman"/>
                  <w:sz w:val="20"/>
                </w:rPr>
                <w:t>ANNEX N: CAYMAN ISLANDS SERIES A CERTIFICATE OF DESIGNATION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N-1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0">
              <w:r>
                <w:rPr>
                  <w:rStyle w:val="InternetLink"/>
                  <w:rFonts w:ascii="Times New Roman" w:hAnsi="Times New Roman"/>
                  <w:sz w:val="20"/>
                </w:rPr>
                <w:t>ANNEX O: CAYMAN ISLANDS SERIES B CERTIFICATE OF DESIGNATION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O-1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1">
              <w:r>
                <w:rPr>
                  <w:rStyle w:val="InternetLink"/>
                  <w:rFonts w:ascii="Times New Roman" w:hAnsi="Times New Roman"/>
                  <w:sz w:val="20"/>
                </w:rPr>
                <w:t xml:space="preserve">ANNEX P: FORM OF KORSANA BIOSCIENCES, INC. 2026 STOCK INCENTIVE </w:t>
                <w:br/>
                <w:t>PLAN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P-1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2">
              <w:r>
                <w:rPr>
                  <w:rStyle w:val="InternetLink"/>
                  <w:rFonts w:ascii="Times New Roman" w:hAnsi="Times New Roman"/>
                  <w:sz w:val="20"/>
                </w:rPr>
                <w:t>ANNEX Q: FORM OF KORSANA BIOSCIENCES, INC. 2026 EMPLOYEE STOCK PURCHASE PLAN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Q-1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111069_63">
              <w:r>
                <w:rPr>
                  <w:rStyle w:val="InternetLink"/>
                  <w:rFonts w:ascii="Times New Roman" w:hAnsi="Times New Roman"/>
                  <w:sz w:val="20"/>
                </w:rPr>
                <w:t>ANNEX R: FORM OF CYCLERION THERAPEUTICS, INC. PROXY CARD</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R-1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1069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360" w:after="0"/>
        <w:jc w:val="left"/>
        <w:rPr>
          <w:rFonts w:ascii="Times New Roman" w:hAnsi="Times New Roman"/>
          <w:b/>
          <w:sz w:val="20"/>
        </w:rPr>
      </w:pPr>
      <w:r>
        <w:rPr>
          <w:rFonts w:ascii="Times New Roman" w:hAnsi="Times New Roman"/>
          <w:b/>
          <w:sz w:val="20"/>
        </w:rPr>
        <w:t xml:space="preserve">Q: What is the Merger? </w:t>
      </w:r>
    </w:p>
    <w:p>
      <w:pPr>
        <w:pStyle w:val="TextBody"/>
        <w:bidi w:val="0"/>
        <w:spacing w:before="120" w:after="0"/>
        <w:jc w:val="left"/>
        <w:rPr>
          <w:rFonts w:ascii="Times New Roman" w:hAnsi="Times New Roman"/>
          <w:sz w:val="20"/>
        </w:rPr>
      </w:pPr>
      <w:r>
        <w:rPr>
          <w:rFonts w:ascii="Times New Roman" w:hAnsi="Times New Roman"/>
          <w:sz w:val="20"/>
        </w:rPr>
        <w:t xml:space="preserve">A: On April 1, 2026, Cyclerion, Korsana, First Merger Sub and Second Merger Sub entered into the Merger Agreement, which agreement was subsequently amended on April 17, 2026.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The Merger Agreement contains the terms and conditions of the proposed Merger. Pursuant to the Merger Agreement, First Merger Sub will merge with and into Korsana, with Korsana continuing as a wholly owned subsidiary of Cyclerion and the surviving corporation of the First Merger. Korsana will then merge with and into Second Merger Sub, with Second Merger Sub being the surviving entity of the Second Merger. This entire transaction is referred to in this proxy statement/prospectus as the Merger. In connection with the Merger, Cyclerion will change its corporate name to “Korsana Biosciences, Inc.” </w:t>
      </w:r>
    </w:p>
    <w:p>
      <w:pPr>
        <w:pStyle w:val="TextBody"/>
        <w:bidi w:val="0"/>
        <w:spacing w:before="360" w:after="0"/>
        <w:jc w:val="left"/>
        <w:rPr>
          <w:rFonts w:ascii="Times New Roman" w:hAnsi="Times New Roman"/>
          <w:b/>
          <w:sz w:val="20"/>
        </w:rPr>
      </w:pPr>
      <w:r>
        <w:rPr>
          <w:rFonts w:ascii="Times New Roman" w:hAnsi="Times New Roman"/>
          <w:b/>
          <w:sz w:val="20"/>
        </w:rPr>
        <w:t xml:space="preserve">Q: Why are the two companies proposing to merge? </w:t>
      </w:r>
    </w:p>
    <w:p>
      <w:pPr>
        <w:pStyle w:val="TextBody"/>
        <w:bidi w:val="0"/>
        <w:spacing w:before="120" w:after="0"/>
        <w:jc w:val="left"/>
        <w:rPr>
          <w:rFonts w:ascii="Times New Roman" w:hAnsi="Times New Roman"/>
          <w:sz w:val="20"/>
        </w:rPr>
      </w:pPr>
      <w:r>
        <w:rPr>
          <w:rFonts w:ascii="Times New Roman" w:hAnsi="Times New Roman"/>
          <w:sz w:val="20"/>
        </w:rPr>
        <w:t>A: Cyclerion and Korsana believe that combining the two companies will result in a company with a promising pipeline, a strong leadership team and substantial capital resources, focused on developing novel therapies to reduce the burden of neurodegenerative diseases. For a more complete description of the reasons for the Merger, please see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Reasons for the Merger</w:t>
      </w:r>
      <w:r>
        <w:rPr>
          <w:rFonts w:ascii="Times New Roman" w:hAnsi="Times New Roman"/>
          <w:sz w:val="20"/>
        </w:rPr>
        <w:t>” and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Korsana</w:t>
      </w:r>
      <w:r>
        <w:rPr>
          <w:rFonts w:ascii="Times New Roman" w:hAnsi="Times New Roman"/>
          <w:sz w:val="20"/>
        </w:rPr>
        <w:t>’</w:t>
      </w:r>
      <w:r>
        <w:rPr>
          <w:rFonts w:ascii="Times New Roman" w:hAnsi="Times New Roman"/>
          <w:i/>
          <w:sz w:val="20"/>
        </w:rPr>
        <w:t>s Reasons for the Merger</w:t>
      </w:r>
      <w:r>
        <w:rPr>
          <w:rFonts w:ascii="Times New Roman" w:hAnsi="Times New Roman"/>
          <w:sz w:val="20"/>
        </w:rPr>
        <w:t xml:space="preserve">” beginning on pages 142 and 146,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happen to Cyclerion if, for any reason, the Merger does not close? </w:t>
      </w:r>
    </w:p>
    <w:p>
      <w:pPr>
        <w:pStyle w:val="TextBody"/>
        <w:bidi w:val="0"/>
        <w:spacing w:before="120" w:after="0"/>
        <w:jc w:val="left"/>
        <w:rPr>
          <w:rFonts w:ascii="Times New Roman" w:hAnsi="Times New Roman"/>
          <w:sz w:val="20"/>
        </w:rPr>
      </w:pPr>
      <w:r>
        <w:rPr>
          <w:rFonts w:ascii="Times New Roman" w:hAnsi="Times New Roman"/>
          <w:sz w:val="20"/>
        </w:rPr>
        <w:t xml:space="preserve">A: Cyclerion has invested significant time and incurred, and expects to continue to incur, significant expenses related to the proposed Merger. In the event the Merger does not close, Cyclerion will have a limited ability to continue its current operations without obtaining additional financing. Although the Cyclerion Board may elect, among other things, to attempt to complete another strategic transaction if the Merger does not close, the Cyclerion Board may instead divest all or a portion of Cyclerion’s business or take steps necessary to liquidate or dissolve Cyclerion’s business and assets if a viable alternative strategic transaction is not available. If Cyclerion decides to dissolve and liquidate its assets, Cyclerion would be required to pay all of its contractual obligations, and to set aside certain reserves for potential future claims, and there can be no assurance as to the amount of and the timing of such liquidation and distribution of available cash left to distribute to shareholders after paying the obligations of Cyclerion and setting aside funds for reserves. </w:t>
      </w:r>
    </w:p>
    <w:p>
      <w:pPr>
        <w:pStyle w:val="TextBody"/>
        <w:bidi w:val="0"/>
        <w:spacing w:before="360" w:after="0"/>
        <w:jc w:val="left"/>
        <w:rPr>
          <w:rFonts w:ascii="Times New Roman" w:hAnsi="Times New Roman"/>
          <w:b/>
          <w:sz w:val="20"/>
        </w:rPr>
      </w:pPr>
      <w:r>
        <w:rPr>
          <w:rFonts w:ascii="Times New Roman" w:hAnsi="Times New Roman"/>
          <w:b/>
          <w:sz w:val="20"/>
        </w:rPr>
        <w:t xml:space="preserve">Q: Why am I receiving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A: You are receiving this proxy statement/prospectus because you have been identified as a shareholder of Cyclerion as of the applicable Record Date, and you are entitled to vote to approve the matters set forth herein. This document serves 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Cyclerion used to solicit proxies for the Cyclerion Shareholders Meeting to vote on the matters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Cyclerion used to offer (i) all shares of Cyclerion Common Stock in exchange for each share of Korsana Common Stock and Korsana Series A Preferred Stock (including shares of Korsana Common Stock issued in the Korsana Pre-Closing Financing), (ii) all Cyclerion Warrants in exchange for Korsana Warrants (including Korsana Pre-Funded Warrants issued in the Korsana Pre-Closing Financing), (iii) all shares of Cyclerion Series B Preferred Stock in exchange for shares of Korsana Series Seed Preferred Stock, (iv) all options to purchase shares of Cyclerion Common Stock in exchange for Korsana Options, (v) all Cyclerion RSUs in exchange for Korsana RSUs, (vi) all shares of Cyclerion Common Stock issuable upon exercise of Cyclerion Warrants issued in exchange for Korsana Warrants, (vii) all shares of Cyclerion Common Stock issuable upon conversion of Cyclerion Series B Preferred Stock issued in exchange for Korsana Series Seed Preferred Stock, (viii) all shares of Cyclerion Common Stock issuable upon exercise of options to purchase shares of Cyclerion Common Stock issued in exchange for Korsana Options, and (ix) all shares of Cyclerion Common Stock issuable upon settlement of Cyclerion RSUs issued in exchange for Korsana RSUs;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annual report of Cyclerion provided in connection with the special meeting in lieu of annual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is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the Merger, Korsana entered into the Securities Purchase Agreement with certain investors named therein, including, among others, Fairmount, Venrock Healthcare Capital Partners,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pursuant to which such investors agreed to purchase shares of Korsana Common Stock and Korsana Pre-Funded Warrants for an aggregate purchase price of approximately $380.0 million. Shares of Korsana Common Stock and Korsana Pre-Funded Warrants issued pursuant to this financing transaction will be converted into shares of Cyclerion Common Stock and Cyclerion Pre-Funded Warrants,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the shares of Korsana Common Stock and Korsana Pre-Funded Warrants issued in the Korsana Pre-Closing Financing are expected to represent approximately 53.4% of the outstanding shares of common stock of the Combined Company (on a fully-diluted basis).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The closing of the Korsana Pre-Closing Financing is conditioned upon the satisfaction or waiver of the conditions to the closing of the Merger as well as certain other conditions.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Korsana Pre-Closing Financing, please see the sections titled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Securities Purchase</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and “— </w:t>
      </w:r>
      <w:r>
        <w:rPr>
          <w:rFonts w:ascii="Times New Roman" w:hAnsi="Times New Roman"/>
          <w:i/>
          <w:sz w:val="20"/>
        </w:rPr>
        <w:t>Registration Rights Agreement</w:t>
      </w:r>
      <w:r>
        <w:rPr>
          <w:rFonts w:ascii="Times New Roman" w:hAnsi="Times New Roman"/>
          <w:sz w:val="20"/>
        </w:rPr>
        <w:t xml:space="preserve">” beginning on pages 188 and 190 of this proxy statement/prospectus,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will be voted on at the Cyclerion Shareholders Meeting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A: Pursuant to the terms of the Merger Agreement, the following proposals must be approved by the requisite shareholder vote at the Cyclerion Shareholders Meeting in order for the Merger to close: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Nasdaq Stock Issuance Proposal</w:t>
      </w:r>
      <w:r>
        <w:rPr>
          <w:rFonts w:ascii="Times New Roman" w:hAnsi="Times New Roman"/>
          <w:sz w:val="20"/>
        </w:rPr>
        <w:t xml:space="preserve"> to approve (i) the issuance of shares of Cyclerion Common Stock, including the shares of Cyclerion Common Stock issuable upon conversion of Cyclerion Series B Preferred Stock, which will represent more than 20% of the shares of Cyclerion Common Stock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Authorized Share Increase Proposal</w:t>
      </w:r>
      <w:r>
        <w:rPr>
          <w:rFonts w:ascii="Times New Roman" w:hAnsi="Times New Roman"/>
          <w:sz w:val="20"/>
        </w:rPr>
        <w:t xml:space="preserve"> to approve an amendment to the Cyclerion Articles to increase the number of shares of Cyclerion Common Stock that Cyclerion is authorized to issue from 400,000,000 to 700,000,000, in the form attached as </w:t>
      </w:r>
      <w:r>
        <w:rPr>
          <w:rFonts w:ascii="Times New Roman" w:hAnsi="Times New Roman"/>
          <w:i/>
          <w:sz w:val="20"/>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Reverse Stock Split Proposal</w:t>
      </w:r>
      <w:r>
        <w:rPr>
          <w:rFonts w:ascii="Times New Roman" w:hAnsi="Times New Roman"/>
          <w:sz w:val="20"/>
        </w:rPr>
        <w:t xml:space="preserve"> to approve an amendment to the Cyclerion Articles to effect a reverse stock split of Cyclerion’s issued and outstanding common stock at a ratio in the range of one new share for every two shares and one new share for every ten shares (or any number in between),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in the form attached as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Redomestication Proposal</w:t>
      </w:r>
      <w:r>
        <w:rPr>
          <w:rFonts w:ascii="Times New Roman" w:hAnsi="Times New Roman"/>
          <w:sz w:val="20"/>
        </w:rPr>
        <w:t xml:space="preserve">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Nos. 1, 2, and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In addition to the requirement of obtaining Cyclerion shareholder approval of Proposal Nos. 1, 2, and 3, the closing of the Merger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proposals are to be voted on at the Cyclerion Shareholders Meeting, other than the Nasdaq Stock Issuance Proposal, the Reverse Stock Split Proposal and the Authorized Share Increase Proposal? </w:t>
      </w:r>
    </w:p>
    <w:p>
      <w:pPr>
        <w:pStyle w:val="TextBody"/>
        <w:bidi w:val="0"/>
        <w:spacing w:before="120" w:after="0"/>
        <w:jc w:val="left"/>
        <w:rPr>
          <w:rFonts w:ascii="Times New Roman" w:hAnsi="Times New Roman"/>
          <w:sz w:val="20"/>
        </w:rPr>
      </w:pPr>
      <w:r>
        <w:rPr>
          <w:rFonts w:ascii="Times New Roman" w:hAnsi="Times New Roman"/>
          <w:sz w:val="20"/>
        </w:rPr>
        <w:t xml:space="preserve">A: At the Cyclerion Shareholders Meeting, the holders of Cyclerion Common Stock will also be asked to consider the following proposals: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Director Election Proposal</w:t>
      </w:r>
      <w:r>
        <w:rPr>
          <w:rFonts w:ascii="Times New Roman" w:hAnsi="Times New Roman"/>
          <w:sz w:val="20"/>
        </w:rPr>
        <w:t xml:space="preserve"> to elect Errol B. De Souza, Ph.D., Regina M. Graul, Ph.D., Peter M. Hecht, Ph.D., Michael Higgins, Steven E. Hyman, M.D., and Dina Katabi, Ph.D., to serve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Cyclerion’s 2027 annual meeting of shareholders, or until his or her successor has been duly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6</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Auditor Ratification Proposal</w:t>
      </w:r>
      <w:r>
        <w:rPr>
          <w:rFonts w:ascii="Times New Roman" w:hAnsi="Times New Roman"/>
          <w:sz w:val="20"/>
        </w:rPr>
        <w:t xml:space="preserve"> to ratify the selection of Ernst &amp; Young LLP as Cyclerion’s independent registered public accounting firm for the fiscal year ending December 31, 2026;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7</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Stock Plan Proposal</w:t>
      </w:r>
      <w:r>
        <w:rPr>
          <w:rFonts w:ascii="Times New Roman" w:hAnsi="Times New Roman"/>
          <w:sz w:val="20"/>
        </w:rPr>
        <w:t xml:space="preserve"> to approve the Korsana Biosciences, Inc. 2026 Stock Incentive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8</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ESPP Proposal</w:t>
      </w:r>
      <w:r>
        <w:rPr>
          <w:rFonts w:ascii="Times New Roman" w:hAnsi="Times New Roman"/>
          <w:sz w:val="20"/>
        </w:rPr>
        <w:t xml:space="preserve"> to approve the Korsana Biosciences, Inc. 2026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9</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Merger Compensation Proposal</w:t>
      </w:r>
      <w:r>
        <w:rPr>
          <w:rFonts w:ascii="Times New Roman" w:hAnsi="Times New Roman"/>
          <w:sz w:val="20"/>
        </w:rPr>
        <w:t xml:space="preserve"> to approve, on an advisory basis, certain compensation arrangements for Cyclerion’s named executive officers that are based on or otherwise relate to the Merger;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10 – The Say-on-Pay Proposal</w:t>
      </w:r>
      <w:r>
        <w:rPr>
          <w:rFonts w:ascii="Times New Roman" w:hAnsi="Times New Roman"/>
          <w:sz w:val="20"/>
        </w:rPr>
        <w:t xml:space="preserve"> to approve, on an advisory basis, the compensation of Cyclerion’s named executive officers; and </w:t>
      </w:r>
    </w:p>
    <w:p>
      <w:pPr>
        <w:pStyle w:val="TextBody"/>
        <w:bidi w:val="0"/>
        <w:spacing w:before="24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11</w:t>
      </w:r>
      <w:r>
        <w:rPr>
          <w:rFonts w:ascii="Times New Roman" w:hAnsi="Times New Roman"/>
          <w:sz w:val="20"/>
        </w:rPr>
        <w:t> </w:t>
      </w:r>
      <w:r>
        <w:rPr>
          <w:rFonts w:ascii="Times New Roman" w:hAnsi="Times New Roman"/>
          <w:b/>
          <w:sz w:val="20"/>
        </w:rPr>
        <w:t>-</w:t>
      </w:r>
      <w:r>
        <w:rPr>
          <w:rFonts w:ascii="Times New Roman" w:hAnsi="Times New Roman"/>
          <w:sz w:val="20"/>
        </w:rPr>
        <w:t> </w:t>
      </w:r>
      <w:r>
        <w:rPr>
          <w:rFonts w:ascii="Times New Roman" w:hAnsi="Times New Roman"/>
          <w:b/>
          <w:sz w:val="20"/>
        </w:rPr>
        <w:t>The Adjournment Proposal</w:t>
      </w:r>
      <w:r>
        <w:rPr>
          <w:rFonts w:ascii="Times New Roman" w:hAnsi="Times New Roman"/>
          <w:sz w:val="20"/>
        </w:rPr>
        <w:t xml:space="preserve"> to approve an adjournment of the Cyclerion Shareholders Meeting, if necessary, to solicit additional proxies if there is not a sufficient number of votes in favor of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approvals of Proposal Nos. 4A, 4B, 5, 6, 7, 8, 9, 10, and 11 are not a condition to the Merger. However, the implementation of Proposal Nos. 7, 8, and 9 are conditioned on the consummation of the Merger. Cyclerion does not expect that any matter other than the Proposals will be brought before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attending or being represented by proxy, at the Cyclerion Shareholders Meeting of the holders of a majority of the shares of Cyclerion Common Stock outstanding and entitled to vote at the Cyclerion Shareholders Meeting is necessary to constitute a quorum at the meeting for the purpose of approving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shareholder votes are required to approve the Proposals at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A: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Cyclerion 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prior to the First Effective Time, Cyclerion and the designated rights agent (“Rights Agent”) are expected to enter into a Contingent Value Rights Agreement (the “Cyclerion CVR Agreement”), pursuant to which holders of Cyclerion Common Stock and Cyclerion Series A Preferred Stock as of the close of business on the last business day prior to the day on which the First Effective Time occurs will receive one contingent value right (each, a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(the “Cyclerion Legacy Assets”), net of any indemnity obligations, transaction costs and certain other expenses, during the period beginning on the date of the closing of the Merger and ending (i) with respect to the sale, transfer, license or other disposition of Cyclerion Legacy Assets other than those Cyclerion Legacy Assets described in the following clauses (ii) and (iii), upon the second (2nd) anniversary of the Closing Date, (ii) with respect to Cyclerion’s right to receive payments under that License Agreement, dated June 3, 2021, between Cyclerion and Akebia Therapeutics, Inc.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Therapeutics Holdings, Inc. (“Tisento”) beneficially owned by Cyclerion,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$50,000 (the “CVR Expense Cap”) for costs and expenses associated with the retention of an employee or consultant of Cyclerion for the purpose of business development efforts related to Cyclerion Legacy Assets and related activities, including seeking and negotiating and, with the prior written consent of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Cyclerion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 Each share of Cyclerion Common Stock and Cyclerion Series A Preferred Stock that is issued and outstanding at the First Effective Time of the Merger will remain issued and outstanding and such shares, subject to the proposed reverse stock split, will be unaffected by the Merger. Prior to the First Effective Time, the Cyclerion Board will accelerate the vesting of all Cyclerion Options and Cyclerion RSAs. Each outstanding Cyclerion Option with an exercise price less than or equal to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the Combined Company on a fully-diluted basis, former Korsana securityholders, excluding holders of Korsana Common Stock and Korsana Pre-Funded Warrants purchased in the Korsana Pre-Closing Financing, are expected to own approximately 45.5% of the outstanding shares of the Combined Company on a fully-diluted basis, and Korsana Common Stock and Korsana Pre-Funded Warrants issued in the Korsana Pre-Closing Financing are expected to represent approximately 53.4% of the outstanding shares of capital stock of the Combined Company on a fully-diluted basis, subject to certain assumptions, including, but not limited to, Cyclerion’s Net Cash as of Closing being $(2.5) million.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Cyclerion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168, 169 and 32, respectively,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will Korsana securityholders receive in the Merger? </w:t>
      </w:r>
    </w:p>
    <w:p>
      <w:pPr>
        <w:pStyle w:val="TextBody"/>
        <w:bidi w:val="0"/>
        <w:spacing w:before="120" w:after="0"/>
        <w:jc w:val="left"/>
        <w:rPr>
          <w:rFonts w:ascii="Times New Roman" w:hAnsi="Times New Roman"/>
          <w:sz w:val="20"/>
        </w:rPr>
      </w:pPr>
      <w:r>
        <w:rPr>
          <w:rFonts w:ascii="Times New Roman" w:hAnsi="Times New Roman"/>
          <w:sz w:val="20"/>
        </w:rPr>
        <w:t>A: 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any shares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xml:space="preserve">” beginning on page 169 of this proxy statement/ 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Korsana securities in the Merger, please see the sections titled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Merger Consideration</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 </w:t>
      </w:r>
      <w:r>
        <w:rPr>
          <w:rFonts w:ascii="Times New Roman" w:hAnsi="Times New Roman"/>
          <w:i/>
          <w:sz w:val="20"/>
        </w:rPr>
        <w:t>Exchange Ratio</w:t>
      </w:r>
      <w:r>
        <w:rPr>
          <w:rFonts w:ascii="Times New Roman" w:hAnsi="Times New Roman"/>
          <w:sz w:val="20"/>
        </w:rPr>
        <w:t>” beginning on pages 168 and 169 of this proxy statement/prospectus. For a description of the effect of the Korsana Pre-Closing Financing on Korsana’s current securityholders, please see the section titled “</w:t>
      </w:r>
      <w:r>
        <w:rPr>
          <w:rFonts w:ascii="Times New Roman" w:hAnsi="Times New Roman"/>
          <w:i/>
          <w:sz w:val="20"/>
        </w:rPr>
        <w:t>Agreements Related to the Merger</w:t>
      </w:r>
      <w:r>
        <w:rPr>
          <w:rFonts w:ascii="Times New Roman" w:hAnsi="Times New Roman"/>
          <w:sz w:val="20"/>
        </w:rPr>
        <w:t> — </w:t>
      </w:r>
      <w:r>
        <w:rPr>
          <w:rFonts w:ascii="Times New Roman" w:hAnsi="Times New Roman"/>
          <w:i/>
          <w:sz w:val="20"/>
        </w:rPr>
        <w:t>Securities Purchase Agreement</w:t>
      </w:r>
      <w:r>
        <w:rPr>
          <w:rFonts w:ascii="Times New Roman" w:hAnsi="Times New Roman"/>
          <w:sz w:val="20"/>
        </w:rPr>
        <w:t xml:space="preserve">” beginning on page 188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Will the common stock of the Combined Company trade on an exchange? </w:t>
      </w:r>
    </w:p>
    <w:p>
      <w:pPr>
        <w:pStyle w:val="TextBody"/>
        <w:bidi w:val="0"/>
        <w:spacing w:before="120" w:after="0"/>
        <w:jc w:val="left"/>
        <w:rPr>
          <w:rFonts w:ascii="Times New Roman" w:hAnsi="Times New Roman"/>
          <w:sz w:val="20"/>
        </w:rPr>
      </w:pPr>
      <w:r>
        <w:rPr>
          <w:rFonts w:ascii="Times New Roman" w:hAnsi="Times New Roman"/>
          <w:sz w:val="20"/>
        </w:rPr>
        <w:t xml:space="preserve">A: Shares of Cyclerion Common Stock are currently listed on Nasdaq under the symbol “CYCN.” </w:t>
      </w:r>
    </w:p>
    <w:p>
      <w:pPr>
        <w:pStyle w:val="TextBody"/>
        <w:bidi w:val="0"/>
        <w:spacing w:before="24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w:t>
      </w:r>
      <w:r>
        <w:rPr>
          <w:rFonts w:ascii="Times New Roman" w:hAnsi="Times New Roman"/>
          <w:i/>
          <w:sz w:val="20"/>
        </w:rPr>
        <w:t>-</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the last trading day before the date of this proxy statement/prospectus, the closing sale price of Cyclerion Common Stock was $3.70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Q: Who will be the directors of the Combined Company immediately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 Immediately following the Merger, the Combined Company’s board of directors will be composed of six members, all six of whom will have been designated by Korsana.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the First Effective Time, the Cyclerion Board will appoint the following Korsana designees: Andrew Gottesdiener, Heidi Henson, Tomas Kiselak, Michelle Pernice, Nimish Shah, and Dr. Jonathan Violin to the board of directors of the Combined Company, and concurrent therewith all of Cyclerion’s current directors will resign from their positions as directors of the Cyclerion Board effective as of the First Effective Time. Mr. Kiselak is expected to be appointed as Chair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If the Cayman Redomestication is effected, the Combined Company will have a staggered structure of three classes following the completion of the Merger. See the section titled “</w:t>
      </w:r>
      <w:r>
        <w:rPr>
          <w:rFonts w:ascii="Times New Roman" w:hAnsi="Times New Roman"/>
          <w:i/>
          <w:sz w:val="20"/>
        </w:rPr>
        <w:t>Management Following the Merger</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Who will be the executive officers of the Combined Company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 Immediately following the Merger, the executive management team of the Combined Company is expected to consist of the following members of the Korsana executive management team: </w:t>
      </w:r>
    </w:p>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2210"/>
        <w:gridCol w:w="120"/>
        <w:gridCol w:w="363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2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6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210" w:type="dxa"/>
            <w:tcBorders/>
            <w:vAlign w:val="center"/>
          </w:tcPr>
          <w:p>
            <w:pPr>
              <w:pStyle w:val="TableContents"/>
              <w:bidi w:val="0"/>
              <w:spacing w:before="0" w:after="283"/>
              <w:jc w:val="left"/>
              <w:rPr/>
            </w:pPr>
            <w:r>
              <w:rPr/>
              <w:t>Jonathan Violin, Ph.D.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r>
        <w:trPr/>
        <w:tc>
          <w:tcPr>
            <w:tcW w:w="2210" w:type="dxa"/>
            <w:tcBorders/>
            <w:vAlign w:val="center"/>
          </w:tcPr>
          <w:p>
            <w:pPr>
              <w:pStyle w:val="TableContents"/>
              <w:bidi w:val="0"/>
              <w:spacing w:before="0" w:after="283"/>
              <w:jc w:val="left"/>
              <w:rPr/>
            </w:pPr>
            <w:r>
              <w:rPr/>
              <w:t>Mark Vignola, Ph.D.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Financial Officer</w:t>
            </w:r>
          </w:p>
        </w:tc>
      </w:tr>
      <w:tr>
        <w:trPr/>
        <w:tc>
          <w:tcPr>
            <w:tcW w:w="2210" w:type="dxa"/>
            <w:tcBorders/>
            <w:vAlign w:val="center"/>
          </w:tcPr>
          <w:p>
            <w:pPr>
              <w:pStyle w:val="TableContents"/>
              <w:bidi w:val="0"/>
              <w:spacing w:before="0" w:after="283"/>
              <w:jc w:val="left"/>
              <w:rPr/>
            </w:pPr>
            <w:r>
              <w:rPr/>
              <w:t>Madelyn Zeylikman</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General Counsel and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As a Cyclerion shareholder, how does the Cyclerion Board recommend that I vote? </w:t>
      </w:r>
    </w:p>
    <w:p>
      <w:pPr>
        <w:pStyle w:val="TextBody"/>
        <w:bidi w:val="0"/>
        <w:spacing w:before="120" w:after="0"/>
        <w:jc w:val="left"/>
        <w:rPr>
          <w:rFonts w:ascii="Times New Roman" w:hAnsi="Times New Roman"/>
          <w:sz w:val="20"/>
        </w:rPr>
      </w:pPr>
      <w:r>
        <w:rPr>
          <w:rFonts w:ascii="Times New Roman" w:hAnsi="Times New Roman"/>
          <w:sz w:val="20"/>
        </w:rPr>
        <w:t>A: The Cyclerion Board,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Cyclerion and its shareholders; (ii) approved and declared advisable the Merger Agreement and the related transactions contemplated by the Merger Agreement and approved the issuance of shares of Cyclerion Common Stock, including shares of Cyclerion Common Stock issuable upon conversion of Cyclerion Series B Preferred Stock, in connection with the Merger and the Korsana Pre-Closing Financing, respectively; and (iii) recommends that Cyclerion’s shareholders vote “</w:t>
      </w:r>
      <w:r>
        <w:rPr>
          <w:rFonts w:ascii="Times New Roman" w:hAnsi="Times New Roman"/>
          <w:b/>
          <w:sz w:val="20"/>
        </w:rPr>
        <w:t>FOR</w:t>
      </w:r>
      <w:r>
        <w:rPr>
          <w:rFonts w:ascii="Times New Roman" w:hAnsi="Times New Roman"/>
          <w:sz w:val="20"/>
        </w:rPr>
        <w:t xml:space="preserve">” each of the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Q: What risks should I consider in deciding whether to vote in favor of the Merger? </w:t>
      </w:r>
    </w:p>
    <w:p>
      <w:pPr>
        <w:pStyle w:val="TextBody"/>
        <w:bidi w:val="0"/>
        <w:spacing w:before="120" w:after="0"/>
        <w:jc w:val="left"/>
        <w:rPr>
          <w:rFonts w:ascii="Times New Roman" w:hAnsi="Times New Roman"/>
          <w:sz w:val="20"/>
        </w:rPr>
      </w:pPr>
      <w:r>
        <w:rPr>
          <w:rFonts w:ascii="Times New Roman" w:hAnsi="Times New Roman"/>
          <w:sz w:val="20"/>
        </w:rPr>
        <w:t>A: You should carefully review the section titled “</w:t>
      </w:r>
      <w:r>
        <w:rPr>
          <w:rFonts w:ascii="Times New Roman" w:hAnsi="Times New Roman"/>
          <w:i/>
          <w:sz w:val="20"/>
        </w:rPr>
        <w:t>Risk Factors</w:t>
      </w:r>
      <w:r>
        <w:rPr>
          <w:rFonts w:ascii="Times New Roman" w:hAnsi="Times New Roman"/>
          <w:sz w:val="20"/>
        </w:rPr>
        <w:t xml:space="preserve">” beginning on page 33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Cyclerion and Korsana, as independent companies, are subject. </w:t>
      </w:r>
    </w:p>
    <w:p>
      <w:pPr>
        <w:pStyle w:val="TextBody"/>
        <w:bidi w:val="0"/>
        <w:spacing w:before="360" w:after="0"/>
        <w:jc w:val="left"/>
        <w:rPr>
          <w:rFonts w:ascii="Times New Roman" w:hAnsi="Times New Roman"/>
          <w:b/>
          <w:sz w:val="20"/>
        </w:rPr>
      </w:pPr>
      <w:r>
        <w:rPr>
          <w:rFonts w:ascii="Times New Roman" w:hAnsi="Times New Roman"/>
          <w:b/>
          <w:sz w:val="20"/>
        </w:rPr>
        <w:t xml:space="preserve">Q: When do you expect the Merger to be consummated? </w:t>
      </w:r>
    </w:p>
    <w:p>
      <w:pPr>
        <w:pStyle w:val="TextBody"/>
        <w:bidi w:val="0"/>
        <w:spacing w:before="120" w:after="0"/>
        <w:jc w:val="left"/>
        <w:rPr>
          <w:rFonts w:ascii="Times New Roman" w:hAnsi="Times New Roman"/>
          <w:sz w:val="20"/>
        </w:rPr>
      </w:pPr>
      <w:r>
        <w:rPr>
          <w:rFonts w:ascii="Times New Roman" w:hAnsi="Times New Roman"/>
          <w:sz w:val="20"/>
        </w:rPr>
        <w:t>A: The Merger is anticipated to close in the third quarter of 2026, but the exact timing cannot be predicted. For more information, please see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Conditions to the Completion of the Merger</w:t>
      </w:r>
      <w:r>
        <w:rPr>
          <w:rFonts w:ascii="Times New Roman" w:hAnsi="Times New Roman"/>
          <w:sz w:val="20"/>
        </w:rPr>
        <w:t xml:space="preserve">” beginning on page 183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Why is Cyclerion seeking approval for the redomestication to the Cayman Islands (the “Cayman Redomestication”)? </w:t>
      </w:r>
    </w:p>
    <w:p>
      <w:pPr>
        <w:pStyle w:val="TextBody"/>
        <w:bidi w:val="0"/>
        <w:spacing w:before="120" w:after="0"/>
        <w:jc w:val="left"/>
        <w:rPr>
          <w:rFonts w:ascii="Times New Roman" w:hAnsi="Times New Roman"/>
          <w:sz w:val="20"/>
        </w:rPr>
      </w:pPr>
      <w:r>
        <w:rPr>
          <w:rFonts w:ascii="Times New Roman" w:hAnsi="Times New Roman"/>
          <w:sz w:val="20"/>
        </w:rPr>
        <w:t>A: The Cyclerion and Korsana boards of directors believe that there are several reasons why the Cayman Redomestication is in the best interests of Cyclerion and Cyclerion’s shareholders. The Cyclerion Board believes the Cayman Redomestication may help the Combined Company attract and retain qualified management by reducing the risk of lawsuits being filed against the Combined Company and its directors and officers. Cyclerion and Korsana believe that for the reasons described in this proxy statement/prospectus, in general, Cayman Islands law will provide greater protection to the Combined Company and its directors and officers than Massachusetts law. Additionally, the Cyclerion Board believes that the Cayman Redomestication will give the Combined Company more flexibility and predictability in various corporation transactions. For more information,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Q: How will the Cayman Redomestication affect the rights of the Combined Company’s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Your rights as a shareholder currently are governed by Massachusetts law and the provisions of the restated articles of organization of Cyclerion, and Cyclerion’s amended and restated bylaws. As a result of the Cayman Redomestication, you will become a shareholder of the Combined Company with rights governed by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Islands law and the provisions of the Cayman Articles, in the form attached as </w:t>
      </w:r>
      <w:r>
        <w:rPr>
          <w:rFonts w:ascii="Times New Roman" w:hAnsi="Times New Roman"/>
          <w:i/>
          <w:sz w:val="20"/>
        </w:rPr>
        <w:t>Annex K</w:t>
      </w:r>
      <w:r>
        <w:rPr>
          <w:rFonts w:ascii="Times New Roman" w:hAnsi="Times New Roman"/>
          <w:sz w:val="20"/>
        </w:rPr>
        <w:t xml:space="preserve"> to this proxy statement/prospectus, which differ in certain respects from your current rights. These important differences are discussed and summarized in this proxy statement/prospectus under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 Corporation 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Cayman Redomestication to the Combined Company’s stockholders?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beginning on page 260 of this proxy statement/prospectus, Cyclerion intends that the Cayman Redomestication qualify as a “reorganization” within the meaning of Section 368(a) of the Code. As a result, a U.S. Holder (as defined therein) of the Combined Company stock (as defined therein) will not recognize gain or loss upon the Cayman Redomestication. For a more detailed discussion of the U.S. federal income tax considerations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beginning on page 260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 What do I need to do now? </w:t>
      </w:r>
    </w:p>
    <w:p>
      <w:pPr>
        <w:pStyle w:val="TextBody"/>
        <w:bidi w:val="0"/>
        <w:spacing w:before="120" w:after="0"/>
        <w:jc w:val="left"/>
        <w:rPr>
          <w:rFonts w:ascii="Times New Roman" w:hAnsi="Times New Roman"/>
          <w:sz w:val="20"/>
        </w:rPr>
      </w:pPr>
      <w:r>
        <w:rPr>
          <w:rFonts w:ascii="Times New Roman" w:hAnsi="Times New Roman"/>
          <w:sz w:val="20"/>
        </w:rPr>
        <w:t xml:space="preserve">A: Cyclerion urges you to read this proxy statement/prospectus carefully, including the annexes and the documents incorporated by reference, and to consider how the Merger affects you. </w:t>
      </w:r>
    </w:p>
    <w:p>
      <w:pPr>
        <w:pStyle w:val="TextBody"/>
        <w:bidi w:val="0"/>
        <w:spacing w:before="360" w:after="0"/>
        <w:jc w:val="left"/>
        <w:rPr>
          <w:rFonts w:ascii="Times New Roman" w:hAnsi="Times New Roman"/>
          <w:i/>
          <w:sz w:val="20"/>
        </w:rPr>
      </w:pPr>
      <w:r>
        <w:rPr>
          <w:rFonts w:ascii="Times New Roman" w:hAnsi="Times New Roman"/>
          <w:i/>
          <w:sz w:val="20"/>
        </w:rPr>
        <w:t xml:space="preserve">Shareholder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vote by proxy over the telephone, vote by proxy through the Internet or vote by proxy using a proxy card that you may request or that we may elect to deliver at a later time, the form of which is attached as </w:t>
      </w:r>
      <w:r>
        <w:rPr>
          <w:rFonts w:ascii="Times New Roman" w:hAnsi="Times New Roman"/>
          <w:i/>
          <w:sz w:val="20"/>
        </w:rPr>
        <w:t xml:space="preserve">Annex R </w:t>
      </w:r>
      <w:r>
        <w:rPr>
          <w:rFonts w:ascii="Times New Roman" w:hAnsi="Times New Roman"/>
          <w:sz w:val="20"/>
        </w:rPr>
        <w:t xml:space="preserve">to this proxy statement/prospectus. Whether or not you plan to attend the Cyclerion Shareholders Meeting, we urge you to vote by proxy to ensure your vote is counted. You may still attend the meeting and vote even if you have already voted by proxy.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110"/>
        <w:gridCol w:w="60"/>
        <w:gridCol w:w="7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attend the Cyclerion Shareholders Meeting via the Internet and vote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us before the Cyclerion Shareholders Meeting, we will vote your shares as you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found on the Notice. Your vote must be received by August 25, 2026 at 11:59 p.m. Eastern Time to be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w:t>
            </w:r>
            <w:r>
              <w:rPr>
                <w:rFonts w:ascii="Times New Roman" w:hAnsi="Times New Roman"/>
                <w:i/>
                <w:sz w:val="20"/>
              </w:rPr>
              <w:t>www.proxyvote.com</w:t>
            </w:r>
            <w:r>
              <w:rPr>
                <w:rFonts w:ascii="Times New Roman" w:hAnsi="Times New Roman"/>
                <w:sz w:val="20"/>
              </w:rPr>
              <w:t xml:space="preserve"> to complete an electronic proxy card. You will be asked to provide the company number and control number from the Notice. Your vote must be received by August 25, 2026 at 11:59 p.m. Eastern Time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Notice containing voting instructions from that organization rather than from Cyclerion. Simply follow the voting instructions in the Notice to ensure that your vote is counted. You may vote by telephone or over the Internet as instructed by your broker or bank. To vote at the Cyclerion Shareholders Meeting, you must obtain a valid proxy from your broker, bank, or other agent. Follow the instructions from your broker or bank included with these proxy materials, or contact your broker or bank to request a proxy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 What if I return a proxy card or otherwise vote but do not make specific choices? </w:t>
      </w:r>
    </w:p>
    <w:p>
      <w:pPr>
        <w:pStyle w:val="TextBody"/>
        <w:bidi w:val="0"/>
        <w:spacing w:before="120" w:after="0"/>
        <w:jc w:val="left"/>
        <w:rPr>
          <w:rFonts w:ascii="Times New Roman" w:hAnsi="Times New Roman"/>
          <w:sz w:val="20"/>
        </w:rPr>
      </w:pPr>
      <w:r>
        <w:rPr>
          <w:rFonts w:ascii="Times New Roman" w:hAnsi="Times New Roman"/>
          <w:sz w:val="20"/>
        </w:rPr>
        <w:t xml:space="preserve">A: If you return a signed and dated proxy card or otherwise vote without marking voting selections, your shares will be voted, as applicable, “For” the Nasdaq Stock Issuance Proposal, “For” the Authorized Share Proposal, “For” the Reverse Stock Split Proposal, “For” the Redomestication Proposal, “For” the Director Election Proposal, “For” the Auditor Ratification Proposal, “For” the Stock Plan Proposal, “For” the ESPP Proposal, “For” the Merger Compensation Proposal, “For” the Say-on-Pay Proposal and “For” the Adjournment Proposal. If any other matter is properly presented at the meeting, your proxy 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Q: What happens if I do not return a proxy card or otherwise vote or provide proxy instructions,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If you are a shareholder of record and fail to return your proxy card or otherwise vote, your shares will not be voted. If you are a beneficial owner of Cyclerion Common Stock and fail to provide proxy instructions, your shares will not be voted on non-routine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Q: If my Cyclerion shares are held in “street name” by my broker and I do not provide my broker or bank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Cyclerion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Cyclerion urges you to direct your broker, bank or other agent how to vote your shares on all proposals to ensure that your vote is counted.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broker non-votes and do they count for determining a quorum? </w:t>
      </w:r>
    </w:p>
    <w:p>
      <w:pPr>
        <w:pStyle w:val="TextBody"/>
        <w:bidi w:val="0"/>
        <w:spacing w:before="120" w:after="0"/>
        <w:jc w:val="left"/>
        <w:rPr>
          <w:rFonts w:ascii="Times New Roman" w:hAnsi="Times New Roman"/>
          <w:sz w:val="20"/>
        </w:rPr>
      </w:pPr>
      <w:r>
        <w:rPr>
          <w:rFonts w:ascii="Times New Roman" w:hAnsi="Times New Roman"/>
          <w:sz w:val="20"/>
        </w:rPr>
        <w:t xml:space="preserve">A: Generally, a “broker non-vote” occurs when shares held by a broker are not voted with respect to a particular proposal because the broker has not received voting instructions from its client(s) with respect to such shares on how to vote and does not have discretionary authority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Cyclerion Shareholders Meeting. Broker non-votes, if any, will have no effect on Proposal Nos. 1, 4B, 5, 6, 7, 8, 9, 10, and 11 and will have the same effect as a vote “AGAINST” Proposal Nos. 2, 3, and 4A. </w:t>
      </w:r>
    </w:p>
    <w:p>
      <w:pPr>
        <w:pStyle w:val="TextBody"/>
        <w:bidi w:val="0"/>
        <w:spacing w:before="360" w:after="0"/>
        <w:jc w:val="left"/>
        <w:rPr>
          <w:rFonts w:ascii="Times New Roman" w:hAnsi="Times New Roman"/>
          <w:b/>
          <w:sz w:val="20"/>
        </w:rPr>
      </w:pPr>
      <w:r>
        <w:rPr>
          <w:rFonts w:ascii="Times New Roman" w:hAnsi="Times New Roman"/>
          <w:b/>
          <w:sz w:val="20"/>
        </w:rPr>
        <w:t xml:space="preserve">Q: May I revoke and/or change my vote after I have submitted a proxy or provided proxy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Cyclerion shareholder of record, unless such shareholder’s vote is subject to a support agreement, may revoke and/or change their vote at any time before their proxy is voted at the Cyclerion Shareholders Meeting in one of four ways: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Cyclerion Shareholders Meeting and vote during the meeting. Simply attending the Cyclerion Shareholders Meeting will not, by itself, revoke your proxy and/or change your vote.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considerations of the Merger to a U.S. Holder of Korsana Common Stock and Korsana Preferred Stock? </w:t>
      </w:r>
    </w:p>
    <w:p>
      <w:pPr>
        <w:pStyle w:val="TextBody"/>
        <w:bidi w:val="0"/>
        <w:spacing w:before="120" w:after="0"/>
        <w:jc w:val="left"/>
        <w:rPr>
          <w:rFonts w:ascii="Times New Roman" w:hAnsi="Times New Roman"/>
          <w:sz w:val="20"/>
        </w:rPr>
      </w:pPr>
      <w:r>
        <w:rPr>
          <w:rFonts w:ascii="Times New Roman" w:hAnsi="Times New Roman"/>
          <w:sz w:val="20"/>
        </w:rPr>
        <w:t>A: Subject to the limitations and qualifications described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beginning on page 161 of this proxy statement/prospectus, each of Cyclerion and Korsana intend that the Merger qualify as a “reorganization” within the meaning of Section 368(a) of the Internal Revenue Code of 1986, as amended (the “Code”) for U.S. federal income tax purposes.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Merger</w:t>
      </w:r>
      <w:r>
        <w:rPr>
          <w:rFonts w:ascii="Times New Roman" w:hAnsi="Times New Roman"/>
          <w:sz w:val="20"/>
        </w:rPr>
        <w:t xml:space="preserve">” beginning on page 161.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material U.S. federal income tax consequences of the issuance of the Cyclerion CVRs, including any distributions of Cyclerion capital stock under the Cyclerion CVRs? </w:t>
      </w:r>
    </w:p>
    <w:p>
      <w:pPr>
        <w:pStyle w:val="TextBody"/>
        <w:bidi w:val="0"/>
        <w:spacing w:before="120" w:after="0"/>
        <w:jc w:val="left"/>
        <w:rPr>
          <w:rFonts w:ascii="Times New Roman" w:hAnsi="Times New Roman"/>
          <w:sz w:val="20"/>
        </w:rPr>
      </w:pPr>
      <w:r>
        <w:rPr>
          <w:rFonts w:ascii="Times New Roman" w:hAnsi="Times New Roman"/>
          <w:sz w:val="20"/>
        </w:rPr>
        <w:t>A: Although the U.S. federal income tax treatment of the Cyclerion CVRs is uncertain and the matter is not free from doubt, the Combined Company intends to treat a holder’s receipt of the Cyclerion CVRs as a distribution of property with respect to the holder’s existing shares of Cyclerion capital stock for U.S. federal income tax purposes. Please review the information in the section titled “</w:t>
      </w:r>
      <w:r>
        <w:rPr>
          <w:rFonts w:ascii="Times New Roman" w:hAnsi="Times New Roman"/>
          <w:i/>
          <w:sz w:val="20"/>
        </w:rPr>
        <w:t>Agreements Related to the Merger—Cyclerion CVR Agreement—Material U.S. Federal Income Tax Consequences of the Cyclerion CVRs to Holders of Cyclerion Capital Stock</w:t>
      </w:r>
      <w:r>
        <w:rPr>
          <w:rFonts w:ascii="Times New Roman" w:hAnsi="Times New Roman"/>
          <w:sz w:val="20"/>
        </w:rPr>
        <w:t xml:space="preserve">” for a discussion of the material U.S. federal income tax consequences of the Cyclerion CVRs to holders of Cyclerion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What are the U.S. federal income tax considerations of the reverse stock split to a U.S. Holder of Cyclerion Common Stock? </w:t>
      </w:r>
    </w:p>
    <w:p>
      <w:pPr>
        <w:pStyle w:val="TextBody"/>
        <w:bidi w:val="0"/>
        <w:spacing w:before="120" w:after="0"/>
        <w:jc w:val="left"/>
        <w:rPr>
          <w:rFonts w:ascii="Times New Roman" w:hAnsi="Times New Roman"/>
          <w:sz w:val="20"/>
        </w:rPr>
      </w:pPr>
      <w:r>
        <w:rPr>
          <w:rFonts w:ascii="Times New Roman" w:hAnsi="Times New Roman"/>
          <w:sz w:val="20"/>
        </w:rPr>
        <w:t>A: A U.S. Holder of Cyclerion Common Stock should not recognize gain or loss upon the reverse stock split, except to the extent such holder receives cash in lieu of a fractional share of Cyclerion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beginning on page 230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3</w:t>
      </w:r>
      <w:r>
        <w:rPr>
          <w:rFonts w:ascii="Times New Roman" w:hAnsi="Times New Roman"/>
          <w:sz w:val="20"/>
        </w:rPr>
        <w:t xml:space="preserve"> — </w:t>
      </w:r>
      <w:r>
        <w:rPr>
          <w:rFonts w:ascii="Times New Roman" w:hAnsi="Times New Roman"/>
          <w:i/>
          <w:sz w:val="20"/>
        </w:rPr>
        <w:t>The Reverse Stock Split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Reverse Stock Split</w:t>
      </w:r>
      <w:r>
        <w:rPr>
          <w:rFonts w:ascii="Times New Roman" w:hAnsi="Times New Roman"/>
          <w:sz w:val="20"/>
        </w:rPr>
        <w:t xml:space="preserve">” beginning on page 230 of this proxy statement/prospectus for a more complete description of the U.S. federal income tax considerations of the reverse stock split to a U.S. Holder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 Who can help answer my questions? </w:t>
      </w:r>
    </w:p>
    <w:p>
      <w:pPr>
        <w:pStyle w:val="TextBody"/>
        <w:bidi w:val="0"/>
        <w:spacing w:before="120" w:after="0"/>
        <w:jc w:val="left"/>
        <w:rPr>
          <w:rFonts w:ascii="Times New Roman" w:hAnsi="Times New Roman"/>
          <w:sz w:val="20"/>
        </w:rPr>
      </w:pPr>
      <w:r>
        <w:rPr>
          <w:rFonts w:ascii="Times New Roman" w:hAnsi="Times New Roman"/>
          <w:sz w:val="20"/>
        </w:rPr>
        <w:t xml:space="preserve">A: If you are a Cyclerion shareholder and would like additional copies of this proxy statement/prospectus without charge or if you have questions about the Merger or related matters, including the procedures for voting your shares, you should contact Cyclerion’s proxy solicitor, Laurel Hill Advisory Group, LLC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1069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sz w:val="20"/>
        </w:rPr>
      </w:pPr>
      <w:r>
        <w:rPr>
          <w:rFonts w:ascii="Times New Roman" w:hAnsi="Times New Roman"/>
          <w:sz w:val="20"/>
        </w:rPr>
        <w:t>This summary highlights selected information from this proxy statement/prospectus and may not contain all of the information that is important to you. To better understand the Merger and the proposals being considered at the Cyclerion Shareholders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Except where specifically noted, the following information and all other information contained in this proxy statement/prospectus does not give effect to the proposed reverse stock split described in Proposal No. 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The Companies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is a preclinical biotechnology company focused on building a pipeline of innovative therapeutics to address serious neuropsychiatric disorders with significant unmet medical need. Cyclerion’s current strategic focus is centered on the development of a novel therapeutic approach for neuropsychiatric conditions, with the lead indication being treatment-resistant depression (“TRD”), which Cyclerion believes represents a substantial clinical and commercial opportunity. Over the past year, Cyclerion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Cyclerion’s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good laboratory practice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(“TfR”) based shuttle designed to potentially improve delivery to the brain, which Korsana believes may also help reduce or avoid the treatment-related complications known as amyloid-related imaging abnormalities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xml:space="preserve">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Korsana’s principal executive offices are located at 203 Crescent Street, Bldgs. #3/3A/4, Suite 503, Waltham, MA 02453, and its telephone number is (781) 516-2325.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Merger Sub </w:t>
      </w:r>
    </w:p>
    <w:p>
      <w:pPr>
        <w:pStyle w:val="TextBody"/>
        <w:bidi w:val="0"/>
        <w:spacing w:before="120" w:after="0"/>
        <w:jc w:val="left"/>
        <w:rPr>
          <w:rFonts w:ascii="Times New Roman" w:hAnsi="Times New Roman"/>
          <w:sz w:val="20"/>
        </w:rPr>
      </w:pPr>
      <w:r>
        <w:rPr>
          <w:rFonts w:ascii="Times New Roman" w:hAnsi="Times New Roman"/>
          <w:sz w:val="20"/>
        </w:rPr>
        <w:t xml:space="preserve">First Merger Sub is a direct, wholly owned subsidiary of Cyclerion and was formed solely for the purpose of carrying out the Merger. First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Merger Sub </w:t>
      </w:r>
    </w:p>
    <w:p>
      <w:pPr>
        <w:pStyle w:val="TextBody"/>
        <w:bidi w:val="0"/>
        <w:spacing w:before="120" w:after="0"/>
        <w:jc w:val="left"/>
        <w:rPr>
          <w:rFonts w:ascii="Times New Roman" w:hAnsi="Times New Roman"/>
          <w:sz w:val="20"/>
        </w:rPr>
      </w:pPr>
      <w:r>
        <w:rPr>
          <w:rFonts w:ascii="Times New Roman" w:hAnsi="Times New Roman"/>
          <w:sz w:val="20"/>
        </w:rPr>
        <w:t xml:space="preserve">Second Merger Sub is a direct, wholly owned subsidiary of Cyclerion and was formed solely for the purpose of carrying out the Merger. Second Merger Sub’s executive offices are located at 245 First Street, 18th Floor, Cambridge, MA 02142. Its telephone number is (857) 327-8778.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(see page 134)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Delaware General Corporation Law (“DGCL”) and the Delaware Limited Liability Company Act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Cyclerion’s Reasons for the Merger (see page 142) </w:t>
      </w:r>
    </w:p>
    <w:p>
      <w:pPr>
        <w:pStyle w:val="TextBody"/>
        <w:bidi w:val="0"/>
        <w:spacing w:before="120" w:after="0"/>
        <w:jc w:val="left"/>
        <w:rPr>
          <w:rFonts w:ascii="Times New Roman" w:hAnsi="Times New Roman"/>
          <w:sz w:val="20"/>
        </w:rPr>
      </w:pPr>
      <w:r>
        <w:rPr>
          <w:rFonts w:ascii="Times New Roman" w:hAnsi="Times New Roman"/>
          <w:sz w:val="20"/>
        </w:rPr>
        <w:t>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as described later in this proxy statement/prospectus under the section titled “</w:t>
      </w:r>
      <w:r>
        <w:rPr>
          <w:rFonts w:ascii="Times New Roman" w:hAnsi="Times New Roman"/>
          <w:i/>
          <w:sz w:val="20"/>
        </w:rPr>
        <w:t>The Merger-Cyclerion’s Reasons for the Merger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Korsana</w:t>
      </w:r>
      <w:r>
        <w:rPr>
          <w:rFonts w:ascii="Times New Roman" w:hAnsi="Times New Roman"/>
          <w:sz w:val="20"/>
        </w:rPr>
        <w:t>’</w:t>
      </w:r>
      <w:r>
        <w:rPr>
          <w:rFonts w:ascii="Times New Roman" w:hAnsi="Times New Roman"/>
          <w:b/>
          <w:sz w:val="20"/>
        </w:rPr>
        <w:t>s Reasons for</w:t>
      </w:r>
      <w:r>
        <w:rPr>
          <w:rFonts w:ascii="Times New Roman" w:hAnsi="Times New Roman"/>
          <w:sz w:val="20"/>
        </w:rPr>
        <w:t xml:space="preserve"> </w:t>
      </w:r>
      <w:r>
        <w:rPr>
          <w:rFonts w:ascii="Times New Roman" w:hAnsi="Times New Roman"/>
          <w:b/>
          <w:sz w:val="20"/>
        </w:rPr>
        <w:t>the Merger</w:t>
      </w:r>
      <w:r>
        <w:rPr>
          <w:rFonts w:ascii="Times New Roman" w:hAnsi="Times New Roman"/>
          <w:sz w:val="20"/>
        </w:rPr>
        <w:t xml:space="preserve"> </w:t>
      </w:r>
      <w:r>
        <w:rPr>
          <w:rFonts w:ascii="Times New Roman" w:hAnsi="Times New Roman"/>
          <w:b/>
          <w:sz w:val="20"/>
        </w:rPr>
        <w:t>(see page 146)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 public company, Korsana expects to have broader access to capital and a wider range of investors to support the preclinical and clinical development of its pipeline than would be available if Korsana continued to operate as a privately-held company;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financial position,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Korsana Pre-Closing Financing might not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 the amount of proceeds from the Korsana Pre-Closing Financing and outstanding capital stock at Closing, and thus the relative percentage ownership of Cyclerion shareholders and Korsana stockholders in the Combined Company immediately following the completion of the Merger is similarly fixed;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termination fee of up to $10.736 million payable by Korsana;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time and effort involved in connection with completing the Merger, related disruptions, or potential disruptions to Korsana’s business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following the Merger as a public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(see page 129)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fair to, in the best interests of, and advisable to, Cyclerion and its shareholders to approve (A) the redomestication of Cyclerion from 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composition of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each director nominee named in the Director Election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(see page 155)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directors and executive officers have interests in the Merger that are different from, or in addition to, the interests of Cyclerion shareholders generally. These interests may present them with actual or potential conflicts of interest. These interests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(i) prior to the closing of the Merger, the Cyclerion Board will accelerate the vesting of all equity awards of Cyclerion then outstanding but not then vested or exercisable, regardless of whether requirements for performance-based vesting have been met, and cancel each option to acquire shares of Cyclerion Common Stock with an exercise price per share greater than Cyclerion Closing Price and (ii) at the closing of the First Merger, (a) In-the-Money Cyclerion Options will be cancelled and converted into the right to receive cash as set forth in the Merger Agreement and described in more detail in the section titled “</w:t>
            </w:r>
            <w:r>
              <w:rPr>
                <w:rFonts w:ascii="Times New Roman" w:hAnsi="Times New Roman"/>
                <w:i/>
                <w:sz w:val="20"/>
              </w:rPr>
              <w:t>The Merger Agreement</w:t>
            </w:r>
            <w:r>
              <w:rPr>
                <w:rFonts w:ascii="Times New Roman" w:hAnsi="Times New Roman"/>
                <w:sz w:val="20"/>
              </w:rPr>
              <w:t xml:space="preserve"> — </w:t>
            </w:r>
            <w:r>
              <w:rPr>
                <w:rFonts w:ascii="Times New Roman" w:hAnsi="Times New Roman"/>
                <w:i/>
                <w:sz w:val="20"/>
              </w:rPr>
              <w:t>Treatment of Cyclerion Options and Cyclerion Restricted Stock Awards</w:t>
            </w:r>
            <w:r>
              <w:rPr>
                <w:rFonts w:ascii="Times New Roman" w:hAnsi="Times New Roman"/>
                <w:sz w:val="20"/>
              </w:rPr>
              <w:t xml:space="preserve">” beginning on page 155 of this proxy statement/prospectus and (b) each other option to acquire shares of Cyclerion Common Stock will be cancelled for no consideration;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Cyclerion’s President and Chief Executive Officer will receive severance benefits in accordance with the terms of the amended employment agreement that she entered into with Cyclerion in connection with the Merger, as described in further detail in the section of this proxy statement/prospectus titled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the Cyclerion shareholders approve the Merger as contemplated by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Korsana’s Directors and Executive Officers in the Merger (see page 157)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These interests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subsection excludes any Korsana shares issuable upon exercise or settlement of Korsana options and restricted stock units held by such individual;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Fairmount Healthcare Fund II L.P. (“Fairmount Fund II”), an affiliate of Tomas Kiselak and Michelle Pernice (Korsana directors) and Jonathan Violin (Korsana director and Chief Executive Officer and President),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Venrock Healthcare Capital Partners, an affiliate of Andrew Gottesdiener and Nimish Shah (Korsana directors), currently holds shares of Korsana capital stock and has agreed to purchase Korsana Common Stock and Korsana Pre-Funded Warrants in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Korsana Common Stock and each Korsana restricted stock unit held by Korsana’s executive officers and directors, whether or not vested, will be converted into an option to purchase shares of the Combined Company’s common stock or a restricted stock unit of the Combined Company, respectively, on the same terms and conditions (including any vesting and acceleration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expected to become directors and executive officers of the Combined Company upon completion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Gemini to the Cyclerion Board (see page B-1) </w:t>
      </w:r>
    </w:p>
    <w:p>
      <w:pPr>
        <w:pStyle w:val="TextBody"/>
        <w:bidi w:val="0"/>
        <w:spacing w:before="120" w:after="0"/>
        <w:jc w:val="left"/>
        <w:rPr>
          <w:rFonts w:ascii="Times New Roman" w:hAnsi="Times New Roman"/>
          <w:sz w:val="20"/>
        </w:rPr>
      </w:pPr>
      <w:r>
        <w:rPr>
          <w:rFonts w:ascii="Times New Roman" w:hAnsi="Times New Roman"/>
          <w:sz w:val="20"/>
        </w:rPr>
        <w:t xml:space="preserve">Cyclerion retained Gemini Valuation Services, LLC (“Gemini”) as its financial advisor in connection with the Merger and the other transactions contemplated by the Merger Agreement. On March 31, 2026, Gemini rendered to the Cyclerion Board its oral opinion, which was subsequently confirmed by a written opinion addressed to the Cyclerion Board, dated March 31, 2026, that, as of such date and based upon and subject to the various assumptions made, and the qualifications and limitations upon the review undertaken by Gemini in preparing its opinion, the Exchange Ratio was fair, from a financial point of view, to Cyclerion.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Gemini, dated March 31, 2026, which describes the assumptions made and the qualifications and limitations upon the review undertaken by Gemini in preparing its opinion, is attached as </w:t>
      </w:r>
      <w:r>
        <w:rPr>
          <w:rFonts w:ascii="Times New Roman" w:hAnsi="Times New Roman"/>
          <w:i/>
          <w:sz w:val="20"/>
        </w:rPr>
        <w:t>Annex B</w:t>
      </w:r>
      <w:r>
        <w:rPr>
          <w:rFonts w:ascii="Times New Roman" w:hAnsi="Times New Roman"/>
          <w:sz w:val="20"/>
        </w:rPr>
        <w:t xml:space="preserve"> to this proxy statement/prospectus and is incorporated herein by reference. </w:t>
      </w:r>
      <w:r>
        <w:rPr>
          <w:rFonts w:ascii="Times New Roman" w:hAnsi="Times New Roman"/>
          <w:b/>
          <w:sz w:val="20"/>
        </w:rPr>
        <w:t>Gemini</w:t>
      </w:r>
      <w:r>
        <w:rPr>
          <w:rFonts w:ascii="Times New Roman" w:hAnsi="Times New Roman"/>
          <w:sz w:val="20"/>
        </w:rPr>
        <w:t>’</w:t>
      </w:r>
      <w:r>
        <w:rPr>
          <w:rFonts w:ascii="Times New Roman" w:hAnsi="Times New Roman"/>
          <w:b/>
          <w:sz w:val="20"/>
        </w:rPr>
        <w:t>s financial advisory services and opinion were provided for</w:t>
      </w:r>
      <w:r>
        <w:rPr>
          <w:rFonts w:ascii="Times New Roman" w:hAnsi="Times New Roman"/>
          <w:sz w:val="20"/>
        </w:rPr>
        <w:t xml:space="preserve"> </w:t>
      </w:r>
      <w:r>
        <w:rPr>
          <w:rFonts w:ascii="Times New Roman" w:hAnsi="Times New Roman"/>
          <w:b/>
          <w:sz w:val="20"/>
        </w:rPr>
        <w:t>the information and assistance of the Cyclerion</w:t>
      </w:r>
      <w:r>
        <w:rPr>
          <w:rFonts w:ascii="Times New Roman" w:hAnsi="Times New Roman"/>
          <w:sz w:val="20"/>
        </w:rPr>
        <w:t xml:space="preserve"> </w:t>
      </w:r>
      <w:r>
        <w:rPr>
          <w:rFonts w:ascii="Times New Roman" w:hAnsi="Times New Roman"/>
          <w:b/>
          <w:sz w:val="20"/>
        </w:rPr>
        <w:t>Board (in their capacity as directors and not in any other capacity) in connection with and for</w:t>
      </w:r>
      <w:r>
        <w:rPr>
          <w:rFonts w:ascii="Times New Roman" w:hAnsi="Times New Roman"/>
          <w:sz w:val="20"/>
        </w:rPr>
        <w:t xml:space="preserve"> </w:t>
      </w:r>
      <w:r>
        <w:rPr>
          <w:rFonts w:ascii="Times New Roman" w:hAnsi="Times New Roman"/>
          <w:b/>
          <w:sz w:val="20"/>
        </w:rPr>
        <w:t>purposes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w:t>
      </w:r>
      <w:r>
        <w:rPr>
          <w:rFonts w:ascii="Times New Roman" w:hAnsi="Times New Roman"/>
          <w:b/>
          <w:sz w:val="20"/>
        </w:rPr>
        <w:t>s consideration of the Merger</w:t>
      </w:r>
      <w:r>
        <w:rPr>
          <w:rFonts w:ascii="Times New Roman" w:hAnsi="Times New Roman"/>
          <w:sz w:val="20"/>
        </w:rPr>
        <w:t xml:space="preserve"> </w:t>
      </w:r>
      <w:r>
        <w:rPr>
          <w:rFonts w:ascii="Times New Roman" w:hAnsi="Times New Roman"/>
          <w:b/>
          <w:sz w:val="20"/>
        </w:rPr>
        <w:t>and the opinion of Gemini</w:t>
      </w:r>
      <w:r>
        <w:rPr>
          <w:rFonts w:ascii="Times New Roman" w:hAnsi="Times New Roman"/>
          <w:sz w:val="20"/>
        </w:rPr>
        <w:t xml:space="preserve"> </w:t>
      </w:r>
      <w:r>
        <w:rPr>
          <w:rFonts w:ascii="Times New Roman" w:hAnsi="Times New Roman"/>
          <w:b/>
          <w:sz w:val="20"/>
        </w:rPr>
        <w:t>addressed only the fairness, from a financial point of view, as of the date thereof, to Cyclerion</w:t>
      </w:r>
      <w:r>
        <w:rPr>
          <w:rFonts w:ascii="Times New Roman" w:hAnsi="Times New Roman"/>
          <w:sz w:val="20"/>
        </w:rPr>
        <w:t xml:space="preserve"> </w:t>
      </w:r>
      <w:r>
        <w:rPr>
          <w:rFonts w:ascii="Times New Roman" w:hAnsi="Times New Roman"/>
          <w:b/>
          <w:sz w:val="20"/>
        </w:rPr>
        <w:t>of the Exchange Ratio</w:t>
      </w:r>
      <w:r>
        <w:rPr>
          <w:rFonts w:ascii="Times New Roman" w:hAnsi="Times New Roman"/>
          <w:sz w:val="20"/>
        </w:rPr>
        <w:t xml:space="preserve"> </w:t>
      </w:r>
      <w:r>
        <w:rPr>
          <w:rFonts w:ascii="Times New Roman" w:hAnsi="Times New Roman"/>
          <w:b/>
          <w:sz w:val="20"/>
        </w:rPr>
        <w:t>pursuant to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terms of the Merger Agreement. The opinion of Gemini</w:t>
      </w:r>
      <w:r>
        <w:rPr>
          <w:rFonts w:ascii="Times New Roman" w:hAnsi="Times New Roman"/>
          <w:sz w:val="20"/>
        </w:rPr>
        <w:t xml:space="preserve"> </w:t>
      </w:r>
      <w:r>
        <w:rPr>
          <w:rFonts w:ascii="Times New Roman" w:hAnsi="Times New Roman"/>
          <w:b/>
          <w:sz w:val="20"/>
        </w:rPr>
        <w:t>did not address any other term or aspect of the Merger Agreement or the Merger</w:t>
      </w:r>
      <w:r>
        <w:rPr>
          <w:rFonts w:ascii="Times New Roman" w:hAnsi="Times New Roman"/>
          <w:sz w:val="20"/>
        </w:rPr>
        <w:t xml:space="preserve"> </w:t>
      </w:r>
      <w:r>
        <w:rPr>
          <w:rFonts w:ascii="Times New Roman" w:hAnsi="Times New Roman"/>
          <w:b/>
          <w:sz w:val="20"/>
        </w:rPr>
        <w:t>and does not constitute a recommendation to any shareholder of Cyclerion as to whether or how such holder should vote with respect to the Merger or otherwise act with respect to the Merger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Gemini should be read carefully in its entirety for a description of the assumptions made and limitations upon the review undertaken by Gemini in preparing its opinion.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Merger Agreement and Agreements Related to the Merger Agreement </w:t>
      </w:r>
    </w:p>
    <w:p>
      <w:pPr>
        <w:pStyle w:val="TextBody"/>
        <w:bidi w:val="0"/>
        <w:spacing w:before="120" w:after="0"/>
        <w:jc w:val="left"/>
        <w:rPr>
          <w:rFonts w:ascii="Times New Roman" w:hAnsi="Times New Roman"/>
          <w:sz w:val="20"/>
        </w:rPr>
      </w:pPr>
      <w:r>
        <w:rPr>
          <w:rFonts w:ascii="Times New Roman" w:hAnsi="Times New Roman"/>
          <w:b/>
          <w:i/>
          <w:sz w:val="20"/>
        </w:rPr>
        <w:t>Merger</w:t>
      </w:r>
      <w:r>
        <w:rPr>
          <w:rFonts w:ascii="Times New Roman" w:hAnsi="Times New Roman"/>
          <w:sz w:val="20"/>
        </w:rPr>
        <w:t xml:space="preserve"> </w:t>
      </w:r>
      <w:r>
        <w:rPr>
          <w:rFonts w:ascii="Times New Roman" w:hAnsi="Times New Roman"/>
          <w:b/>
          <w:i/>
          <w:sz w:val="20"/>
        </w:rPr>
        <w:t>Consideration</w:t>
      </w:r>
      <w:r>
        <w:rPr>
          <w:rFonts w:ascii="Times New Roman" w:hAnsi="Times New Roman"/>
          <w:sz w:val="20"/>
        </w:rPr>
        <w:t xml:space="preserve"> (see page 168)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Cyclerion Pre-Funded Warrants, as applicable,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Options</w:t>
      </w:r>
      <w:r>
        <w:rPr>
          <w:rFonts w:ascii="Times New Roman" w:hAnsi="Times New Roman"/>
          <w:sz w:val="20"/>
        </w:rPr>
        <w:t xml:space="preserve"> (see page 172)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option to purchase shares of Korsana Common Stock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Korsana’s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 of Korsana Warrants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sz w:val="20"/>
        </w:rPr>
      </w:pPr>
      <w:r>
        <w:rPr>
          <w:rFonts w:ascii="Times New Roman" w:hAnsi="Times New Roman"/>
          <w:b/>
          <w:i/>
          <w:sz w:val="20"/>
        </w:rPr>
        <w:t>Korsana</w:t>
      </w:r>
      <w:r>
        <w:rPr>
          <w:rFonts w:ascii="Times New Roman" w:hAnsi="Times New Roman"/>
          <w:sz w:val="20"/>
        </w:rPr>
        <w:t xml:space="preserve"> </w:t>
      </w:r>
      <w:r>
        <w:rPr>
          <w:rFonts w:ascii="Times New Roman" w:hAnsi="Times New Roman"/>
          <w:b/>
          <w:i/>
          <w:sz w:val="20"/>
        </w:rPr>
        <w:t>Restricted</w:t>
      </w:r>
      <w:r>
        <w:rPr>
          <w:rFonts w:ascii="Times New Roman" w:hAnsi="Times New Roman"/>
          <w:sz w:val="20"/>
        </w:rPr>
        <w:t xml:space="preserve"> </w:t>
      </w:r>
      <w:r>
        <w:rPr>
          <w:rFonts w:ascii="Times New Roman" w:hAnsi="Times New Roman"/>
          <w:b/>
          <w:i/>
          <w:sz w:val="20"/>
        </w:rPr>
        <w:t>Stock</w:t>
      </w:r>
      <w:r>
        <w:rPr>
          <w:rFonts w:ascii="Times New Roman" w:hAnsi="Times New Roman"/>
          <w:sz w:val="20"/>
        </w:rPr>
        <w:t xml:space="preserve"> </w:t>
      </w:r>
      <w:r>
        <w:rPr>
          <w:rFonts w:ascii="Times New Roman" w:hAnsi="Times New Roman"/>
          <w:b/>
          <w:i/>
          <w:sz w:val="20"/>
        </w:rPr>
        <w:t>Units</w:t>
      </w:r>
      <w:r>
        <w:rPr>
          <w:rFonts w:ascii="Times New Roman" w:hAnsi="Times New Roman"/>
          <w:sz w:val="20"/>
        </w:rPr>
        <w:t xml:space="preserve"> (see page 173)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units would otherwise be entitled to is equal to or exceeds 0.50, and otherwise rounded down. Each Korsana RSU assumed by Cyclerion will otherwise continue in full force and effect and the term,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Combined Company’s compensation committee will succeed to the authority and responsibility of the Korsana Board as administrator of the Korsana 2025 Equity Incentive Plan. </w:t>
      </w:r>
    </w:p>
    <w:p>
      <w:pPr>
        <w:pStyle w:val="TextBody"/>
        <w:bidi w:val="0"/>
        <w:spacing w:before="360" w:after="0"/>
        <w:jc w:val="left"/>
        <w:rPr>
          <w:rFonts w:ascii="Times New Roman" w:hAnsi="Times New Roman"/>
          <w:sz w:val="20"/>
        </w:rPr>
      </w:pPr>
      <w:r>
        <w:rPr>
          <w:rFonts w:ascii="Times New Roman" w:hAnsi="Times New Roman"/>
          <w:b/>
          <w:i/>
          <w:sz w:val="20"/>
        </w:rPr>
        <w:t>Treatment</w:t>
      </w:r>
      <w:r>
        <w:rPr>
          <w:rFonts w:ascii="Times New Roman" w:hAnsi="Times New Roman"/>
          <w:sz w:val="20"/>
        </w:rPr>
        <w:t xml:space="preserve"> </w:t>
      </w:r>
      <w:r>
        <w:rPr>
          <w:rFonts w:ascii="Times New Roman" w:hAnsi="Times New Roman"/>
          <w:b/>
          <w:i/>
          <w:sz w:val="20"/>
        </w:rPr>
        <w:t>of</w:t>
      </w:r>
      <w:r>
        <w:rPr>
          <w:rFonts w:ascii="Times New Roman" w:hAnsi="Times New Roman"/>
          <w:sz w:val="20"/>
        </w:rPr>
        <w:t xml:space="preserve"> </w:t>
      </w:r>
      <w:r>
        <w:rPr>
          <w:rFonts w:ascii="Times New Roman" w:hAnsi="Times New Roman"/>
          <w:b/>
          <w:i/>
          <w:sz w:val="20"/>
        </w:rPr>
        <w:t>Cyclerion Common Stock, Cyclerion</w:t>
      </w:r>
      <w:r>
        <w:rPr>
          <w:rFonts w:ascii="Times New Roman" w:hAnsi="Times New Roman"/>
          <w:sz w:val="20"/>
        </w:rPr>
        <w:t xml:space="preserve"> </w:t>
      </w:r>
      <w:r>
        <w:rPr>
          <w:rFonts w:ascii="Times New Roman" w:hAnsi="Times New Roman"/>
          <w:b/>
          <w:i/>
          <w:sz w:val="20"/>
        </w:rPr>
        <w:t>Options and Cyclerion Restricted Stock Awards</w:t>
      </w:r>
      <w:r>
        <w:rPr>
          <w:rFonts w:ascii="Times New Roman" w:hAnsi="Times New Roman"/>
          <w:sz w:val="20"/>
        </w:rPr>
        <w:t xml:space="preserve"> (see page 174)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the Cyclerion Board will accelerate the vesting of all equity awards of Cyclerion then outstanding but not then vested or exercisable. At the First Effective Time, (i) each In-the-Money Cyclerion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(ii) each Out-of-the-Money Cyclerion Option will be cancelled for no consideration. The vesting of each Cyclerion RSA will be accelerated in full. </w:t>
      </w:r>
    </w:p>
    <w:p>
      <w:pPr>
        <w:pStyle w:val="TextBody"/>
        <w:bidi w:val="0"/>
        <w:spacing w:before="360" w:after="0"/>
        <w:jc w:val="left"/>
        <w:rPr>
          <w:rFonts w:ascii="Times New Roman" w:hAnsi="Times New Roman"/>
          <w:sz w:val="20"/>
        </w:rPr>
      </w:pPr>
      <w:r>
        <w:rPr>
          <w:rFonts w:ascii="Times New Roman" w:hAnsi="Times New Roman"/>
          <w:b/>
          <w:i/>
          <w:sz w:val="20"/>
        </w:rPr>
        <w:t>Conditions to the Completion</w:t>
      </w:r>
      <w:r>
        <w:rPr>
          <w:rFonts w:ascii="Times New Roman" w:hAnsi="Times New Roman"/>
          <w:sz w:val="20"/>
        </w:rPr>
        <w:t xml:space="preserve"> </w:t>
      </w:r>
      <w:r>
        <w:rPr>
          <w:rFonts w:ascii="Times New Roman" w:hAnsi="Times New Roman"/>
          <w:b/>
          <w:i/>
          <w:sz w:val="20"/>
        </w:rPr>
        <w:t>of the Merger</w:t>
      </w:r>
      <w:r>
        <w:rPr>
          <w:rFonts w:ascii="Times New Roman" w:hAnsi="Times New Roman"/>
          <w:sz w:val="20"/>
        </w:rPr>
        <w:t xml:space="preserve"> (see page 183)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 Cyclerion shareholders must approve Proposal No. 1, Proposal No. 2, and Proposal No. 3 (unless, to the extent permitted by applicable law, each of Cyclerion, the Merger Subs, and Korsana waive such conditions) and Korsana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rPr>
      </w:pPr>
      <w:r>
        <w:rPr>
          <w:rFonts w:ascii="Times New Roman" w:hAnsi="Times New Roman"/>
          <w:b/>
          <w:i/>
          <w:sz w:val="20"/>
        </w:rPr>
        <w:t>Non-Solicitation</w:t>
      </w:r>
      <w:r>
        <w:rPr>
          <w:rFonts w:ascii="Times New Roman" w:hAnsi="Times New Roman"/>
          <w:sz w:val="20"/>
        </w:rPr>
        <w:t xml:space="preserve"> (see page 179)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non-solicitation provisions prohibiting Cyclerion and Korsana from soliciting a competing transaction. Each of Cyclerion and Korsana has agreed that, subject to certain exceptions, Cyclerion and Korsana and any of their respective subsidiaries will not, nor will either party or any of its subsidiaries authorize or permit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rPr>
      </w:pPr>
      <w:r>
        <w:rPr>
          <w:rFonts w:ascii="Times New Roman" w:hAnsi="Times New Roman"/>
          <w:b/>
          <w:i/>
          <w:sz w:val="20"/>
        </w:rPr>
        <w:t>Board Recommendation Change</w:t>
      </w:r>
      <w:r>
        <w:rPr>
          <w:rFonts w:ascii="Times New Roman" w:hAnsi="Times New Roman"/>
          <w:sz w:val="20"/>
        </w:rPr>
        <w:t xml:space="preserve"> (see page 181) </w:t>
      </w:r>
    </w:p>
    <w:p>
      <w:pPr>
        <w:pStyle w:val="TextBody"/>
        <w:bidi w:val="0"/>
        <w:spacing w:before="120" w:after="0"/>
        <w:jc w:val="left"/>
        <w:rPr>
          <w:rFonts w:ascii="Times New Roman" w:hAnsi="Times New Roman"/>
          <w:sz w:val="20"/>
        </w:rPr>
      </w:pPr>
      <w:r>
        <w:rPr>
          <w:rFonts w:ascii="Times New Roman" w:hAnsi="Times New Roman"/>
          <w:sz w:val="20"/>
        </w:rPr>
        <w:t xml:space="preserve">Neither the Korsana Board nor Cyclerion Board may change its recommendation in favor of the Merger, except that prior to receipt by such party of its stockholder approval, such party’s board of directors may effect a change in recommendation as a result of (i) a material development or change in circumstances, or (ii) with respect to a superior offer that did not result from a material breach of the Merger Agreement (each of (i) and (ii), an “Intervening Event”),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material amendment to any superior offer, the party considering the superior offer would be required to provide the other party with notice of such material amendment and there would be a new three-business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rPr>
      </w:pPr>
      <w:r>
        <w:rPr>
          <w:rFonts w:ascii="Times New Roman" w:hAnsi="Times New Roman"/>
          <w:b/>
          <w:i/>
          <w:sz w:val="20"/>
        </w:rPr>
        <w:t xml:space="preserve">Termination of the Merger Agreement </w:t>
      </w:r>
      <w:r>
        <w:rPr>
          <w:rFonts w:ascii="Times New Roman" w:hAnsi="Times New Roman"/>
          <w:sz w:val="20"/>
        </w:rPr>
        <w:t xml:space="preserve">(see page 184) </w:t>
      </w:r>
    </w:p>
    <w:p>
      <w:pPr>
        <w:pStyle w:val="TextBody"/>
        <w:bidi w:val="0"/>
        <w:spacing w:before="120" w:after="0"/>
        <w:jc w:val="left"/>
        <w:rPr>
          <w:rFonts w:ascii="Times New Roman" w:hAnsi="Times New Roman"/>
          <w:sz w:val="20"/>
        </w:rPr>
      </w:pPr>
      <w:r>
        <w:rPr>
          <w:rFonts w:ascii="Times New Roman" w:hAnsi="Times New Roman"/>
          <w:sz w:val="20"/>
        </w:rPr>
        <w:t xml:space="preserve">Either Cyclerion or Korsana may terminate the Merger Agreement under certain circumstances, which would prevent the Merger from being consummated. </w:t>
      </w:r>
    </w:p>
    <w:p>
      <w:pPr>
        <w:pStyle w:val="TextBody"/>
        <w:bidi w:val="0"/>
        <w:spacing w:before="360" w:after="0"/>
        <w:jc w:val="left"/>
        <w:rPr>
          <w:rFonts w:ascii="Times New Roman" w:hAnsi="Times New Roman"/>
          <w:sz w:val="20"/>
        </w:rPr>
      </w:pPr>
      <w:r>
        <w:rPr>
          <w:rFonts w:ascii="Times New Roman" w:hAnsi="Times New Roman"/>
          <w:b/>
          <w:i/>
          <w:sz w:val="20"/>
        </w:rPr>
        <w:t>Termination Fee</w:t>
      </w:r>
      <w:r>
        <w:rPr>
          <w:rFonts w:ascii="Times New Roman" w:hAnsi="Times New Roman"/>
          <w:sz w:val="20"/>
        </w:rPr>
        <w:t xml:space="preserve"> (see page 184)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under certain circumstances, Cyclerion could be required to pay Korsana a termination fee of $235,000 or Korsana could be required to pay Cyclerion a termination fee of $10,736,000.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Support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(the “Korsana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officers of Cyclerion holding approximately 24.2% of the outstanding shares of Cyclerion capital stock as of June 30, 2026 on an as-converted to Cyclerion Common Stock basis have entered into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(the “Cyclerion Support Agreements”). </w:t>
      </w:r>
    </w:p>
    <w:p>
      <w:pPr>
        <w:pStyle w:val="TextBody"/>
        <w:bidi w:val="0"/>
        <w:spacing w:before="360" w:after="0"/>
        <w:jc w:val="left"/>
        <w:rPr>
          <w:rFonts w:ascii="Times New Roman" w:hAnsi="Times New Roman"/>
          <w:sz w:val="20"/>
        </w:rPr>
      </w:pPr>
      <w:r>
        <w:rPr>
          <w:rFonts w:ascii="Times New Roman" w:hAnsi="Times New Roman"/>
          <w:b/>
          <w:i/>
          <w:sz w:val="20"/>
        </w:rPr>
        <w:t>Lock-Up Agreements</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360" w:after="0"/>
        <w:jc w:val="left"/>
        <w:rPr>
          <w:rFonts w:ascii="Times New Roman" w:hAnsi="Times New Roman"/>
          <w:sz w:val="20"/>
        </w:rPr>
      </w:pPr>
      <w:r>
        <w:rPr>
          <w:rFonts w:ascii="Times New Roman" w:hAnsi="Times New Roman"/>
          <w:b/>
          <w:i/>
          <w:sz w:val="20"/>
        </w:rPr>
        <w:t>Cyclerion CVR Agreement</w:t>
      </w:r>
      <w:r>
        <w:rPr>
          <w:rFonts w:ascii="Times New Roman" w:hAnsi="Times New Roman"/>
          <w:sz w:val="20"/>
        </w:rPr>
        <w:t xml:space="preserve"> (see page 190)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 Legacy Assets, net of any indemnity obligations, transaction costs and certain other expenses, during the period beginning on the date of the closing of the Merger and ending (i) with respect to the sale, transfer, license or other disposition of all Cyclerion Legacy Assets other than those Cyclerion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Therapeutics, Inc.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 Legacy Assets and related activities, including seeking and negotiating and, with the prior written consent of the Combined Company (not to be unreasonably withheld, conditioned or delayed), executing agreements with respect to Cyclerion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360" w:after="0"/>
        <w:jc w:val="left"/>
        <w:rPr>
          <w:rFonts w:ascii="Times New Roman" w:hAnsi="Times New Roman"/>
          <w:sz w:val="20"/>
        </w:rPr>
      </w:pPr>
      <w:r>
        <w:rPr>
          <w:rFonts w:ascii="Times New Roman" w:hAnsi="Times New Roman"/>
          <w:b/>
          <w:i/>
          <w:sz w:val="20"/>
        </w:rPr>
        <w:t>Securities Purchase Agreement and Registration Rights Agreement</w:t>
      </w:r>
      <w:r>
        <w:rPr>
          <w:rFonts w:ascii="Times New Roman" w:hAnsi="Times New Roman"/>
          <w:sz w:val="20"/>
        </w:rPr>
        <w:t xml:space="preserve"> (see page 188)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institutional and accredited investors of Korsana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also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Cyclerion Common Stock that are held by the investors participating in the Korsana Pre-Closing Financing from time to time pursuant to Rule 415. Approximately 196.0 million shares of Cyclerion Common Stock (or approximately 260.9 million shares of Cyclerion Common Stock, if the Cyclerion Pre-Funded Warrants are exercised) are expected to be registrable securities under the Registration Rights Agreement following the closing of the Merger, subject to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Management Following the Merger (see page 379)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2135"/>
        <w:gridCol w:w="120"/>
        <w:gridCol w:w="305"/>
        <w:gridCol w:w="120"/>
        <w:gridCol w:w="453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Executive Officer, President and 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General Counsel and Secretary</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35</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(see page 161) </w:t>
      </w:r>
    </w:p>
    <w:p>
      <w:pPr>
        <w:pStyle w:val="TextBody"/>
        <w:bidi w:val="0"/>
        <w:spacing w:before="120" w:after="0"/>
        <w:jc w:val="left"/>
        <w:rPr>
          <w:rFonts w:ascii="Times New Roman" w:hAnsi="Times New Roman"/>
          <w:sz w:val="20"/>
        </w:rPr>
      </w:pPr>
      <w:r>
        <w:rPr>
          <w:rFonts w:ascii="Times New Roman" w:hAnsi="Times New Roman"/>
          <w:sz w:val="20"/>
        </w:rPr>
        <w:t>As discussed in detail in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beginning on page 161 of this proxy statement/prospectus and subject to the limitations and qualifications described therein, Korsana and Cyclerion intend the Merger to qualify as a “reorganization” within the meaning of Section 368(a) of the Code. Assuming the Merger so qualifies, a U.S. Holder of Korsana stock (as defined therein) will not recognize gain or loss upon the exchange of its Korsana stock for Cyclerion stock. For a more detailed discussion of the U.S. federal income tax considerations of the Merger, see the section titled “</w:t>
      </w:r>
      <w:r>
        <w:rPr>
          <w:rFonts w:ascii="Times New Roman" w:hAnsi="Times New Roman"/>
          <w:i/>
          <w:sz w:val="20"/>
        </w:rPr>
        <w:t>The Merger</w:t>
      </w:r>
      <w:r>
        <w:rPr>
          <w:rFonts w:ascii="Times New Roman" w:hAnsi="Times New Roman"/>
          <w:sz w:val="20"/>
        </w:rPr>
        <w:t> — </w:t>
      </w:r>
      <w:r>
        <w:rPr>
          <w:rFonts w:ascii="Times New Roman" w:hAnsi="Times New Roman"/>
          <w:i/>
          <w:sz w:val="20"/>
        </w:rPr>
        <w:t>U.S. Federal Income Tax Considerations of the Merger</w:t>
      </w:r>
      <w:r>
        <w:rPr>
          <w:rFonts w:ascii="Times New Roman" w:hAnsi="Times New Roman"/>
          <w:sz w:val="20"/>
        </w:rPr>
        <w:t xml:space="preserve">,” beginning on page 161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(see page 260) </w:t>
      </w:r>
    </w:p>
    <w:p>
      <w:pPr>
        <w:pStyle w:val="TextBody"/>
        <w:bidi w:val="0"/>
        <w:spacing w:before="12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U.S. Federal Income Tax 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Cyclerion intends that the Cayman Redomestication qualify as a “reorganization” within the meaning of Section 368(a) of the Code. Assuming the Cayman Redomestication so qualifies, a U.S. Holder of the Combined Company stock will not recognize gain or loss upon the Cayman Redomestication. For a more detailed discussion of the U.S. federal income tax considerations of the Cayman Redomestication, please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U.S. Federal Income Tax</w:t>
      </w:r>
      <w:r>
        <w:rPr>
          <w:rFonts w:ascii="Times New Roman" w:hAnsi="Times New Roman"/>
          <w:sz w:val="20"/>
        </w:rPr>
        <w:t xml:space="preserve"> </w:t>
      </w:r>
      <w:r>
        <w:rPr>
          <w:rFonts w:ascii="Times New Roman" w:hAnsi="Times New Roman"/>
          <w:i/>
          <w:sz w:val="20"/>
        </w:rPr>
        <w:t>Considerations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(see page 33) </w:t>
      </w:r>
    </w:p>
    <w:p>
      <w:pPr>
        <w:pStyle w:val="TextBody"/>
        <w:bidi w:val="0"/>
        <w:spacing w:before="120" w:after="0"/>
        <w:jc w:val="left"/>
        <w:rPr>
          <w:rFonts w:ascii="Times New Roman" w:hAnsi="Times New Roman"/>
          <w:sz w:val="20"/>
        </w:rPr>
      </w:pPr>
      <w:r>
        <w:rPr>
          <w:rFonts w:ascii="Times New Roman" w:hAnsi="Times New Roman"/>
          <w:sz w:val="20"/>
        </w:rPr>
        <w:t xml:space="preserve">Both Cyclerion and Korsana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could materially and adversely affect Cyclerion’s results of operations, business, financial results and/or common stock price;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Cyclerion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Cyclerion Common Stock, including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is expected to be deemed a shell company. As a result, if Cyclerion completes the Merger, the Combined Company may be subject to more stringent reporting requirements, offering limitations and resale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of the Cyclerion and Korsana directors and executive officers have interests in the Merger that are different from yours and that may influence them to support or approve the Merger without regard to your interests;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Proposed Reverse Stock Split </w:t>
      </w:r>
    </w:p>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 term;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Cyclerion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Cyclerion is a biopharmaceutical company with a limited operating history and no products approved for commercial sale, valuing Cyclerion’s business and predicting its prospects are challenging.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has incurred significant losses and Cyclerion anticipates that, if it continue to progress the development of its product candidates, Cyclerion will continue to incur significant losses for the foreseeable future. Cyclerion has never generated revenue from product sales and may never be profitable.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substantial doubt about Cyclerion’s ability to continue as a going concern. If Cyclerion is not able to complete the proposed Merger and Cyclerion continues to progress the development of its product candidates, Cyclerion will need to raise additional funding in the near term, which may not be available on acceptable terms, if at all, to continue as a going concern and advance its product candidates. Failure to obtain capital when needed may force Cyclerion to delay, limit or terminate product development efforts or operations altogether. Raising additional capital would dilute Cyclerion’s existing shareholders, restrict Cyclerion’s operations or cause it to relinquish valuable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Cyclerion’s approach to the discovery and development of product candidates for the treatment of serious diseases may never lead to marketable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of biopharmaceutical products is inherently risky. If Cyclerion continues to progress the development of its product candidates, Cyclerion may encounter substantial delays in its activities, including Cyclerion’s planned clinical studies, or Cyclerion may fail to demonstrate safety and efficacy to the satisfaction of applicable regulatory authorities in the development of products to treat patients with serious diseases.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regulatory authorities are lengthy, time-consuming and inherently unpredictable. If Cyclerion, assuming Cyclerion continues to progress the development of its product candidates, or Tisento, Akebia or any other future licensees, as applicable, are ultimately unable to obtain regulatory approval for the product candidates, Cyclerion will be unable to generate product revenue and Cyclerion’s business will be substantially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continues to progress the development of its product candidates, obtaining and maintaining regulatory approval of product candidates in one jurisdiction does not mean that there will be success in obtaining regulatory approval of Cyclerion’s product candidates in other jurisdictions.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Cyclerion continues to progress the development of its product candidates, Cyclerion may not succeed in its pursuit of capital, capabilities, and transactions for the development and commercialization of Cyclerion’s future clinical stage assets, which would affect Cyclerion’s financial condition.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or its licensors, licensees or Tisento are unable to adequately protect proprietary technologies, or obtain and maintain issued patents that are sufficient to protect their respective product candidates, others could compete against Cyclerion, its licensees and Tisento more directly, which would have a material adverse impact on Cyclerion’s business, prospects, financial condition and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prospects for success depend on our ability to retain Regina Graul, Cyclerion’s President and Chief Executive Officer and in the future to attract, retain and motivate qualified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Cyclerion fails to maintain proper and effective internal controls, Cyclerion’s ability to produce accurate and timely financial statements could be impaired, which could result in sanctions or other penalties that would harm Cyclerion’s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could be delisted from Nasdaq, which would seriously harm the liquidity of Cyclerion’s stock and ability to raise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Korsana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Korsana Pre-Closing Financing are successful, Korsana will need to raise additional capital, and if it is unable to do so when needed, that will raise substantial doubt about Korsana’s ability to continue as a going concern;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never generated any revenue from product sales and may never be profitable;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is a preclinical-stage biotechnology company with a limited operating history on which to assess its business; it has not initiated, conducted, or completed any clinical trials, has no products approved for commercial sale, has historically incurred losses, and anticipates that it will continue to incur significant losses for the foreseeable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programs are in preclinical stages of development and may fail in development or suffer delays that materially and adversely affect their commercial viability. If Korsana or its current or future collaborators are unable to complete development of or commercialize Korsana’s product candidates, or experience significant delays in doing so, Korsana’s business will be materially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is substantially dependent on the success of its lead program, KRSA-028, and its anticipated clinical trials of such programs may not be successful;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currently relies on licensing arrangements with Paragon through the Paragon License Agreement and research collaborations with Paragon through the Paragon ADOA and Paragon Research Letter Agreement. If Korsana is unable to maintain collaborations or licensing arrangements, or if its collaborations or licensing arrangements are not successful, Korsana’s business could be negatively impacted;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Korsana’s plans and strategies, Korsana will need to grow the size of its organization and it may experience difficulties in managing this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does not currently own any issued patents or pending patent applications. Therefore, Korsana’s ability to obtain and protect its patent rights, and protect other proprietary rights, is uncertain, exposing Korsana to the possible loss of competitive advantage;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its product candidates, Korsana will not be able to commercialize, or will be delayed in commercializing, its product candidates, and its ability to generate revenue will be materially impaired. </w:t>
            </w:r>
          </w:p>
        </w:tc>
      </w:tr>
    </w:tbl>
    <w:p>
      <w:pPr>
        <w:pStyle w:val="TextBody"/>
        <w:bidi w:val="0"/>
        <w:spacing w:before="360" w:after="0"/>
        <w:jc w:val="left"/>
        <w:rPr>
          <w:rFonts w:ascii="Times New Roman" w:hAnsi="Times New Roman"/>
          <w:sz w:val="20"/>
        </w:rPr>
      </w:pPr>
      <w:r>
        <w:rPr>
          <w:rFonts w:ascii="Times New Roman" w:hAnsi="Times New Roman"/>
          <w:b/>
          <w:i/>
          <w:sz w:val="20"/>
        </w:rPr>
        <w:t>Risks Related to the Cayman Redomestication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Currently, Cyclerion is governed by Massachusetts law, the Cyclerion Articles, and the Cyclerion Bylaws, but upon effectiveness of the Cayman Redomestication the Combined Company will be governed by Cayman Islands law and the Cayman Articles, provisions of which have anti-takeover implications.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the Combined Company’s Cayman Articles designate the courts of the Cayman Islands as the sole and exclusive forum for certain types of actions and proceedings that may be initiated by shareholders, this could limit your ability to obtain a favorable judicial forum for disputes with the Combined Company or the Combined Company’s directors, officers, or other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Combined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75"/>
        <w:gridCol w:w="110"/>
        <w:gridCol w:w="60"/>
        <w:gridCol w:w="8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may never achieve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holders of Combined Company Series B Preferred Stock will have the ability to significantly influence all matters submitted to the Combined Company shareholders for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These risks and other risks are discussed in greater detail under the section titled “</w:t>
      </w:r>
      <w:r>
        <w:rPr>
          <w:rFonts w:ascii="Times New Roman" w:hAnsi="Times New Roman"/>
          <w:i/>
          <w:sz w:val="20"/>
        </w:rPr>
        <w:t>Risk Factors</w:t>
      </w:r>
      <w:r>
        <w:rPr>
          <w:rFonts w:ascii="Times New Roman" w:hAnsi="Times New Roman"/>
          <w:sz w:val="20"/>
        </w:rPr>
        <w:t xml:space="preserve">” beginning on page 33 of this proxy statement/prospectus. Cyclerion and Korsana both encourage you to read and consider all of these risks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(see page 182)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conditioned on the expiration or termination of any applicable waiting period (and any extension thereof) under the HSR Act and the absence of any law or order restraining, enjoining, or otherwise prohibiting the consummation of the Merger. The HSR Act provides that certain transactions may not be completed until notification and report forms are furnished to the U.S. Department of Justice (“DOJ”) and the U.S. Federal Trade Commission (“FTC”) and the HSR Act waiting period is terminated or expires. 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(see page 163) </w:t>
      </w:r>
    </w:p>
    <w:p>
      <w:pPr>
        <w:pStyle w:val="TextBody"/>
        <w:bidi w:val="0"/>
        <w:spacing w:before="120" w:after="0"/>
        <w:jc w:val="left"/>
        <w:rPr>
          <w:rFonts w:ascii="Times New Roman" w:hAnsi="Times New Roman"/>
          <w:sz w:val="20"/>
        </w:rPr>
      </w:pPr>
      <w:r>
        <w:rPr>
          <w:rFonts w:ascii="Times New Roman" w:hAnsi="Times New Roman"/>
          <w:sz w:val="20"/>
        </w:rPr>
        <w:t>Cyclerion intends to file an initial listing application for the common stock of the Combined Company with Nasdaq. After completion of the Merger, Cyclerion will be renamed “Korsana Biosciences, Inc.” and it is expected that the common stock of the Combined Company will trade on Nasdaq under the symbol “KRSA.” 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however, if such condition is waived, Cyclerion will not recirculate an updated proxy statement/prospectus, nor will it solicit a new vote of shareholders prior to proceeding with the Merger. Accordingly, you are advised that Cyclerion shareholders will not have certainty regarding the listing of the Combined Company’s shares at the time you are asked to vote at the Cyclerion Shareholders Meeting. For more information, please see the section entitled “</w:t>
      </w:r>
      <w:r>
        <w:rPr>
          <w:rFonts w:ascii="Times New Roman" w:hAnsi="Times New Roman"/>
          <w:i/>
          <w:sz w:val="20"/>
        </w:rPr>
        <w:t>Risk Factors</w:t>
      </w:r>
      <w:r>
        <w:rPr>
          <w:rFonts w:ascii="Times New Roman" w:hAnsi="Times New Roman"/>
          <w:sz w:val="20"/>
        </w:rPr>
        <w:t xml:space="preserve"> — </w:t>
      </w:r>
      <w:r>
        <w:rPr>
          <w:rFonts w:ascii="Times New Roman" w:hAnsi="Times New Roman"/>
          <w:i/>
          <w:sz w:val="20"/>
        </w:rPr>
        <w:t>Risks Related</w:t>
      </w:r>
      <w:r>
        <w:rPr>
          <w:rFonts w:ascii="Times New Roman" w:hAnsi="Times New Roman"/>
          <w:sz w:val="20"/>
        </w:rPr>
        <w:t xml:space="preserve"> </w:t>
      </w:r>
      <w:r>
        <w:rPr>
          <w:rFonts w:ascii="Times New Roman" w:hAnsi="Times New Roman"/>
          <w:i/>
          <w:sz w:val="20"/>
        </w:rPr>
        <w:t>to the Merger</w:t>
      </w:r>
      <w:r>
        <w:rPr>
          <w:rFonts w:ascii="Times New Roman" w:hAnsi="Times New Roman"/>
          <w:sz w:val="20"/>
        </w:rPr>
        <w:t xml:space="preserve"> —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may mutually agree to waive the condition to the Merger</w:t>
      </w:r>
      <w:r>
        <w:rPr>
          <w:rFonts w:ascii="Times New Roman" w:hAnsi="Times New Roman"/>
          <w:sz w:val="20"/>
        </w:rPr>
        <w:t xml:space="preserve"> </w:t>
      </w:r>
      <w:r>
        <w:rPr>
          <w:rFonts w:ascii="Times New Roman" w:hAnsi="Times New Roman"/>
          <w:i/>
          <w:sz w:val="20"/>
        </w:rPr>
        <w:t>requiring approval for</w:t>
      </w:r>
      <w:r>
        <w:rPr>
          <w:rFonts w:ascii="Times New Roman" w:hAnsi="Times New Roman"/>
          <w:sz w:val="20"/>
        </w:rPr>
        <w:t xml:space="preserve"> </w:t>
      </w:r>
      <w:r>
        <w:rPr>
          <w:rFonts w:ascii="Times New Roman" w:hAnsi="Times New Roman"/>
          <w:i/>
          <w:sz w:val="20"/>
        </w:rPr>
        <w:t>listing on Nasdaq, and if such condition is waived, the Combined Company</w:t>
      </w:r>
      <w:r>
        <w:rPr>
          <w:rFonts w:ascii="Times New Roman" w:hAnsi="Times New Roman"/>
          <w:sz w:val="20"/>
        </w:rPr>
        <w:t>’</w:t>
      </w:r>
      <w:r>
        <w:rPr>
          <w:rFonts w:ascii="Times New Roman" w:hAnsi="Times New Roman"/>
          <w:i/>
          <w:sz w:val="20"/>
        </w:rPr>
        <w:t>s stock may not be listed on Nasdaq following completion of the Merger.</w:t>
      </w:r>
      <w:r>
        <w:rPr>
          <w:rFonts w:ascii="Times New Roman" w:hAnsi="Times New Roman"/>
          <w:sz w:val="20"/>
        </w:rPr>
        <w:t xml:space="preserve">” on page 33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(see page 164)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Cyclerion as a reverse merger and is expected to be accounted for as an in-substance reverse recapitalization of Cyclerion by Korsana in accordance with U.S. Generally Accepted Accounting Principles (“GAAP”) as, at close, the transaction is, in essence, the issuance of equity by Korsana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(see page 164)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Cyclerion Capital Stock and Korsana Capital Stock (see page 414) </w:t>
      </w:r>
    </w:p>
    <w:p>
      <w:pPr>
        <w:pStyle w:val="TextBody"/>
        <w:bidi w:val="0"/>
        <w:spacing w:before="120" w:after="0"/>
        <w:jc w:val="left"/>
        <w:rPr>
          <w:rFonts w:ascii="Times New Roman" w:hAnsi="Times New Roman"/>
          <w:sz w:val="20"/>
        </w:rPr>
      </w:pPr>
      <w:r>
        <w:rPr>
          <w:rFonts w:ascii="Times New Roman" w:hAnsi="Times New Roman"/>
          <w:sz w:val="20"/>
        </w:rPr>
        <w:t>Cyclerion is incorporated under the laws of the Commonwealth of Massachusetts and thus is currently subject to the MBCA and Korsana is incorporated under the laws of the State of Delaware and thus subject to the DGCL and accordingly, the rights of their respective stockholders are not identical due to differences in the law of the jurisdiction in which each entity is incorporated and due to differences in governing documents. If the Merger is completed, Korsana stockholders will become shareholders of Cyclerion, and their rights will be governed by the MBCA, the Cyclerion Articles and the Cyclerion Bylaws, in each case as they may be amended, including by Proposal Nos. 2 and 3 if approved by Cyclerion shareholders. The extent to which the rights of Korsana stockholders will change as a result of the Merger is further affected by Proposal No. 4, which, if approved and the Cayman Redomestication is effected, would result in Cyclerion shareholders (including former Korsana stockholders) no longer being governed by the MBCA and Cyclerion’s existing organizational documents, but instead by the Cayman Articles and the Cayman Islands Companies Act. For a comparison of stockholder rights under these respective regimes, see the section titled “</w:t>
      </w:r>
      <w:r>
        <w:rPr>
          <w:rFonts w:ascii="Times New Roman" w:hAnsi="Times New Roman"/>
          <w:i/>
          <w:sz w:val="20"/>
        </w:rPr>
        <w:t>Comparison of Rights</w:t>
      </w:r>
      <w:r>
        <w:rPr>
          <w:rFonts w:ascii="Times New Roman" w:hAnsi="Times New Roman"/>
          <w:sz w:val="20"/>
        </w:rPr>
        <w:t xml:space="preserve"> </w:t>
      </w:r>
      <w:r>
        <w:rPr>
          <w:rFonts w:ascii="Times New Roman" w:hAnsi="Times New Roman"/>
          <w:i/>
          <w:sz w:val="20"/>
        </w:rPr>
        <w:t>of Holders of Cyclerion</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xml:space="preserve"> </w:t>
      </w:r>
      <w:r>
        <w:rPr>
          <w:rFonts w:ascii="Times New Roman" w:hAnsi="Times New Roman"/>
          <w:i/>
          <w:sz w:val="20"/>
        </w:rPr>
        <w:t>and Korsana</w:t>
      </w:r>
      <w:r>
        <w:rPr>
          <w:rFonts w:ascii="Times New Roman" w:hAnsi="Times New Roman"/>
          <w:sz w:val="20"/>
        </w:rPr>
        <w:t xml:space="preserve"> </w:t>
      </w:r>
      <w:r>
        <w:rPr>
          <w:rFonts w:ascii="Times New Roman" w:hAnsi="Times New Roman"/>
          <w:i/>
          <w:sz w:val="20"/>
        </w:rPr>
        <w:t>Capital Stock</w:t>
      </w:r>
      <w:r>
        <w:rPr>
          <w:rFonts w:ascii="Times New Roman" w:hAnsi="Times New Roman"/>
          <w:sz w:val="20"/>
        </w:rPr>
        <w:t>” beginning on page 414, and, assuming the Cayman Redomestication is completed,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w:t>
      </w:r>
      <w:r>
        <w:rPr>
          <w:rFonts w:ascii="Times New Roman" w:hAnsi="Times New Roman"/>
          <w:sz w:val="20"/>
        </w:rPr>
        <w:t xml:space="preserve"> </w:t>
      </w:r>
      <w:r>
        <w:rPr>
          <w:rFonts w:ascii="Times New Roman" w:hAnsi="Times New Roman"/>
          <w:i/>
          <w:sz w:val="20"/>
        </w:rPr>
        <w:t>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 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stockholders pursuant to the Merger will no longer be governed by the Cyclerion Articles, Cyclerion’s amended and restated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w:t>
      </w:r>
      <w:r>
        <w:rPr>
          <w:rFonts w:ascii="Times New Roman" w:hAnsi="Times New Roman"/>
          <w:sz w:val="20"/>
        </w:rPr>
        <w:t xml:space="preserve"> — </w:t>
      </w:r>
      <w:r>
        <w:rPr>
          <w:rFonts w:ascii="Times New Roman" w:hAnsi="Times New Roman"/>
          <w:i/>
          <w:sz w:val="20"/>
        </w:rPr>
        <w:t>The Redomestication Proposal</w:t>
      </w:r>
      <w:r>
        <w:rPr>
          <w:rFonts w:ascii="Times New Roman" w:hAnsi="Times New Roman"/>
          <w:sz w:val="20"/>
        </w:rPr>
        <w:t xml:space="preserve"> — </w:t>
      </w:r>
      <w:r>
        <w:rPr>
          <w:rFonts w:ascii="Times New Roman" w:hAnsi="Times New Roman"/>
          <w:i/>
          <w:sz w:val="20"/>
        </w:rPr>
        <w:t>Effects</w:t>
      </w:r>
      <w:r>
        <w:rPr>
          <w:rFonts w:ascii="Times New Roman" w:hAnsi="Times New Roman"/>
          <w:sz w:val="20"/>
        </w:rPr>
        <w:t xml:space="preserve"> </w:t>
      </w:r>
      <w:r>
        <w:rPr>
          <w:rFonts w:ascii="Times New Roman" w:hAnsi="Times New Roman"/>
          <w:i/>
          <w:sz w:val="20"/>
        </w:rPr>
        <w:t>of the Cayman Redomestication</w:t>
      </w:r>
      <w:r>
        <w:rPr>
          <w:rFonts w:ascii="Times New Roman" w:hAnsi="Times New Roman"/>
          <w:sz w:val="20"/>
        </w:rPr>
        <w:t xml:space="preserve"> — </w:t>
      </w:r>
      <w:r>
        <w:rPr>
          <w:rFonts w:ascii="Times New Roman" w:hAnsi="Times New Roman"/>
          <w:i/>
          <w:sz w:val="20"/>
        </w:rPr>
        <w:t>Comparison of Rights of 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w:t>
      </w:r>
      <w:r>
        <w:rPr>
          <w:rFonts w:ascii="Times New Roman" w:hAnsi="Times New Roman"/>
          <w:sz w:val="20"/>
        </w:rPr>
        <w:t xml:space="preserve"> </w:t>
      </w:r>
      <w:r>
        <w:rPr>
          <w:rFonts w:ascii="Times New Roman" w:hAnsi="Times New Roman"/>
          <w:i/>
          <w:sz w:val="20"/>
        </w:rPr>
        <w:t>Corporation Capital Stock</w:t>
      </w:r>
      <w:r>
        <w:rPr>
          <w:rFonts w:ascii="Times New Roman" w:hAnsi="Times New Roman"/>
          <w:sz w:val="20"/>
        </w:rPr>
        <w:t xml:space="preserve"> </w:t>
      </w:r>
      <w:r>
        <w:rPr>
          <w:rFonts w:ascii="Times New Roman" w:hAnsi="Times New Roman"/>
          <w:i/>
          <w:sz w:val="20"/>
        </w:rPr>
        <w:t>and the Cayman Company Share 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11069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Common Stock is currently listed on the Nasdaq Capital Market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Cyclerion Common Stock on March 31, 2026, the last day of trading prior to the announcement of the Merger, as reported on The Nasdaq Capital Market, was $1.55 per share. The closing price of the Cyclerion Common Stock on July 21, 2026, as reported on The Nasdaq Capital Market, was $3.70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Cyclerion Common Stock is subject to fluctuation, the market value of the shares of the Cyclerion Common Stock that the Korsana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Korsana is a private company, and its shares of common stock and preferred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2, and 3 and successful application for initial listing with Nasdaq, following the consummation of the Merger, shares of Cyclerion Common Stock will trade on Nasdaq under Cyclerion’s new name, “Korsana Biosciences, Inc.,” and new trading symbol “KRSA.” </w:t>
      </w:r>
    </w:p>
    <w:p>
      <w:pPr>
        <w:pStyle w:val="TextBody"/>
        <w:bidi w:val="0"/>
        <w:spacing w:before="240" w:after="0"/>
        <w:jc w:val="left"/>
        <w:rPr>
          <w:rFonts w:ascii="Times New Roman" w:hAnsi="Times New Roman"/>
          <w:sz w:val="20"/>
        </w:rPr>
      </w:pPr>
      <w:r>
        <w:rPr>
          <w:rFonts w:ascii="Times New Roman" w:hAnsi="Times New Roman"/>
          <w:sz w:val="20"/>
        </w:rPr>
        <w:t>As of July 22, 2026, there were approximately 67 registered holders of record of the Cyclerion Common Stock. As of July 22, 2026, Korsana had 3 holders of record of Korsana Common Stock, 7 holders of record of Korsana Series Seed Preferred Stock, and 15 holders of record of Korsana Series A Preferred Stock. For detailed information regarding the beneficial ownership of certain Cyclerion and Korsana stockholders, see the sections of this proxy statement/prospectus titled “</w:t>
      </w:r>
      <w:r>
        <w:rPr>
          <w:rFonts w:ascii="Times New Roman" w:hAnsi="Times New Roman"/>
          <w:i/>
          <w:sz w:val="20"/>
        </w:rPr>
        <w:t>Principal Shareholders of Cyclerion</w:t>
      </w:r>
      <w:r>
        <w:rPr>
          <w:rFonts w:ascii="Times New Roman" w:hAnsi="Times New Roman"/>
          <w:sz w:val="20"/>
        </w:rPr>
        <w:t>,” “</w:t>
      </w:r>
      <w:r>
        <w:rPr>
          <w:rFonts w:ascii="Times New Roman" w:hAnsi="Times New Roman"/>
          <w:i/>
          <w:sz w:val="20"/>
        </w:rPr>
        <w:t>Principal Stockholders of Korsana</w:t>
      </w:r>
      <w:r>
        <w:rPr>
          <w:rFonts w:ascii="Times New Roman" w:hAnsi="Times New Roman"/>
          <w:sz w:val="20"/>
        </w:rPr>
        <w:t>” and “</w:t>
      </w:r>
      <w:r>
        <w:rPr>
          <w:rFonts w:ascii="Times New Roman" w:hAnsi="Times New Roman"/>
          <w:i/>
          <w:sz w:val="20"/>
        </w:rPr>
        <w:t>Principal Shareholders of the Combined Company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declared or paid any cash dividends on the Cyclerion Common Stock and does not anticipate paying cash dividends on the Cyclerion Common Stock for the foreseeable future.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Korsana has never paid or declared any cash dividends on Korsana capital stock. If the Merger does not occur, Korsana does not anticipate paying any cash dividends on the Korsana capital stock in the foreseeable future, and Korsana intends to retain all available funds and any future earnings to fund the development and expansion of its business. Any future determination to pay dividends will be at the discretion of the Korsana Board and will depend upon a number of factors, including its results of operations, financial condition, future prospects, contractual restrictions, and restrictions imposed by applicable laws and other factors the Korsana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1106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Cyclerion Common Stock. You should also read and consider the other information in this proxy statement/prospectus. Please see the section titled “Where You Can Find More Information” beginning on page 436</w:t>
      </w:r>
      <w:r>
        <w:rPr>
          <w:rFonts w:ascii="Times New Roman" w:hAnsi="Times New Roman"/>
          <w:sz w:val="20"/>
        </w:rPr>
        <w:t> </w:t>
      </w:r>
      <w:r>
        <w:rPr>
          <w:rFonts w:ascii="Times New Roman" w:hAnsi="Times New Roman"/>
          <w:i/>
          <w:sz w:val="20"/>
        </w:rPr>
        <w:t xml:space="preserve">of this proxy statement/prospectus for further information.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could materially and adversely affect Cyclerion’s results of operations, business, financial results, and/or common stock price.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and Korsana entered into the Merger Agreement, which agreement was subsequently amended on April 17, 2026, pursuant to which, among other matters, and subject to the satisfaction or waiver of the conditions set forth in the Merger Agreement, First Merger Sub will merge with and into Korsana, with Korsana continuing as a wholly owned subsidiary of Cyclerion and the surviving corporation of the First Merger and, immediately following the First Merger and as part of the same overall transaction as the First Merger, Korsana will merge with and into Second Merger Sub as part of the Second Merger, with Second Merger Sub continuing as a wholly owned subsidiary of Cyclerion and the surviving entity of the Second Merger. Consummation of the Merger is subject to certain closing conditions, a number of which are not within Cyclerion’s control. Any failure to satisfy these required conditions to closing may prevent, delay or otherwise materially adversely affect the completion of the transaction. Cyclerion cannot predict with certainty whether or when any of the required closing conditions will be satisfied or if another uncertainty may arise and cannot assure you that it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Cyclerion’s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Cyclerion’s ability to retain and motivate existing employees. Uncertainty as to whether the Merger will be completed in a timely manner or at all could adversely affect Cyclerion’s business and its relationship with collaborators, suppliers, vendors, regulators, and other business partners.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 xml:space="preserve">Even if the Merger is approved by the stockholders of Korsana and Cyclerion, specified conditions must be satisfied or, to the extent permitted by applicable law, waived to complete the Merger. These conditions are set forth in the Merger Agreement and described further in the section titled “The Merger Agreement” of this proxy statement/prospectus. Cyclerion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may mutually agree to waive the condition to the Merger requiring approval for listing on Nasdaq, and if such condition is waived, the Combined Company’s stock may not be listed on Nasdaq following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Cyclerion agreed, to the extent required by the rules and regulations of Nasdaq, to use its commercially reasonable efforts to cause the shares of Cyclerion Common Stock being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Merger to be approved for listing on Nasdaq at or prior to the First Effective Time. Additionally, under the Merger Agreement, each of Cyclerion’s and Korsana’s obligation to complete the Merger is subject to the satisfaction or waiver by each of the parties of various conditions, including that the shares of Cyclerion Common Stock to be issued in the Merger have been approved for listing (subject to official notice of issuance) on Nasdaq as of the closing of the Merger. In the event that the shares of Cyclerion Common Stock to be issued in the Merger are not approved for listing on Nasdaq, it is possible that Cyclerion and Korsana may mutually agree to waive the applicable condition and nonetheless proceed with completing the Merger. If such condition is waived, Cyclerion will not recirculate an updated proxy statement/prospectus, nor will it solicit a new vote of shareholders prior to proceeding with the Merger. If Cyclerion proceeds with the Merger in these circumstances, the Combined Company’s stock may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for the Merger will not change or otherwise be adjusted based on the market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Applying the Exchange Ratio, based on Cyclerion’s and Korsana’s capitalization as of June 30, 2026 and taking into account Cyclerion’s current cash position, each share of Korsana Common Stock is currently estimated to be entitled to receive approximately 1.4735 shares of Cyclerion Common Stock. Each share of Korsana Series Seed Preferred Stock will be converted into the right to receive a number of shares of Cyclerion Series B Preferred Stock, equal to the Exchange Ratio divided by 1,000. Applying the Exchange Ratio, the former Korsana securityholders immediately before the Merger are expected to own approximately 98.9% of the aggregate number of shares of the Combined Company’s capital stock following the Merger (on a fully-diluted basis), and Cyclerion shareholders immediately before the Merger are expected to own approximately 1.1% of the aggregate number of shares of the Combined Company capital stock following the Merger (on a fully-diluted basis), subject to certain assumptions, including, but not limited to, Cyclerion’s Net Cash as of closing being equal to $(2.5 million). In the event Cyclerion’s Net Cash is less than or greater than $0, the Exchange Ratio will be adjusted such that the number of shares issued to Korsana’s pre-closing securityholders will be decreased or increased, as applicable, and Cyclerion shareholders will own a smaller or larger percentage, as applicable, of the Combined Company following the consummation of the Merger.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Cyclerion’s stock before the completion of the First Merger will not affect the number of shares Korsana stockholders will be entitled to receive pursuant to the Merger Agreement. Therefore, if before the completion of the First Merger, the market price of Cyclerion Common Stock increases from the market price on the date of the Merger Agreement, then Korsana stockholders could receive merger consideration with substantially more value for their shares of Korsana capital stock than the parties had negotiated when they established the Exchange Ratio. Similarly, if before the completion of the First Merger, the market price of Cyclerion Common Stock declines from the market price on the date of the Merger Agreement, then Korsana stockholders could receive merger consideration with substantially lower value. The Merger Agreement does not include a price-based termination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issuance of Cyclerion Common Stock, including the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Cyclerion shareholders must approve, among other things, the issuance of Cyclerion Common Stock, including shares of Cyclerion Common Stock issuable upon conversion of Cyclerion Series B Preferred Stock, to Korsana stockholders pursuant to the Merger Agreement and the resulting change in control from the First Merger, and Korsana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neither Cyclerion nor Korsana is obligated to complete the Merger if there is a material adverse effect affecting the other party between April 1,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Therefore, if any of these events were to occur and adversely affect Cyclerion or Korsana, the other party would still be obliged to consummate the closing of the Merger notwithstanding such material adverse effect. If any such adverse effects occur and Cyclerion consummates the closing of the Merger, the stock price of the Combined Company may suffer. This in turn may reduce the value of the Merger to the shareholders of Cyclerion, Korsana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Cyclerion’s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Cyclerion Common Stock is subject to significant fluctuations. Market prices for securities of pharmaceutical, biotechnology and other life science companies have historically been particularly volatile. In addition, the market price of Cyclerion Common Stock will likely be volatile based on whether shareholders and other investors believe that Cyclerion can complete the Merger or otherwise raise additional capital to support Cyclerion’s operations if the Merger is not consummated and another strategic transaction cannot be identified, negotiated and consummated in a timely manner, if at all. The volatility of the market price of Cyclerion Common Stock has been and may be exacerbated by low trading volume. Additional factors that may cause the market price of Cyclerion Common Stock to fluctuate include: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results of its future clinical trials, discussions with regulators, and regulatory approval decisions;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Cyclerion’s research and development expenditures;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Cyclerion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Korsana and Cyclerion entered into the Securities Purchase Agreement with certain investors, including existing investors of Korsana, pursuant to which the investors agreed to purchase, in the aggregate, approximately $380.0 million of Korsana Common Stock and Korsana Pre-Funded Warrants in the Korsana Pre-Closing Financing immediately prior to the closing of the Merger. The closing of the Korsana Pre-Closing Financing is conditioned upon the satisfaction or waiver of the conditions to the closing of the Merger as well as certain other conditions. The Korsana Common Stock and Korsana Pre-Funded Warrants issued in the Korsana Pre-Closing Financing will result in dilution to all securityholders of the Combined Company (i.e., both Cyclerion’s pre-Merger securityholders and former Korsana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Cyclerion’s pre-Merger securityholders and Korsana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result of Cyclerion’s assumption of the Paragon ADOA in connection with the Merger, the Combined Company will be subject to the obligation to grant to Parasa on December 31, 2026, warrants to purchase a number of shares equal to 1.00% of the outstanding shares of Cyclerion Common Stock as of the date of the grant on a fully-diluted basis, with an exercise price equal to the fair market value of the underlying shares on the grant date. Such warrants granted will result in further dilution to all securityholders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Cyclerion’s expected disposal of Cyclerion’s historical assets and operations in connection with the Merger is expected to make Cyclerion a shell company. Cyclerion anticipates that following the consummation of the Merger, the Combined Company will no longer be a shell company. As a result, Cyclerion anticipates that holders will not be able to sell their restricted Combined Company securities pursuant to Rule 144 without registration until one year after Cyclerion files the Current Report on Form 8-K following the closing that includes the required Form 10 information that reflects that the Combined Company is no longer a shell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Cyclerion is expected to be deemed a shell company. As a result, if Cyclerion completes the Merger, the Combined Company will be subject to more stringent reporting requirements, offering limitations and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Cyclerion’s or the Combined Company’s expected disposal of Cyclerion’s historical assets and operations prior to or following the Merger is expected to make Cyclerion a shell company. As such, the Combined Company would be subject to the requirements applicable to shell company business combinations. The requirements applicable to shell company business combinations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is not, and the Combined Company will not be, eligible to use a Form S-3 until 12 full calendar months after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are affiliates of Korsana at the time the Merger is submitted for the vote or consent of Korsana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Korsana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Cyclerion’s and Korsana’s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Cyclerion and Korsana have interests in the Merger that are different from, or in addition to, the interests of other Cyclerion shareholders generally. These interests with respect to Cyclerion’s directors and executive officers may include, among others,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w:t>
      </w:r>
    </w:p>
    <w:p>
      <w:pPr>
        <w:pStyle w:val="TextBody"/>
        <w:bidi w:val="0"/>
        <w:spacing w:before="240" w:after="0"/>
        <w:jc w:val="left"/>
        <w:rPr>
          <w:rFonts w:ascii="Times New Roman" w:hAnsi="Times New Roman"/>
          <w:sz w:val="20"/>
        </w:rPr>
      </w:pPr>
      <w:r>
        <w:rPr>
          <w:rFonts w:ascii="Times New Roman" w:hAnsi="Times New Roman"/>
          <w:sz w:val="20"/>
        </w:rPr>
        <w:t xml:space="preserve">Further, certain current members of the Korsana Board will continue as directors of the Combined Company after the First Effective Time, and, following the closing of the Merger, will be eligible to be compensated as non-employee directors of the Combined Company pursuant to Cyclerion’s non-employee director compensation policy that is expected to remain in place following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was aware of and considered those interests, among other matters, in reaching their decisions to approve and adopt the Merger Agreement, approve the Merger, and recommend the approval of the Merger Agreement to Cyclerion and Korsana stockholders. These interests, among other factors, may have influenced the directors and executive officers of each company to support or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shareholders and Korsana stockholders may not realize a benefit from the Merger commensurate with the ownership dilution they will experience in connection with the Merger, including the conversion of Korsana Common Stock issued in the Korsana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Cyclerion shareholders and Korsana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Cyclerion’s current shareholders will generally own a smaller percentage of the Combined Company than their ownership of Cyclerion prior to the Merger. 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 Chief Executive Officer and President of Korsana will serve as the Chief Executive Officer and President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Cyclerion’s current directors and executive officers have entered into support agreements pursuant to the terms of the Merger Agreement, and as an inducement to Korsana’s willingness to enter into the Merger Agreement, by which they have agreed to vote all of their shares of Cyclerion capital stock in favor of the Merger Agreement and the transactions contemplated thereby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Korsana Common Stock makes it difficult to evaluate the fair market value of its capital stock, the value of Cyclerion Common Stock to be issued to Korsana stockholders may be more or less than the fair market value of Korsana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Korsana is privately held and is not traded on any public market. The lack of a public market makes it difficult to determine the fair market value of Korsana capital stock. Because the percentage of Cyclerion’s equity to be issued to Korsana stockholders was determined based on negotiations between the parties, it is possible that the value of Cyclerion Common Stock and Cyclerion Series B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to be issued to Korsana stockholders will be more or less than the fair market value of Korsana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Cyclerion, Korsana,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Cyclerion, the Cyclerion Board, Korsana, the Korsana Board and others in connection with the transactions contemplated by the Merger Agreement. The outcome of litigation is uncertain, and Cyclerion or Korsana may not be successful in defending against any such future claims. Lawsuits that may be filed against Cyclerion, the Cyclerion Board, Korsana, or the Korsana Board could delay or prevent the Merger, divert the attention of Cyclerion’s and Korsana’s management and employees from their day-to-day business and otherwise adversely affect Cyclerion and Korsana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has never paid and, other than in connection with the Merger, does not intend to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Cyclerion has never paid cash dividends on any of its capital stock. Cyclerion does not currently anticipate declaring or paying cash dividends on its capital stock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Cyclerion does not successfully consummate the Merger or another strategic transaction, the Cyclerion Board may decide to pursue a dissolution and liquidation of Cyclerion. In such an event, the amount of cash available for distribution to Cyclerion shareholders, if any, will depend heavily on the timing of such liquidation as well as the amount of cash that will need to be reserved for commitments and contingent liabilities, as to which Cyclerion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Cyclerion Board may decide to pursue a dissolution and liquidation of Cyclerion. In such an event, the amount of cash available for distribution to Cyclerion shareholders, if any, will depend heavily on the timing of such decision and, ultimately, such liquidation, since the amount of cash available for distribution continues to decrease as Cyclerion funds its operations while pursuing the Merger. In addition, if the Cyclerion Board were to approve and recommend, and Cyclerion shareholders were to approve, a dissolution and liquidation of Cyclerion, Cyclerion would be required under Massachusetts law to pay Cyclerion’s outstanding obligations, as well as to make reasonable provision for contingent and unknown obligations, prior to making any distributions in liquidation to shareholders. Cyclerion’s commitments and contingent liabilities may include obligations under Cyclerion’s employment and related agreements with certain employees that provide for severance and other payments following a termination of employment occurring for various reasons, including a change in control of Cyclerion, litigation against Cyclerion, and other various claims and legal actions arising in the ordinary course of business, and other unexpected and/or contingent liabilities. As a result of this requirement, a portion of Cyclerion’s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Cyclerion may be subject to litigation or other claims related to a dissolution and liquidation of Cyclerion. If a dissolution and liquidation were to be pursued, the Cyclerion Board, in consultation with Cyclerion’s advisors, would need to evaluate these matters and make a determination about a reasonable amount to reserve. Accordingly, holders of Cyclerion Common Stock could lose all or a significant portion of their investment in the event of liquidation, dissolution or winding up of Cyclerion. A liquidation would be a lengthy and uncertain process with no assurance of any value ever being returned to Cyclerion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its shareholders will not have any right to make damage claims against Korsana for the breach of any representation, warranty or covenant made by Korsana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all of the representations, warranties and covenants of the parties contained therein shall not survive the closing of the Merger, except for those covenants contained therein that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terms apply or are to be performed in whole or in part after the Closing, and then only with respect to breaches occurring after the closing of the Merger. Accordingly, there are no remedies available to the parties with respect to any breach of the representations, warranties, covenants or agreements of the parties to the Merger Agreement after the Closing of the Merger, except for covenants to be performed in whole or in part after the Closing. As a result, Cyclerion and its shareholders will have no remedy available to them if the Merger is consummated and it is later revealed that there was a breach of any of the representations, warranties and covenants made by Korsana at the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Cyclerion cannot assure you that the due diligence conducted in relation to Korsana has identified all material issues or risks associated with Korsana, its business or the industry in which it competes. Furthermore, Cyclerion cannot assure you that factors outside of its or Korsana’s control will not later arise, or that any previously identified risks will not materialize in a manner inconsistent with the preliminary analysis. As a result of these factors, following the closing of the Merger, the Combined Company may be exposed to liabilities and incur additional costs and expenses and it may be forced to later write-down or write off assets, restructure its operations, or incur impairment or other charges. Cyclerion and its shareholders have no indemnification rights against Korsana or its stockholders under the Merger Agreement. Accordingly, any shareholders of Cyclerion that remain stockholders of the Combined Company following the Merger could suffer a reduction in the value of their securities. Such shareholders are unlikely to have a remedy for such reduction in value unless they are able to successfully claim that the reduction was due to the breach by Cyclerion’s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Cyclerion’s shareholders potentially may not receive any payment on the Cyclerion CVRs and the Cyclerion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First Effective Time, Cyclerion and the Rights Agent (as defined in the Cyclerion CVR Agreement) will execute and deliver the Cyclerion CVR Agreement, pursuant to which each person who was a shareholder of record of Cyclerion’s capital stock as of the close of business on the last business day prior to the day on which the First Effective Time occurs will be entitled to receive a Cyclerion CVR, issued by Cyclerion subject to and in accordance with the terms and conditions of the Cyclerion CVR Agreement. Pursuant to the Cyclerion CVR Agreement, each CVR holder is entitled to certain rights to receive a pro rata portion of the proceeds, if any, received by Cyclerion as a result of the disposition of the Cyclerion Legacy Assets during specified periods of time. Such proceeds are subject to certain permitted deductions. The right of Cyclerion’s shareholders to derive any value from the Cyclerion CVRs will be contingent solely upon the disposition of such Cyclerion Legacy Assets within the time periods specified in the Cyclerion CVR Agreement or any other contingencies as provided in the Cyclerion CVR Agreement. </w:t>
      </w:r>
    </w:p>
    <w:p>
      <w:pPr>
        <w:pStyle w:val="TextBody"/>
        <w:bidi w:val="0"/>
        <w:spacing w:before="240" w:after="0"/>
        <w:jc w:val="left"/>
        <w:rPr>
          <w:rFonts w:ascii="Times New Roman" w:hAnsi="Times New Roman"/>
          <w:sz w:val="20"/>
        </w:rPr>
      </w:pPr>
      <w:r>
        <w:rPr>
          <w:rFonts w:ascii="Times New Roman" w:hAnsi="Times New Roman"/>
          <w:sz w:val="20"/>
        </w:rPr>
        <w:t>Cyclerion may not be able to achieve successful results from the disposition of such Cyclerion Legacy Assets as described above. If this is not achieved for any reason within the time periods specified in the CVR Agreement, no payments will be made under the Cyclerion CVRs, and the Cyclerion CVRs will expire valueless. For more information see the section titled “</w:t>
      </w:r>
      <w:r>
        <w:rPr>
          <w:rFonts w:ascii="Times New Roman" w:hAnsi="Times New Roman"/>
          <w:i/>
          <w:sz w:val="20"/>
        </w:rPr>
        <w:t>Agreements Related to the Merger — Cyclerion CVR Agreement.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Cyclerion CVRs is uncertain.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intends to treat the issuance of the Cyclerion CVRs to the persons who prior to completion of the Merger were Cyclerion shareholders as a distribution of property with respect to Cyclerion capital stock. However, the U.S. federal income tax treatment of the CVRs is uncertain. There is no legal authority directly addressing the U.S. federal income tax treatment of contingent value rights with characteristics similar to the Cyclerion CVRs. Therefore, it is possible that the issuance of the Cyclerion CVRs may be treated as a distribution of equity with respect to Cyclerion capital stock, as an “open transaction,” or as a “debt instrument” for U.S. federal income tax purposes, and such questions are inherently factual in nature. For more information regarding the U.S. federal income tax consequences of the Cyclerion CVRs, see the section 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Agreements Related to the Merger — Cyclerion CVR Agreement — Material U.S. Federal Income Tax Consequences of the Cyclerion CVRs to Holders of Cyclerion Capital Stock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could result in a significant devaluation of Cyclerion’s market capitalization and the trading price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Cyclerion expects that the reverse stock split will result in an increase in the market price of Cyclerion Common Stock, Cyclerion cannot assure stockholders that the reverse stock split, if implemented, will increase the market price of Cyclerion Common Stock in proportion to the reduction in the number of shares of Cyclerion Common Stock outstanding or result in a permanent increase in the market price. Accordingly, the total market capitalization of Cyclerion Common Stock after the reverse stock split may be lower than the total market capitalization before such reverse stock split and, in the future, the market price of Cyclerion Common Stock following such reverse stock split may not exceed or remain higher than the market price prior to the corresponding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effect the reverse stock split may have upon the market price of Cyclerion Common Stock cannot be predicted with any certainty. The market price of Cyclerion Common Stock is dependent on many factors, including Cyclerion’s business and financial performance, general market conditions, prospects for future success and other factors detailed from time to time in the reports Cyclerion files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Cyclerion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generate additional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While the Cyclerion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Cyclerion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purposes of the reverse stock split are to (i) increase the per-share market price of Cyclerion Common Stock above the minimum bid price requirement under the Nasdaq rules so that the listing of Cyclerion and the shares of Cyclerion Common Stock being issued in the Merger on Nasdaq will be approved and (ii) increase the number of authorized and unissued shares available for future issuance in connection with the Merger, though such increase will not alone be sufficient to complete the Merger. It cannot be assured, however, that the reverse stock split will accomplish any increase in the per share market price of Cyclerion Common Stock for any meaningful period of time. While it is expected that the reduction in the number of outstanding shares of Cyclerion Common Stock will proportionally increase the market price of Cyclerion Common Stock, it cannot be assured that the reverse stock split will increase the market price of Cyclerion Common Stock by a multiple of the reverse stock split ratio mutually agreed by Cyclerion and Korsana, or result in any permanent or sustained increase in the market price of Cyclerion Common Stock, which is dependent upon many factors, including Cyclerion’s business and financial performance, general market conditions and prospects for future success. Thus, while the stock price of Cyclerion Common Stock might meet the listing requirements for Nasdaq initially after the reverse stock split, it cannot be assured that it will continue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Cyclerion Board believes that the anticipated increase in the market price of the Combined Company’s common stock resulting from the proposed reverse stock split could encourage interest in its common stock and possibly promote greater liquidity for its shareholders,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will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Cyclerion </w:t>
      </w:r>
    </w:p>
    <w:p>
      <w:pPr>
        <w:pStyle w:val="TextBody"/>
        <w:bidi w:val="0"/>
        <w:spacing w:before="12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Cyclerion”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Financial Position and Capital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As we are a biopharmaceutical company with a limited operating history and no products approved for commercial sale, valuing our business and predicting our prospects are challenging. </w:t>
      </w:r>
    </w:p>
    <w:p>
      <w:pPr>
        <w:pStyle w:val="TextBody"/>
        <w:bidi w:val="0"/>
        <w:spacing w:before="120" w:after="0"/>
        <w:jc w:val="left"/>
        <w:rPr>
          <w:rFonts w:ascii="Times New Roman" w:hAnsi="Times New Roman"/>
          <w:sz w:val="20"/>
        </w:rPr>
      </w:pPr>
      <w:r>
        <w:rPr>
          <w:rFonts w:ascii="Times New Roman" w:hAnsi="Times New Roman"/>
          <w:sz w:val="20"/>
        </w:rPr>
        <w:t xml:space="preserve">We are a biopharmaceutical company that was incorporated in 2018. Our business was conducted within Ironwood Pharmaceuticals, Inc. prior to that time, and we had no history as an independent company prior to the completion of the separation which occurred in 2019. Prior to the announcement of the Merger, we were seeking to develop new products for treatment resistant depression. We have also developed a pipeline of sGC stimulators, but we have no products approved for commercial sale, and we have never generated revenue from product sales nor has Tisento or Akebia ever generated product sales from products incorporating our compounds. Our operating activities to date have been limited primarily to organizing and staffing our company, business planning, raising capital, developing our technology, identifying potential product candidates, pursuing partnership opportunities and obtaining licenses we deem necessary for our treatment resistant depression candidate, and conducting early-stage clinical trials for our product candidates. In light of the proposed Merger, we have stopped the development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obtained marketing approval for any of our product candidates; engaged on our own or through a third party, in commercial scale manufacturing or conducted sales and marketing activities necessary for the successful commercialization of our product candidates. Our short operating history offers limited insight into our prospects for success or even viability. If we continue to progress the development of our product candidates, we expect our operating performance to fluctuate. We will encounter challenges frequently experienced by early-stage biopharmaceutical companies in rapidly evolving fields and we have not yet demonstrated an ability to successfully navigate such challenges. If we do not successfully address the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face or we are not able to complete the proposed Merger,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has incurred significant losses and we anticipate that, if we continue to progress the development of our product candidates, we will continue to incur significant losses for the foreseeable future. We have never generated revenue from product sales and may never be profitable. </w:t>
      </w:r>
    </w:p>
    <w:p>
      <w:pPr>
        <w:pStyle w:val="TextBody"/>
        <w:bidi w:val="0"/>
        <w:spacing w:before="120" w:after="0"/>
        <w:jc w:val="left"/>
        <w:rPr>
          <w:rFonts w:ascii="Times New Roman" w:hAnsi="Times New Roman"/>
          <w:sz w:val="20"/>
        </w:rPr>
      </w:pPr>
      <w:r>
        <w:rPr>
          <w:rFonts w:ascii="Times New Roman" w:hAnsi="Times New Roman"/>
          <w:sz w:val="20"/>
        </w:rPr>
        <w:t xml:space="preserve">Our business has incurred operating losses due to costs incurred in connection with our research and development activities and general and administrative expenses associated with our operations. Our net losses for the three months ended March 31, 2026 was $3.2 million, and our net losses for the years ended December 31, 2025 and 2024 were $3.5 million and $3.1 million, respectively. We expect to incur significant losses for at least the next several years, and for these losses to significantly increase, if we continue our research activities and conduct development of, and seek regulatory approvals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from our current and any potential future product candidates and achieve profitability depends on our ability, alone or with strategic partners, to complete the development of, and obtain the necessary regulatory and essential pricing and reimbursement approvals to commercialize, our product candidates. If we continue to progress the development of our product candidates, we do not know when, if ever, we will generate revenues from sales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expenses would increase beyond expectations if we are required by the FDA, the EMA, or other regulatory agencies, domestic or foreign, to perform clinical and other studies in addition to those that we currently anticipate. Even if one or more of the product candidates that we develop is approved for commercial sale, we may never generate revenue in amounts sufficient to achieve and maintain profitability. </w:t>
      </w:r>
    </w:p>
    <w:p>
      <w:pPr>
        <w:pStyle w:val="TextBody"/>
        <w:bidi w:val="0"/>
        <w:spacing w:before="360" w:after="0"/>
        <w:jc w:val="left"/>
        <w:rPr>
          <w:rFonts w:ascii="Times New Roman" w:hAnsi="Times New Roman"/>
          <w:sz w:val="20"/>
        </w:rPr>
      </w:pPr>
      <w:r>
        <w:rPr>
          <w:rFonts w:ascii="Times New Roman" w:hAnsi="Times New Roman"/>
          <w:b/>
          <w:i/>
          <w:sz w:val="20"/>
        </w:rPr>
        <w:t>There is substantial doubt about our ability to continue as a going concern. If we are not able to complete the proposed Merger</w:t>
      </w:r>
      <w:r>
        <w:rPr>
          <w:rFonts w:ascii="Times New Roman" w:hAnsi="Times New Roman"/>
          <w:sz w:val="20"/>
        </w:rPr>
        <w:t xml:space="preserve"> </w:t>
      </w:r>
      <w:r>
        <w:rPr>
          <w:rFonts w:ascii="Times New Roman" w:hAnsi="Times New Roman"/>
          <w:b/>
          <w:i/>
          <w:sz w:val="20"/>
        </w:rPr>
        <w:t>and we continue to progress the development of our product candidates, we will need to raise additional funding in the near term, which may not be available on acceptable terms, if at all,</w:t>
      </w:r>
      <w:r>
        <w:rPr>
          <w:rFonts w:ascii="Times New Roman" w:hAnsi="Times New Roman"/>
          <w:sz w:val="20"/>
        </w:rPr>
        <w:t xml:space="preserve"> </w:t>
      </w:r>
      <w:r>
        <w:rPr>
          <w:rFonts w:ascii="Times New Roman" w:hAnsi="Times New Roman"/>
          <w:b/>
          <w:i/>
          <w:sz w:val="20"/>
        </w:rPr>
        <w:t>to continue as a going concern and advance our product candidates. Failure to obtain capital when needed may force us to delay, limit or terminate our product development efforts or operations altogether. Raising additional capital would dilute our existing shareholders, restrict our operations or cause us to relinquish valuable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doubt regarding our ability to continue as a going concern. As of December 31, 2025 and March 31, 2026, we had unrestricted cash and cash equivalents of approximately $3.2 million and $2.8 million, respectively. Our management believes that such cash and cash equivalents will not be sufficient to fund our operating expenses and capital requirements until the completion of the Merger. If we are not able to complete the proposed Merger and we continue to progress the development of our product candidates, we will require significant additional funding to advance any of our product candidates beyond the short term and to sustain our operations. In the event that we are unable to raise the capital necessary, we may need to curtail our operations or cease operations altogether. Because there is substantial doubt about our ability to continue as a going concern for a reasonable period of time, an investment in our common stock is highly speculative and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We may also seek to raise such capital through public or private financing of our securities, royalty financing or debt financing. Raising funds in the current economic environment is, and may in the future, continue to be challenging, and such financing may not be available in sufficient amounts or on acceptable terms, if at all. The terms of any financing may harm existing shareholders. The issuance of additional securities, whether equity or debt, or the possibility of such issuance, may cause the market price of our shares to decline. The sale of additional equity or convertible securities would dilute the ownership of existing shareholders.</w:t>
      </w:r>
    </w:p>
    <w:p>
      <w:pPr>
        <w:pStyle w:val="TextBody"/>
        <w:bidi w:val="0"/>
        <w:spacing w:before="240" w:after="0"/>
        <w:jc w:val="left"/>
        <w:rPr>
          <w:rFonts w:ascii="Times New Roman" w:hAnsi="Times New Roman"/>
          <w:sz w:val="20"/>
        </w:rPr>
      </w:pPr>
      <w:r>
        <w:rPr>
          <w:rFonts w:ascii="Times New Roman" w:hAnsi="Times New Roman"/>
          <w:sz w:val="20"/>
        </w:rPr>
        <w:t xml:space="preserve">If we sell shares or other equity securities in one or more other transactions, or issue stock, stock options or other securities pursuant to our current equity plans, investors may be materially diluted by such subsequent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issuances. We will need significant additional capital in the near term to continue our current plans. No assurance can be given that we will be able to obtain such funds upon favorable terms and conditions, if at all. Failure to do so could have a material adverse effect on our business. To the extent we raise additional capital by issuing equity securities, our stockholders would likely experience substantial dilution. We may sell common stock, preferred stock, convertible securities or other equity or convertible securities in one or more transactions that may include voting rights (including the right to vote as a series on particular matters), preferences as to dividends and liquidation, antidilution, and conversion and redemption rights, subject to applicable law, and at prices and in a manner we determine from time to time. Such issuances and the exercise of any convertible securities will dilute the percentage ownership of our stockholders and may affect the value of our capital stock and could adversely affect the rights of the holders of such stock, thereby reducing the value of such stock. Moreover, any exercise of convertible securities may adversely affect the terms upon which we will be able to obtain additional equity capital, since the holders of such convertible securities can be expected to exercise them at a time when we would, in all likelihood, not be able to obtain any needed capital on terms more favorable to us than those provided in such convertible securities.</w:t>
      </w:r>
    </w:p>
    <w:p>
      <w:pPr>
        <w:pStyle w:val="TextBody"/>
        <w:bidi w:val="0"/>
        <w:spacing w:before="240" w:after="0"/>
        <w:jc w:val="left"/>
        <w:rPr>
          <w:rFonts w:ascii="Times New Roman" w:hAnsi="Times New Roman"/>
          <w:sz w:val="20"/>
        </w:rPr>
      </w:pPr>
      <w:r>
        <w:rPr>
          <w:rFonts w:ascii="Times New Roman" w:hAnsi="Times New Roman"/>
          <w:sz w:val="20"/>
        </w:rPr>
        <w:t xml:space="preserve">Incurring debt, if available, would result in increased fixed payment obligations, and we may agree to restrictive covenants, such as limitations on our ability to incur additional debt or limitations on our ability to acquire, sell or license intellectual property rights that could impede our ability to conduct our business. In the event we are unable to raise financing, we may need to reduce or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we also intend to seek funds through collaborations, strategic alliances, or licensing arrangements with third parties. Such agreements may adversely impact retained rights to our assets, technologies, future revenue streams and programs, especially those that receive regulatory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Clinical Testing of Our Products and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approach to the discovery and development of product candidates for the treatment of serious diseases may never lead to marketable products.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of drug therapies presents unique challenges, including an imperfect understanding of the biology, a frequent lack of translatability of nonclinical study results in subsequent clinical trials and dose selection, and the product candidate having an effect that may be too small to be detected using the outcome measures selected in clinical trials or if the outcomes measured do not reach statistical significance. If we are unable to complete the proposed Merger and continue to progress the development of our product candidates, our future success would be highly dependent on the successful development of our technology and our current and any potential future product candidates. The scientific evidence to support the feasibility of developing our current product candidates is both preliminary and limited. If we continue to progress the development of our product candidates but do not successfully develop and commercialize product candidates, we will not become profitable and the value of our common stock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of biopharmaceutical products is inherently risky. If we continue to progress development of our product candidates, we may encounter substantial delays in our activities, including our planned clinical studies, or we may fail to demonstrate safety and efficacy to the satisfaction of applicable regulatory authorities in the development of products to treat patients with serious diseases. </w:t>
      </w:r>
    </w:p>
    <w:p>
      <w:pPr>
        <w:pStyle w:val="TextBody"/>
        <w:bidi w:val="0"/>
        <w:spacing w:before="120" w:after="0"/>
        <w:jc w:val="left"/>
        <w:rPr>
          <w:rFonts w:ascii="Times New Roman" w:hAnsi="Times New Roman"/>
          <w:sz w:val="20"/>
        </w:rPr>
      </w:pPr>
      <w:r>
        <w:rPr>
          <w:rFonts w:ascii="Times New Roman" w:hAnsi="Times New Roman"/>
          <w:sz w:val="20"/>
        </w:rPr>
        <w:t>If we continue to progress development of our product candidates, our business will depend heavily on the successful development, clinical testing, regulatory approvals and commercialization of our lead product candidate for treatment resistant depression, praliciguat (out-licensed to Akebia), any potential future out-licensing of olinciguat, and any future potential product candidates we may acquire or license as well as both the product candidates we have sold to Tisento (the “Transferred Assets”). Any of our current or potential product candidates will require regulatory approval.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obtaining regulatory approvals for the commercial sale of any of our product candidates, we must demonstrate through lengthy, complex and expensive nonclinical and clinical studies that our product candidates are both safe and effective for use in each target indication. Each product candidate must demonstrate an adequate benefit-risk profile for its intended use in its intended patient population. In some instances, significant variability in safety or efficacy appear in different clinical studies of the same product candidate due to numerous factors, including changes in study protocols, differences in the number and characteristics of the enrolled study participants, variations in the dosing regimen and other clinical study parameters or the dropout rate among study participants. Product candidates in later stages of clinical studies often fail to demonstrate adequate safety and efficacy despite promising nonclinical testing and early clinical studies. Companies in the biopharmaceutical industry often suffer significant setbacks in both early and later-stage clinical studies as most product candidates that begin clinical studies are never approved for commercialization by regulatory authorities. Favorable results in earlier stage trials may not be replicated in later stage trials. If we continue to progress the development of our product candidates and fail to produce positive results in our clinical trials, the development timeline, regulatory approval and commercialization prospects of our assets and, correspondingly, our business and financial prospects, would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difficulties in enrolling participants in any clinical studies conducted on our product candidates, those clinical trials could be delayed or prevented from proceeding.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participants to participate in any clinical studies of our product candidates would be critical to the success of those clinical trials. The timing of any clinical studies will depend in part on the speed at which participants can be recruited to participate in testing these product candidates. Estimates of the prevalence of target indications may vary considerably. Determining the incidence of these conditions, including in specific geographies or demographic groups, would be challenging. The lower the actual prevalence of these conditions, the more challenges would be encountered enrolling participants in those clinical studies, which could delay development of those product candidates. Clinical trial enrollment may also encounter difficulties for a variety of other reasons. The number of participants eligible for a clinical trial may be substantially limited by stringent eligibility criteria in a study protocol, such as the inclusion of biomarker-driven identification or other highly specific criteria related to stage of disease progression or to specific patient reported outcome measures. The number of participants required to power the statistical analysis of the study’s endpoints may be very large leading to an extended enrollment period. Issues such as the proximity of participants to a study site, the complexity of the study design, the ability to recruit investigators with appropriate skill and experience, competing clinical studies for similar therapies or targeting similar participants, perceptions of the benefit-risk profile of the product candidate relative to other available therapies or product candidates, and ability to obtain and maintain institutional review board (“IRB”), or ethics committee (“EC”) approvals and participant consents all could have a substantial impact on the timing of clinical trial enrollment. If sufficient participants cannot be enrolled in clinical studies in a timely way, obtaining study results would be delayed, which may harm our business, prospects,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The regulatory approval processes of the FDA and comparable foreign regulatory authorities are lengthy, time-consuming and inherently unpredictable. If we, assuming we continue to progress the development of our product candidates, or Tisento, Akebia</w:t>
      </w:r>
      <w:r>
        <w:rPr>
          <w:rFonts w:ascii="Times New Roman" w:hAnsi="Times New Roman"/>
          <w:sz w:val="20"/>
        </w:rPr>
        <w:t xml:space="preserve"> </w:t>
      </w:r>
      <w:r>
        <w:rPr>
          <w:rFonts w:ascii="Times New Roman" w:hAnsi="Times New Roman"/>
          <w:b/>
          <w:i/>
          <w:sz w:val="20"/>
        </w:rPr>
        <w:t>or</w:t>
      </w:r>
      <w:r>
        <w:rPr>
          <w:rFonts w:ascii="Times New Roman" w:hAnsi="Times New Roman"/>
          <w:sz w:val="20"/>
        </w:rPr>
        <w:t xml:space="preserve"> </w:t>
      </w:r>
      <w:r>
        <w:rPr>
          <w:rFonts w:ascii="Times New Roman" w:hAnsi="Times New Roman"/>
          <w:b/>
          <w:i/>
          <w:sz w:val="20"/>
        </w:rPr>
        <w:t>any other future licensees, as applicable, are ultimately unable to obtain regulatory approval for</w:t>
      </w:r>
      <w:r>
        <w:rPr>
          <w:rFonts w:ascii="Times New Roman" w:hAnsi="Times New Roman"/>
          <w:sz w:val="20"/>
        </w:rPr>
        <w:t xml:space="preserve"> </w:t>
      </w:r>
      <w:r>
        <w:rPr>
          <w:rFonts w:ascii="Times New Roman" w:hAnsi="Times New Roman"/>
          <w:b/>
          <w:i/>
          <w:sz w:val="20"/>
        </w:rPr>
        <w:t>the product candidates, we will be unable to generate product revenue and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product candidate cannot be commercialized until the appropriate regulatory authorities have reviewed and approved the product candidate. The time required to obtain approval by the FDA and comparable foreign regulatory authorities is unpredictable, typically takes many years following the commencement of clinical studies and depends upon numerous factors, including the type and complexity of the product candidates involved. Regulatory authorities have substantial discretion in the approval process and may refuse to accept an application for review or may decide that data are insufficient for approval and require additional nonclinical, clinical, or other information (e.g., product quality data or manufacturing controls). No regulatory approval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our product candidates we own, licensed to Akebia or sold to Tisento has been requested or obtained, and it is possible that none of these existing product candidates or any product candidates we, if we continue to progress the development of our product candidates, or our licensees or Tisento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Any ongoing clinical studies may not be completed on schedule, and any planned clinical studies may not begin on schedule, if at all. The completion or commencement of clinical studies can be delayed or prevented for a number of reasons, including,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not authorize us or our investigators to commence planned clinical studies, or require that ongoing clinical studies be suspended through imposition of clinical holds;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results from ongoing studies or other industry studies involving product candidates modulating the same or similar mechanism of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or failing to reach agreement on acceptable terms with prospective contract research organizations, or contract research organizations (“CRO”), and clinical study sites, the terms of which can be subject to considerable negotiation and may vary significantly among different CROs and study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inadequate quantity or quality of a product candidate or other materials necessary to conduct clinical studies, for example delays in the manufacturing of sufficient supply of finished drug product;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obtaining EC or IRB approval(s) to conduct a clinical study at a prospective site or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recruiting and enrolling participants in clinical studies, the proximity of participants to study sites, eligibility criteria for the clinical study, the nature of the clinical study protocol, the availability of approved effective treatments for the relevant disease and competition from other clinical study programs for similar indications;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severe or unexpected drug-related side effects experienced by participants in a clinical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of unanticipated metabolites in participants in a clinical study may require considerable nonclinical and clinical assessment;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our licensees or Tisento may decide, or regulatory authorities may require the conduct of additional clinical studies or abandonment of product development programs;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validating, or inability to validate, any endpoints utilized in a clinical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bodies may disagree with a clinical study’s design and the interpretation of data from clinical studies, or may change the requirements for approval even after it has reviewed and commented on the design for clinical studies;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nonclinical or clinical testing of other competing candidates that raise safety or efficacy concerns;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cutbacks in funding for the FDA may result in delays in reviewing and approving applications;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retaining participants who have enrolled in a clinical study but may be prone to withdraw due to rigors of the clinical studies, lack of efficacy, side effects, personal issues, or loss of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Clinical studies may also be delayed or terminated as a result of ambiguous or negative interim results. In addition, a clinical study may be suspended or terminated by us, our licensees, Tisento, the FDA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comparable authorities, the IRBs or ECs overseeing a clinical study, a data and safety monitoring board overseeing the clinical study, or other regulatory authorities due to a number of factors, including, among others: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conduct the clinical study in accordance with regulatory requirements or clinical protocols;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inspection of the clinical study operations or study sites by the FDA or other regulatory authorities that reveals deficiencies or violations that require undertaking corrective action, including in response to the imposition of a clinical hold;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safety issues, including any that could be identified in ongoing studies, adverse side effects or lack of effectiveness;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regulations or administrative actions;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problems with clinical supply materials; and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clinical studies.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product candidates may cause side effects or adverse events that are presented in the product labeling approved by regulatory authorities. Some may result in label restrictions.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current and any potential future product candidates may cause serious side effects which could cause us, our licensees, Tisento, or regulatory authorities to interrupt, delay or halt clinical studies and could result in restrictive label language or delay or denial of regulatory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regulatory requirements, FDA guidance or unanticipated events during nonclinical studies and clinical studies of our product candidates, which may result in changes to nonclinical or clinical study protocols or additional nonclinical or clinical study requirements, which could result in increased costs and could delay development timelines.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changes in regulatory requirements, FDA guidance or unanticipated events during nonclinical studies and clinical studies may force amendment to nonclinical studies and clinical study protocols or the FDA may impose additional nonclinical studies and clinical study requirements. Amendments or changes to clinical study protocols would require resubmission to the FDA and IRBs for review and approval, which may increase the cost or delay the timing or successful completion of clinical studies. Similarly, amendments to nonclinical studies may increase the cost or delay the timing or successful completion of those nonclinical studies. In the event of delays in completing, or the termination of, any of nonclinical or clinical studies, or if it is required that additional nonclinical or clinical studies be conducted, the commercial prospects for product candidates may be harmed and our ability to generate product revenue will be delayed for those product candidates we retain our out-license or to realize value in our equity position in Tisento.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obtaining and maintaining regulatory approval of product candidates in one jurisdiction does not mean that there will be success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 outside of the United States, compliance with the numerous and varying safety, efficacy and other regulatory requirements of other countries is required. If we continue to progress the development of our product candidates, obtaining and maintaining regulatory approval of product candidates in one jurisdiction does not guarantee that obtaining or maintaining regulatory approval in any other jurisdiction will be possible, but a failure or delay in obtaining regulatory approval in one jurisdiction may have a negative effect on the regulatory approval process in others. For example, even if the FDA or other comparable foreign regulatory authority grants marketing approval of a product candidate, comparable regulatory authorities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nonclinical or clinical studies, as studies conducted in one jurisdiction may not be accepted by regulatory authorities in other jurisdictions. The marketing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intended to be charged for a product candidate is also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compliance with foreign regulatory requirements could result in significant delays, difficulties and costs and could delay or prevent the introduction of product candidates in certain countries. Failure to obtain marketing approval in other countries or any delay or other setback in obtaining such approval would impair the ability to market product candidates in such countries. Any such impairment would reduce the size of the potential market, which could have a material adverse impact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data/market exclusivity may be more limited than we expect based upon the competitive landscape and other factors outside of our control that may occur during development or after approval.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there are many types of data/market exclusivity mechanisms that we or our licensees may seek to secure for our product candidates. Many of these have risk of loss of exclusivity if the competitive landscape changes or regulations are revised. If we, our licensees or Tisento seek and are awarded orphan drug designation in the US and/or the EU based upon criteria in effect at the time, this designation may be rescinded if a similar drug or another therapy that confers a significant benefit over these product candidates is subsequently approved. If these product candidates were to fail to obtain orphan drug status, or lose such status after it is obtained, or the marketing exclusivity that such status provides, our business, prospects, financial condition and results of operations could be materially harmed. There are other types of data/market exclusivity rights granted after approval that may not confer exclusivity anticipated if the competitive landscape changes and our business, prospects, financial condition and results of operations could be materially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Reliance on Licensees, Tisento and Other Third Parties </w:t>
      </w:r>
    </w:p>
    <w:p>
      <w:pPr>
        <w:pStyle w:val="TextBody"/>
        <w:bidi w:val="0"/>
        <w:spacing w:before="120" w:after="0"/>
        <w:jc w:val="left"/>
        <w:rPr>
          <w:rFonts w:ascii="Times New Roman" w:hAnsi="Times New Roman"/>
          <w:sz w:val="20"/>
        </w:rPr>
      </w:pPr>
      <w:r>
        <w:rPr>
          <w:rFonts w:ascii="Times New Roman" w:hAnsi="Times New Roman"/>
          <w:b/>
          <w:i/>
          <w:sz w:val="20"/>
        </w:rPr>
        <w:t>If we continue to progress the development of our product candidates, we may not succeed in our pursuit of capital, capabilities, and transactions for</w:t>
      </w:r>
      <w:r>
        <w:rPr>
          <w:rFonts w:ascii="Times New Roman" w:hAnsi="Times New Roman"/>
          <w:sz w:val="20"/>
        </w:rPr>
        <w:t xml:space="preserve"> </w:t>
      </w:r>
      <w:r>
        <w:rPr>
          <w:rFonts w:ascii="Times New Roman" w:hAnsi="Times New Roman"/>
          <w:b/>
          <w:i/>
          <w:sz w:val="20"/>
        </w:rPr>
        <w:t>the development and commercialization of our future clinical stage assets, which would affect our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If we continue to progress the development of our product candidates, we will seek capital, capabilities, and transactions to advance the development of our product candidate for treatment resistant depression and other product candidates we may acquire rights to in the future. There can be no assurance that this process will result in any effective negotiations toward, reaching terms of, executing agreements relating to, or completing any transaction or that any such transaction will be successful. Failure to complete any of the foregoing efforts would materially adversely affect our business, prospects, financial condition and results of operations.</w:t>
      </w:r>
    </w:p>
    <w:p>
      <w:pPr>
        <w:pStyle w:val="TextBody"/>
        <w:bidi w:val="0"/>
        <w:spacing w:before="360" w:after="0"/>
        <w:jc w:val="left"/>
        <w:rPr>
          <w:rFonts w:ascii="Times New Roman" w:hAnsi="Times New Roman"/>
          <w:b/>
          <w:i/>
          <w:sz w:val="20"/>
        </w:rPr>
      </w:pPr>
      <w:r>
        <w:rPr>
          <w:rFonts w:ascii="Times New Roman" w:hAnsi="Times New Roman"/>
          <w:b/>
          <w:i/>
          <w:sz w:val="20"/>
        </w:rPr>
        <w:t>Akebia may not be successful in developing any therapies through the praliciguat out-license and we may not realize any future revenue from the out-license.</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the Akebia License Agreement relating to the exclusive worldwide license to Akebia of our rights to the development, manufacture, medical affairs and commercialization of pharmaceutical products containing the pharmaceutical compound praliciguat and other related products and forms thereof enumerated in such agreement. Under the agreement, Akebia is responsible for all research,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regulatory, and commercialization activities for certain products. On December 13, 2024, we and Akebia entered into Amendment #1 to License Agreement (the “2024 Amendment”) to the original Akebia License Agreement. Under the terms of the 2024 Amendment, Akebia paid the Company (i) $1.25 million in December 2024 and an additional $0.5 million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Pursuant to the terms of the Akebia License Agreement, as amended, Akebia will pay Cyclerion tiered royalties ranging from mid-single digit to twenty percent of net sales. Cyclerion’s obligations to deliver certain drug products have also ceased. The agreement may be terminated by either party in the event of a material breach by the other party or by us in the event of certain patent disputes. There can be no assurances that the agreement will result in any therapies or that it will not be terminated prior to the realization by us of any remaining eligible revenues or that Akebia will be able to successfully bring any of the licensed product candidates to market due to financial limitations or other business factors in the future or if Akebia is unable to raise additional capital on favorable terms, if at all. Akebia may at any time terminate the Akebia License Agreement upon 180 days written notice, subject to Akebia’s obligation to grant Cyclerion a non-exclusive, royalty-free license, with the right to grant multiple tiers of sublicenses, to certain licensed compounds or products as defined in the Akebia License Agreement as well as certain rights to regulatory submissions, product trademarks, contracts with third party suppliers and certain other rights. </w:t>
      </w:r>
    </w:p>
    <w:p>
      <w:pPr>
        <w:pStyle w:val="TextBody"/>
        <w:bidi w:val="0"/>
        <w:spacing w:before="360" w:after="0"/>
        <w:jc w:val="left"/>
        <w:rPr>
          <w:rFonts w:ascii="Times New Roman" w:hAnsi="Times New Roman"/>
          <w:b/>
          <w:i/>
          <w:sz w:val="20"/>
        </w:rPr>
      </w:pPr>
      <w:r>
        <w:rPr>
          <w:rFonts w:ascii="Times New Roman" w:hAnsi="Times New Roman"/>
          <w:b/>
          <w:i/>
          <w:sz w:val="20"/>
        </w:rPr>
        <w:t>Tisento may not be successful in developing any therapies and we may not realize any future value from the Tisento common stock we received under the Asset Purchase Agreement with Tisento.</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is subject to all of the risks associated with an earlier stage biotechnology company. The pharmaceutical and biotechnology industries are characterized by rapidly advancing technologies, intense competition and a strong emphasis on proprietary products. While we believe that Tisento’s technology, development experience and scientific knowledge provide it with competitive advantages, it may face potential competition from many different sources, including large pharmaceutical and biotechnology companies, academic institutions, government agencies and other public and private research organizations that conduct research, seek patent protection and establish collaborative arrangements for the research, development, manufacturing and commercialization of similar products. Any investigational products that Tisento may successfully develop and commercialize will compete with new immunotherapies that may become available in the future. As a result, our investment in Tisento is risky and our equity interest in Tisento could be significantly diluted in the future if Tisento seeks to raise additional capital or is unable to raise additional capital on favorable terms, if at all. If Tisento suffers adverse effects, it may not be able to continue as a going business concern, and we may lose our entire investment. Tisento is a privately-held company and there is no public market for its securities. As a result, it may be difficult to sell any of our securities position in Tisento in the near term,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lack operational control over Tisento. </w:t>
      </w:r>
    </w:p>
    <w:p>
      <w:pPr>
        <w:pStyle w:val="TextBody"/>
        <w:bidi w:val="0"/>
        <w:spacing w:before="120" w:after="0"/>
        <w:jc w:val="left"/>
        <w:rPr>
          <w:rFonts w:ascii="Times New Roman" w:hAnsi="Times New Roman"/>
          <w:sz w:val="20"/>
        </w:rPr>
      </w:pPr>
      <w:r>
        <w:rPr>
          <w:rFonts w:ascii="Times New Roman" w:hAnsi="Times New Roman"/>
          <w:sz w:val="20"/>
        </w:rPr>
        <w:t xml:space="preserve">Our investment in Tisento represents a minority or passive stake and we may have little to no participation, input or control over the management, policies, and operations of Tisento. Further, we may lack sufficient ownership of voting securities to impact, without the vote of additional equity holders, any matters submitted to stockholders or members of such business for a vote. There is inherent risk in making minority equity investments in companies over which we have little to no control. Without control of the management and decision-making of these businesses, we cannot control their direction, strategy, policies and business plans, and we may be powerless to improve any declines in their performance,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any collaboration or license arrangements that we enter into in the future may not be successful, which could impede our ability to develop and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we may seek additional collaboration or license arrangements for the commercialization, and/or potentially for the development, of certain of our product candidates depending on the merits of retaining commercialization rights for ourselves as compared to entering into collaboration or license arrangements. We face significant challenges in seeking appropriate partners. Moreover, collaboration and license arrangements are complex and time-consuming to negotiate, document, implement and maintain. We may not be successful in our efforts to establish and implement such arrangements. The terms of any collaborations, licenses or other arrangements that we may establish may not be favorable to us.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any future collaboration or license arrangements that we enter into may not be successful. The success of such arrangements will depend heavily on the efforts and activities of our partners. Collaboration and license arrangements are subject to numerous risks, including that: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have significant discretion in determining the efforts and resources that they will apply to collaborations;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partner with marketing, manufacturing and distribution rights to one or more products may not commit sufficient resources to or otherwise not perform satisfactorily in carrying out these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and license arrangements may be terminated, and, if terminated, this may result in a need for additional capital to pursue further development or commercialization of the applicable current or any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 may own or co-own intellectual property covering products that results from our collaborating with them, and in such cases, we would not have the exclusive right to develop or commercialize such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any intellectual property developed pursuant to our collaboration or license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partner’s sales and marketing activities or other operations may not be in compliance with applicable laws resulting in civil or criminal proceedings.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we expect in the future to rely on third parties to conduct any nonclinical or clinical studies for any existing or potential future product candidates. If these third parties do not successfully carry out their contractual duties or meet expected deadlines, necessary regulatory approvals for or commercialization of any potential future product candidates may not be obtainable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the infrastructure or internal resources and capabilities to independently conduct nonclinical or clinical studies. If we continue to progress the development of our product candidates, we expect to rely on contract laboratories, medical institutions, clinical investigators, licensees and other third parties, such as CROs, to conduct nonclinical studies on any future discovery compounds and product candidates and clinical studies on product candidates. We expect to rely heavily on such parties for execution of nonclinical and clinical studies and as a result that we will only be able to control certain aspects of their activities. As a result, if we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progress the development of our product candidates, we expect we will have limited direct control over the conduct, timing and completion of our nonclinical and clinical studies and the management of data developed through these studies.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t>
      </w:r>
    </w:p>
    <w:p>
      <w:pPr>
        <w:pStyle w:val="TextBody"/>
        <w:bidi w:val="0"/>
        <w:spacing w:before="240" w:after="0"/>
        <w:jc w:val="left"/>
        <w:rPr>
          <w:rFonts w:ascii="Times New Roman" w:hAnsi="Times New Roman"/>
          <w:sz w:val="20"/>
        </w:rPr>
      </w:pPr>
      <w:r>
        <w:rPr>
          <w:rFonts w:ascii="Times New Roman" w:hAnsi="Times New Roman"/>
          <w:sz w:val="20"/>
        </w:rPr>
        <w:t xml:space="preserve">These factors may materially impede the willingness or ability of third parties to complete quality nonclinical and clinical studies and may subject us to unexpected cost increases that are beyond our control. Nevertheless, we may be responsible for ensuring that each of any future nonclinical and clinical studies is conducted in accordance with any applicable protocol, legal, regulatory and scientific requirements and standards, and our reliance on CROs and other third parties does not necessarily relieve us of our regulatory responsibilities. We, and any future CROs and other third parties are required to comply with regulations and guidelines, such as GLPs, good clinical practices ("GCPs"), and current Good Manufacturing Practices. These regulations are enforced by the FDA and comparable foreign regulatory authorities for any products in clinical development. The FDA enforces compliance to regulations through periodic inspections of clinical study sponsors, principal investigators, and third parties. If the FDA determines there was a failure to comply with the regulations, the clinical data generated in any clinical studies may be deemed unreliable and the FDA or comparable foreign regulatory authorities may require the performance of additional clinical studies before approving any marketing applications. We cannot assure you that, upon inspection, the FDA will determine that any potential future nonclinical studies, clinical studies or product manufacturing will comply with these regulations. Our failure or the failure of our CROs or other third parties to comply with these regulations may require the repeat of those clinical studies, which would delay the regulatory approval process and could also result in enforcement action up to and including civil and criminal penalties. </w:t>
      </w:r>
    </w:p>
    <w:p>
      <w:pPr>
        <w:pStyle w:val="TextBody"/>
        <w:bidi w:val="0"/>
        <w:spacing w:before="240" w:after="0"/>
        <w:jc w:val="left"/>
        <w:rPr>
          <w:rFonts w:ascii="Times New Roman" w:hAnsi="Times New Roman"/>
          <w:sz w:val="20"/>
        </w:rPr>
      </w:pPr>
      <w:r>
        <w:rPr>
          <w:rFonts w:ascii="Times New Roman" w:hAnsi="Times New Roman"/>
          <w:sz w:val="20"/>
        </w:rPr>
        <w:t>Although we or our current licensee or any future licensees may design or approve the designs of our product candidate clinical studies, CROs and other third parties conduct those clinical studies. As a result, if we continue to progress the development of our product candidates many important aspects of the execution of the development programs for our product candidates may be outside of our direct control. In addition, the CROs, or other third parties, may not perform all of their obligations under arrangements with us or our licensees or in compliance with regulatory requirements, but we may remain responsible and are subject to enforcement action that may include civil penalties and criminal prosecution for any violations of FDA laws and regulations during the conduct of clinical studies. If we continue to progress the development of our product candidates and the CROs, or our licensees, do not perform clinical studies in a satisfactory manner, breach their obligations to us or fail to comply with regulatory requirements, the development and commercialization of our product candidates may be delayed, or our development program materially and irreversibly harmed. We may not be able to control the amount and timing of resources these CROs or our licensees devote to our clinical products.</w:t>
      </w:r>
    </w:p>
    <w:p>
      <w:pPr>
        <w:pStyle w:val="TextBody"/>
        <w:bidi w:val="0"/>
        <w:spacing w:before="240" w:after="0"/>
        <w:jc w:val="left"/>
        <w:rPr>
          <w:rFonts w:ascii="Times New Roman" w:hAnsi="Times New Roman"/>
          <w:sz w:val="20"/>
        </w:rPr>
      </w:pPr>
      <w:r>
        <w:rPr>
          <w:rFonts w:ascii="Times New Roman" w:hAnsi="Times New Roman"/>
          <w:sz w:val="20"/>
        </w:rPr>
        <w:t xml:space="preserve">If any relationships with these third-party CROs terminate, arrangements with alternative CROs may not be achievable. If CROs do not successfully carry out their contractual duties or obligations or meet expected deadlines, if they need to be replaced, or if the quality or accuracy of the clinical data they obtain is compromised due to the failure to adhere to required clinical protocols, regulatory requirements or for other reasons, any clinical studies such CROs are associated with may be extended, delayed or terminated, and required regulatory approval for or successful commercialization of our product candidates may not be obtainable. As a result, we believe that our financial results and the commercial prospects for our product candidates in the approved indication would be harmed, our costs could increase and our ability to generate revenue could be delayed or lost.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continue to progress the development of our product candidates then except as out-licensed, we must rely completely on third-party suppliers to manufacture any nonclinical and clinical drug supplies for our product candidates, and we intend to rely on third parties to produce commercial supplies of any product candidates that are approved. </w:t>
      </w:r>
    </w:p>
    <w:p>
      <w:pPr>
        <w:pStyle w:val="TextBody"/>
        <w:bidi w:val="0"/>
        <w:spacing w:before="120" w:after="0"/>
        <w:jc w:val="left"/>
        <w:rPr>
          <w:rFonts w:ascii="Times New Roman" w:hAnsi="Times New Roman"/>
          <w:sz w:val="20"/>
        </w:rPr>
      </w:pPr>
      <w:r>
        <w:rPr>
          <w:rFonts w:ascii="Times New Roman" w:hAnsi="Times New Roman"/>
          <w:sz w:val="20"/>
        </w:rPr>
        <w:t>We do not currently have, nor do we plan to acquire, the infrastructure or capability to internally manufacture the drug supply of our current or any potential future product candidates, for use in the conduct of our nonclinical and clinical studies. We lack the internal resources and the capability to manufacture any product candidates on any scale. If we continue to progress the development of our product candidates, we expect to depend on third-party contract manufacturing organizations, or CMOs, for all our requirements of raw materials, drug substances and drug product for any future nonclinical studies and clinical trials. We do not have long-term supply agreements in place with any CMO and we expect that any potential future product candidates will be individually contracted under a services agreement on a purchase order basis. If we continue to progress the development of our product candidates, we expect to rely on CMOs for the supply of later-stage development and commercialization, as well as for the supply of any other discovery compounds or product candidates that we may identify, and we may not be able to enter into long-term supply agreements with such CMOs on favorable terms. As a further result, we are subject to price fluctuations for any clinical drug supplies. If the prices charged by these CMOs increase, our business, prospects, financial condition and results of operations could be materially harmed. We expect in the future to apply industry risk management practices to minimize the impact to nonclinical and clinical timelines associated with delays to our clinical supplies. However, these delays could still lead to clinical trials delays that could adversely impact our business.</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facilities which may be used by contract manufacturers to manufacture the active pharmaceutical ingredient and final drug product must complete a pre-approval inspection by the FDA and other comparable foreign regulatory agencies to assess compliance with applicable requirements, including current GMP, after we submit our new drug application, or NDA, or relevant foreign regulatory submission to the applicable regulatory agency. If the FDA or an applicable foreign regulatory agency determines now or in the future that these facilities are noncompliant, we may need to find alternative manufacturing facilities, which would impede our ability to develop, obtain regulatory approval for or market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reliance on third parties if we continue to progress the development of our product candidates requires us to share our confidential information, including trade secrets and know-how, which increases the possibility that our confidential information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will seek to involve third party licensees and collaborators on potential future product candidates if we continue to progress the development of our product candidates, we expect we will rely on third parties to manufacture our product candidates, and because we expect to collaborate with various CROs and other third parties to conduct our nonclinical studies and clinical trials, we must, at times, share our trade secrets or know-how with them. We seek to protect our confidential information, including know-how and trade secrets, in part by entering into confidentiality agreements and, if applicable, material transfer agreements, collaborative research agreements, consulting agreements or other similar agreements with our collaborators, advisors and consultants prior to beginning our collaborations or disclosing confidential information to such parties. These agreements typically limit the rights of the third parties to use or disclose our confidential information, such as trade secrets and know-how. Despite these contractual provisions, the need to share our confidential information with third parties increases the risk that confidential information such as trade secrets and know-how becomes known by our competitors, is inadvertently incorporated into the technology of others, or is disclosed or used in violation of these agreements. Given that our proprietary position is based, in part, on our confidential information including know-how and trade secrets, a competitor’s discovery of our confidential information or other unauthorized use or disclosure could impair our competitive position and may have a material adverse effect on our business, prospects,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Intellectual Property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or our licensors, licensees or Tisento are unable to adequately protect proprietary technologies, or obtain and maintain issued patents that are sufficient to protect their respective product candidates, others could compete against us, our licensees and Tisento more directly, which would have a material adverse impact on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licensors, licensees and Tisento’s ability to obtain and maintain patent and other proprietary protection in the United States and other countries for commercially important technology, inventions and know-how related to our business, defend and enforce patents, should they issue, preserve the confidentiality of trade secrets and operate without infringing the valid and enforceable patents and proprietary rights of third parties. We strive to protect and enhance the proprietary technologies that we believe are important to our business, including seeking patents intended to cover our product candidates and compositions, their methods of use and any other inventions that are important to the development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We also rely on patents issued to licensors providing patent licenses for our treatment resistant depression candidate.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Cyclerion</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 </w:t>
      </w:r>
      <w:r>
        <w:rPr>
          <w:rFonts w:ascii="Times New Roman" w:hAnsi="Times New Roman"/>
          <w:i/>
          <w:sz w:val="20"/>
        </w:rPr>
        <w:t>Intellectual Property</w:t>
      </w:r>
      <w:r>
        <w:rPr>
          <w:rFonts w:ascii="Times New Roman" w:hAnsi="Times New Roman"/>
          <w:sz w:val="20"/>
        </w:rPr>
        <w:t xml:space="preserve">.” We also rely on trade secrets to protect aspects of our business that are not amenable to, or that we do not consider appropriate for,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biotechnology and pharmaceutical companies, including ours, involve complex legal and factual questions, which in recent years have been the subject of much litigation, and, therefore, the issuance, scope, validity, enforceability and commercial value of any patent claims that we may obtain cannot be predicted with certainty. Patent applications may not be granted as issued patents in any particular jurisdiction and, even if they do, these patents may not include claims with a sufficient scope to protect our product candidates or otherwise provide any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Even if patent applications are issued, competitors and other third parties may infringe, misappropriate or otherwise violate patents and other intellectual property rights. We may not be able to prevent infringement, misappropriation or other violations of intellectual property rights, particularly in countries where the laws may not protect those rights as fully as in the United States. To counter infringement or unauthorized use, filing infringement claims may be required, which can be expensive and time-consuming and divert the attention of management and key personnel from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patents, if issued, may be challenged, deemed unenforceable, invalidated or circumvented in the United States and abroad. U.S. patents and patent applications may also be subject to interference, derivation, ex-parte re-examination, post-grant review, or inter-partes review proceedings, supplemental examination and challenges in district or other courts. Interference proceedings provoked by third parties or brought by us or our licensees may be necessary to determine the priority of inventions with respect to patents or patent applications. An unfavorable outcome could require ceasing the use of the related technology or to attempt to license rights to it from the prevailing party. Our business could be harmed if the prevailing party does not offer a license on commercially reasonable terms. Involvement in litigation or interference proceedings may fail and, even if successful, may result in substantial costs, and distract management and other employees. Furthermore, an adverse decision in an interference or derivation proceeding can result in a third party receiving the sought-out patent right, which in turn could affect the ability to develop, market or otherwise commercialize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may also be subjected to opposition, post-grant review or comparable proceedings lodged in various foreign, both national and regional, patent offices or courts. Such proceedings could result in revocation or amendment of patents in such a way that they no longer cover our product candidates or competitive products. In addition, such proceedings may be costly. Thus, any patents, should they issue, may not provide any protection against competitors.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though a patent, if it were to issue, is presumed valid and enforceable, its issuance is not conclusive as to its validity or its enforceability and it may not provide adequate protection to exclude competitors from making similar products. Even if a patent issues and is held to be valid and enforceable, competitors may be able to design around or circumvent our patents, such as by using pre-existing or newly developed technology or products in a non-infringing manner. If these developments were to occur, they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to enforce or defend patent rights, even if successful, would be costly and time-consuming and would divert the attention of management and key personnel from business operations. We may not prevail in any lawsuits that we initiate, and the damages or other remedies awarded if we were to prevail may not be commercially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proceedings to enforce or defend any patents, if and when issued, put those patents at risk of being invalidated, held unenforceable or not infringed, or interpreted narrowly. Such proceedings could also provoke third parties to assert counterclaims, including that some or all of the claims in one or more patents are invalid, not infringed or unenforceable. Grounds for a validity challenge include alleged failures to meet any of several statutory requirements, including lack of novelty, obviousness or non-enablement. Grounds for unenforceability assertions of a patent include allegations that someone connected with prosecution of the patent application that matured into the patent withheld relevant information from the U.S. Patent and Trademark Office, or the USPTO, or made a misleading statement, during prosecution of the patent application. In an infringement proceeding, a court may disagree with allegations and refuse to stop the other party from using the technology at issue on the grounds that patents do not cover the technology in question or may decide that a patent is invalid or unenforceable. An adverse result in any litigation, defense or post-grant proceedings could result in one or more patents being invalidated or interpreted narrowly. Furthermore, because of the substantial amount of discovery required in connection with intellectual property litigation, there is a risk that some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would have a material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outcome following legal assertions of invalidity and unenforceability is unpredictable. With respect to validity, for example, there cannot be certainty that there is no invalidating prior art, of which we, our licensees and the patent examiner were unaware during prosecution. If a defendant were to prevail on a legal assertion of invalidity and/or unenforceability, at least part, and perhaps all, of the patent protection on our product candidates could be lost. </w:t>
      </w:r>
    </w:p>
    <w:p>
      <w:pPr>
        <w:pStyle w:val="TextBody"/>
        <w:bidi w:val="0"/>
        <w:spacing w:before="240" w:after="0"/>
        <w:jc w:val="left"/>
        <w:rPr>
          <w:rFonts w:ascii="Times New Roman" w:hAnsi="Times New Roman"/>
          <w:sz w:val="20"/>
        </w:rPr>
      </w:pPr>
      <w:r>
        <w:rPr>
          <w:rFonts w:ascii="Times New Roman" w:hAnsi="Times New Roman"/>
          <w:sz w:val="20"/>
        </w:rPr>
        <w:t xml:space="preserve">If any patents, if and when issued, covering our product candidates are invalidated or found not infringed or unenforceable, our business, prospects, financial condition and results of operations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which may prevent or delay our product development efforts and stop us from commercializing or increase the costs of commercializing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Our success will depend in part on our ability to operate without infringing, misappropriating or otherwise violating the intellectual property and proprietary rights of third parties. Other parties may allege that our product candidates or the use of our technologies or technologies licensed by us infringe or otherwise violate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or other intellectual property rights held by them or that we are employing their proprietary technology without authorization. There may be third-party patents or patent applications with claims to compositions, materials, formulations, methods of manufacture or methods for treatment related to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industry is characterized by extensive litigation regarding patents and other intellectual property rights. Patent and other types of intellectual property litigation can involve complex factual and legal questions, and their outcome is uncertain and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does not infringe the patent claims of the relevant patent or that the patent claims are invalid or unenforceable, and we may not be able to do this. Even if we are successful in these proceedings, we may incur substantial costs and the time and attention of our management and scientific personnel could be diverted in pursuing these proceedings, which could have a material adverse effect on our business and operating results. In addition, we may not have sufficient resources to bring these actions to a successful conclusion.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avoid infringing the patent rights of others, we may be required to seek a license, defend an infringement action or challenge the validity of the patents in court, or redesign our product candidates. In addition, if any such claim were successfully asserted against us and we could not obtain such a license, we may be forced to stop or delay developing, manufacturing, selling or otherwise commercializing our product candidates.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w:t>
      </w:r>
    </w:p>
    <w:p>
      <w:pPr>
        <w:pStyle w:val="TextBody"/>
        <w:bidi w:val="0"/>
        <w:spacing w:before="240" w:after="0"/>
        <w:jc w:val="left"/>
        <w:rPr>
          <w:rFonts w:ascii="Times New Roman" w:hAnsi="Times New Roman"/>
          <w:sz w:val="20"/>
        </w:rPr>
      </w:pPr>
      <w:r>
        <w:rPr>
          <w:rFonts w:ascii="Times New Roman" w:hAnsi="Times New Roman"/>
          <w:sz w:val="20"/>
        </w:rPr>
        <w:t xml:space="preserve">Any of these risks coming to fruition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patents and other intellectual property we own or license from third parties. </w:t>
      </w:r>
    </w:p>
    <w:p>
      <w:pPr>
        <w:pStyle w:val="TextBody"/>
        <w:bidi w:val="0"/>
        <w:spacing w:before="120" w:after="0"/>
        <w:jc w:val="left"/>
        <w:rPr>
          <w:rFonts w:ascii="Times New Roman" w:hAnsi="Times New Roman"/>
          <w:sz w:val="20"/>
        </w:rPr>
      </w:pPr>
      <w:r>
        <w:rPr>
          <w:rFonts w:ascii="Times New Roman" w:hAnsi="Times New Roman"/>
          <w:sz w:val="20"/>
        </w:rPr>
        <w:t xml:space="preserve">Our employee, consultants, non-academic outside scientific collaborators and other advisors enter into confidentiality and intellectual property assignment agreements with us or have entered into confidentiality and intellectual property assignment agreements with Ironwood or third parties licensing intellectual property to us. We seek to have inventions assigned to us by the parties rendering services whenever possible. Our in-bound licenses seek to insure that all of the intellectual property licensed to us is owned by the licensor. However, we may not be able to enter into these agreements with all parties (for example with academic collaborators) or these agreements may not be honored and may not effectively assign intellectual property rights to us.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or we may have to in-license intellectual property owned by another party.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USPTO and various foreign governmental patent agencies require compliance with a number of procedural, documentary, fee payment and other similar provisions over the lifetime of owned patents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applications For in-bound licensed intellectual property rights, failure to maintain compliance with such requirements would adversely impact our rights as regards those patents and applications.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competitors or other third parties might be able to enter the market earlier than would otherwise have been the case and this circumstance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licensees and Tisento may not seek to protect our intellectual property rights in all jurisdictions throughout the world and we may not be able to adequately enforce our intellectual property rights even in the jurisdictions where we seek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statutory deadlines for pursuing patent protection in individual foreign jurisdictions are based on the priority date of each of our patent applications and we may not timely file foreign patent applications. Thus, for each of the patent families that are believed to provide coverage for our product candidates, we, and our licensees, will need to decide whether and where to pursue protection outside the United States. Filing and prosecuting patent applications and defending patents on product candidates in all countries and jurisdictions throughout the world would be prohibitively expensive, and so it is unlikely to pursue and maintain patents in all countries worldwide. As such, competitors may use technologies in jurisdictions where patent protection is not pursued and obtained to develop their own products.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foreign countries may not protect intellectual property rights to the same extent as the laws of the United States. Consequently, it may not be possible to prevent third parties from practicing our inventions in all countries outside the United States even if there is a patent in that jurisdiction. Further, a competitor may export otherwise infringing products to territories where patent protection exists, but enforcement is not as strong as that in the United States. These products may compete with our product candidates and patents or other intellectual property rights may not be effective or sufficient to prevent them from competing. Even pursuing and obtaining issued patents in particular jurisdictions, patent claims or other intellectual property rights may not be effective or sufficient to prevent third parties from so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or pharmaceuticals. This could make it difficult to stop the infringement of patents, if obtained, or the misappropriation of or marketing of competing products in violation of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patent protection might not be sought in certain countries, and there will not be a benefit of patent protection in such countries.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patent rights in foreign jurisdictions could result in substantial costs and divert efforts and attention from other aspects of our business, could put patents at risk of being invalidated or interpreted narrowly, could put patent applications at risk of not issuing, and could provoke third parties to assert claims. We, or our licensees, may not prevail in any lawsuits that we initiate, and the damages or other remedies awarded, if any, may not be commercially meaningful. Accordingly, efforts to enforce intellectual property rights around the world may be inadequate to obtain a significant commercial advantage from the intellectual property that developed or licensed.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or our licensees, do not obtain additional protection under the Drug Price Competition and Patent Term Restoration Act of 1984, or the Hatch-Waxman Act, and similar foreign legislation by extending the patent terms and obtaining data exclusivity for our product candidates, our business, prospects, financial condition and results of operations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FDA marketing approval of our product candidates, one or more of the U.S. patents owned may be eligible for a limited patent term extension under the Hatch-Waxman Act, which permits a patent term extension as compensation for patent term lost during the FDA regulatory review process. A maximum of five years can be restored to the eligible patent. In all cases, the total patent life for the product with the patent extension cannot exceed 14 years from the product’s approval date, or in other words, 14 years of potential marketing time. However, an extension might not be granted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unable to obtain a patent term extension or the term of any such extension is less than we request, the duration of patent protection obtained for our product candidates may not provide any meaningful commercial or competitive advantage, competitors may obtain approval of competing products earlier than they would otherwise be able to do so, and our ability to generate revenues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changes in U.S. patent law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if we continue to progress the development of our product candidates, our success will be heavily dependent on intellectual property, particularly patents. Obtaining and enforcing patents in the biotechnology industry involves both technological and legal complexity, and is therefore costly, time-consuming and inherently uncertain. In addition, the United States has enacted and implemented wide-ranging patent reform legislation: the Leahy-Smith America Invents Act, or the America Invents Act. The America Invents Act includes a number of significant changes to U.S. patent law. These provisions affect the way patent applications will be prosecuted and may also affect patent litigation. It is not yet clear what, if any, impact the America Invents Act will have on the operation of certain elements of our product candidates.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could weaken our ability to obtain new patents or to enforce any patents that may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damages resulting from claims that we or our employees, consultants or advisors have wrongfully used or disclosed alleged trade secrets of their current or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Our current employee and any employees we may hire in the future may have been previously employed at other biotechnology or pharmaceutical companies, including our competitors or potential competitors. We also engage and, in the future, intend to engage advisors and consultants who are concurrently employed at universities or who perform services for other entities.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claims that we or our employees, advisors or consultants or third parties from whom we license certain technologies have inadvertently or otherwise used or disclosed intellectual property, including trade secrets or other proprietary information, of a former employer or other third party. We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damages, we may lose valuable intellectual property rights or personnel. A loss of key personnel or their work product could hamper or prevent our ability to commercialize our product candidates, which would materially harm our commercial development efforts.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Future Commercialization of Our Current or Potential Future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incidence and prevalence for target patient populations of our current and any potential future product candidates we may acquire have not been established with precision. If we continue to progress the development of our product candidates and the market opportunities for our current and potential future product candidates are smaller than we estimate, or if any approval that we obtain is based on a narrower definition of the patient population, our revenue and ability to achieve profitability may be harmed. </w:t>
      </w:r>
    </w:p>
    <w:p>
      <w:pPr>
        <w:pStyle w:val="TextBody"/>
        <w:bidi w:val="0"/>
        <w:spacing w:before="120" w:after="0"/>
        <w:jc w:val="left"/>
        <w:rPr>
          <w:rFonts w:ascii="Times New Roman" w:hAnsi="Times New Roman"/>
          <w:sz w:val="20"/>
        </w:rPr>
      </w:pPr>
      <w:r>
        <w:rPr>
          <w:rFonts w:ascii="Times New Roman" w:hAnsi="Times New Roman"/>
          <w:sz w:val="20"/>
        </w:rPr>
        <w:t xml:space="preserve">The incidence and prevalence for all the conditions we aim to address with our current and any potential future programs vary considerably. Projections of both the number of people who have these diseases, as well as the subset of people with these diseases who have the potential to benefit from treatment with our product candidates, are based on beliefs and estimates. These estimates have been derived from a variety of sources, including scientific literature, surveys of clinics, patient foundations or market research, and may prove to be incorrect. Further, new trials may change the estimated incidence or prevalence of these diseases. If we continue to progress the development of our product candidates, the total addressable market across all of our product candidates will ultimately depend upon, among other things, the diagnosis criteria included in the final label for each of our product candidates, if approved for sale for these indications,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harm our results of operations and our business. Further, even if significant market share for our product candidates is obtained, because the potential target populations are very small, we may never achieve profitability despite obtaining such significant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are unable to establish sales and marketing capabilities or enter into agreements with third parties to sell and market any product candidates, if approved, we may not be successful in commercializing those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 infrastructure for the sale, marketing, market access, patient service and distribution of pharmaceutical products. In order to market our product candidates, if approved by the FDA or any other regulatory authority outside the United States, we must build our sales, marketing, managerial and other non-technical capabilities, or arrange with third parties to perform these services. 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candidate launch. If we continue to progress the development of our product candidates and commercialization is delayed or does not occur, we would have prematurely or unnecessarily incurred such expenses. This may be costly, and our investment would be lost if we cannot retain or reposition our commercialization personnel. </w:t>
      </w:r>
    </w:p>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any product candidate revenue or the profitability of that revenue may be lower than if we were to market and sell any products we may develop ourselves. In addition, we may fail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or if we are unable to do so on commercially reasonable terms, we will not be successful in commercializing our product candidates if approved and our business, prospects, financial condition and results of operations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continue to progress the development of our product candidates and ultimately obtain regulatory approval for our product candidates, our product candidates may not achieve broad market acceptance by patients, physicians, healthcare payors or others in the medical community, which would limit the revenue that we generate from their sales.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the future commercial success of our product candidates, if approved by the FDA or other applicable regulatory authorities outside the United States, will depend upon the awareness and acceptance of our product candidates among the medical community, including patients, physicians and healthcare payors. If we continue to progress the development of our product candidates and any of our product candidates are approved but do not achieve an adequate level of acceptance by patients, physicians, healthcare payors and others in the medical community, we may not generate sufficient revenue to become, or remain, profitable. Market acceptance of our product candidates, if approved, will depend on a number of factors, including, among others: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our approved product candidates as demonstrated in clinical trials;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and labeling claims for our product candidates that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for our product candidates by the FDA or other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our product candidates together with other medications or restrictions on the use of our products in certain types of patients;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effects associated with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target patient population, and the willingness of the target patient population to try new therapies and of physicians to prescribe these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safety, efficacy, cost and other potential advantages of our approved product candidates compared to other available therapies;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cost effectiveness data that supports a profitable price;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reimbursement and pricing by third-party payors and government authorities;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sufficient payor coverage;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strategies; or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our product candidates or competing products and treatments.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and our product candidates are ultimately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Efforts to educate the medical community and third-party payors about the benefits of our product candidates may require significant resources and may never be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Reimbursement may be limited or unavailable in certain market segments for our product candidates, which could make it difficult for us to sell our product candidates profitably, if we continue to progress the development of our product candidates. Price controls may be imposed in certain markets, which may harm our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market acceptance and sales of any approved product candidates will depend significantly on the availability of adequate coverage and reimbursement from third-party payors and government authorities and may be affected by existing and future health care reform measures and cost-cutting measures at the federal and state level currently proposed for Medicaid and other programs. Government authorities and third-party payors, such as private health insurers and health maintenance organizations, decide which drugs they will pay for and establish reimbursement levels. Reimbursement by a third-party payor may depend upon a number of factors, including the third-party payor’s determination that use of a product is: a covered benefit under its health plan; safe, effective and medically necessary; appropriate for the specific patient; cost-effective; and neither experimental nor investigational. </w:t>
      </w:r>
    </w:p>
    <w:p>
      <w:pPr>
        <w:pStyle w:val="TextBody"/>
        <w:bidi w:val="0"/>
        <w:spacing w:before="240" w:after="0"/>
        <w:jc w:val="left"/>
        <w:rPr>
          <w:rFonts w:ascii="Times New Roman" w:hAnsi="Times New Roman"/>
          <w:sz w:val="20"/>
        </w:rPr>
      </w:pPr>
      <w:r>
        <w:rPr>
          <w:rFonts w:ascii="Times New Roman" w:hAnsi="Times New Roman"/>
          <w:sz w:val="20"/>
        </w:rPr>
        <w:t xml:space="preserve">Obtaining coverage and reimbursement approval for a product from a government or other third-party payor is a time consuming and costly process that could require the provision of supporting scientific, clinical and cost-effectiveness data for the use of our product candidates to the payor. We or our partners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candidates. If reimbursement is not available or is available only to limited levels, we may not be able to commercialize certain of our product candidates. In addition, in the United States, third-party payors are increasingly attempting to contain health care costs by limiting both coverage and the level of reimbursement of new drugs. As a result, if we continue to progress the development of our product candidates significant uncertainty exists as to whether and how much third-party payors will reimburse patients for their use of newly approved drugs, which in turn will put pressure on the pricing of drugs. </w:t>
      </w:r>
    </w:p>
    <w:p>
      <w:pPr>
        <w:pStyle w:val="TextBody"/>
        <w:bidi w:val="0"/>
        <w:spacing w:before="240" w:after="0"/>
        <w:jc w:val="left"/>
        <w:rPr>
          <w:rFonts w:ascii="Times New Roman" w:hAnsi="Times New Roman"/>
          <w:sz w:val="20"/>
        </w:rPr>
      </w:pPr>
      <w:r>
        <w:rPr>
          <w:rFonts w:ascii="Times New Roman" w:hAnsi="Times New Roman"/>
          <w:sz w:val="20"/>
        </w:rPr>
        <w:t xml:space="preserve">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partners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 candidates is unavailable or limited in scope or amount, or if pricing is set at unsatisfactory levels, our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healthcare and other regulations, we could face substantial penalties and our business, prospects,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candidates that we may evaluate in clinical studies are subject to certain federal and state healthcare laws and regulations that may affect our business. These laws and regulations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healthcare program anti-kickback laws, which prohibit, among other things, persons from offering, soliciting, receiving or providing remuneration, directly or indirectly, as an inducement or reward for their past, current or potential future prescribing, purchase, use, recommending for use, referral, formulary placement, or dispensing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or HIPAA, which prohibits executing a scheme to defraud any healthcare benefit program or making false statements relating to healthcare matters and which also imposes certain requirements relating to the privacy, security and transmission of individually identifiable health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Food, Drug, and Cosmetic Act, which among other things, strictly regulates drug product and medical device research, development, and marketing, prohibits manufacturers from marketing or promoting such products prior to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the above federal laws, such as anti-kickback laws,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privacy and security laws in the various jurisdictions in which we operate, obtain or store personally identifiable information. For example, if we conduct clinical studies in any of the member states of the European Union, the processing of personal data in the European Economic Area, or the EEA, is subject to the 1995 Data Protection Directive, imposing strict obligations and restrictions on the ability to collect, analyze and transfer personal data. In May 2018, the General Data Protection Regulation, or the GDPR, took effect, increasing our obligations with respect to clinical studies conducted in the EEA and increasing the scrutiny applied by clinical study sites located in the EEA to transfers of personal data from such sites to countries that are considered by the European Commission to lack an adequate level of data protection, such as the United States. The compliance obligations imposed by the GDPR may increase our cost of doing business. In addition, the GDPR imposes substantial fines for breaches of data protection requirements, and it confers a private right of action on data subjects for breaches of data protection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laws described above or any other laws, rules or regulations that apply to us, we will be subject to penalties, including civil and criminal penalties, damages, fines and the curtailment or restructuring of our operations. Any penalties, damages, fines, curtailment or restructuring of our operations could impede our ability to operate our business and our financial results. We cannot be certain that compliance programs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in an environment of rapid technological and scientific change, and our competitors may achieve regulatory approval before us or develop therapies that are safer, more advanced or more effective than ours, which may harm our ability, or a licensee’s ability, to successfully market or commercialize any product candidates we may develop and ultimately harm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on our ability, or a licensee’s ability, to demonstrate and maintain a competitive advantage with respect to the design, development and commercialization of our product candidates. In many cases, our product candidates that may be commercialized will compete with existing, market-leading products. The development and commercialization of new drug products is highly competitive. We may face competition with respect to any product candidates that are developed or commercialized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product candidates do not obtain regulatory approvals in target indications prior to these or any other competing product candidates, or if our product candidates do not demonstrate superior efficacy, safety or tolerability compared to these and any other approved therapeutics for our target indications, then those product candidates may not be able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Many of our current or potential competitors, either alone or with their strategic partners, have significantly greater financial resources and expertise in research and development, manufacturing, nonclinical testing, conducting clinical studies, obtaining regulatory approvals and marketing approved products than we do. Mergers and acquisitions in the pharmaceutical and biotechnology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w:t>
      </w:r>
    </w:p>
    <w:p>
      <w:pPr>
        <w:pStyle w:val="TextBody"/>
        <w:bidi w:val="0"/>
        <w:spacing w:before="240" w:after="0"/>
        <w:jc w:val="left"/>
        <w:rPr>
          <w:rFonts w:ascii="Times New Roman" w:hAnsi="Times New Roman"/>
          <w:sz w:val="20"/>
        </w:rPr>
      </w:pPr>
      <w:r>
        <w:rPr>
          <w:rFonts w:ascii="Times New Roman" w:hAnsi="Times New Roman"/>
          <w:sz w:val="20"/>
        </w:rPr>
        <w:t>In addition, we or our licensees could face litigation or other proceedings with respect to the scope, ownership, validity and/or enforceability of our patents relating to our competitors’ products and our competitors may allege that our product candidates infringe, misappropriate or otherwise violate their intellectual property. The availability of our competitors’ products could limit the demand, and the price that could be charged, for any of our product candidates that may be developed and commercialized. See “</w:t>
      </w:r>
      <w:r>
        <w:rPr>
          <w:rFonts w:ascii="Times New Roman" w:hAnsi="Times New Roman"/>
          <w:i/>
          <w:sz w:val="20"/>
        </w:rPr>
        <w:t>-Risks Related to Our Intellectual Property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healthcare reform and other governmental and private payor initiatives, as well as the Inflation Reduction Act of 2022, may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 care availability, the method of delivery or payment for health care products and services could harm our business, operations and financial condition. There is significant interest in promoting health care reform, as evidenced by the enactment in the United States of the Patient Protection and Affordable Care Act and the Health Care and Education Reconciliation Act in 2010 and in reducing the costs of certain prescription drugs as evidenced by the Inflation Reduction Act of 2022. 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 candidates; our ability to obtain coverage and reimbursement approval for a product; our ability to generate revenues and achieve or maintain profitability; and the level of taxes that we are required to pay.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our future growth may depend, in part, on our, or a licensee’s, ability to commercialize any current and potential future product candidates outside the United States, where we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If we continue to progress the development of our product candidates, our future profitability may depend, in part, on our or a licensee’s ability to commercialize our current and any potential future product candidates outside the United States for which we may rely on partnerships with third parties. If we commercialize our product candidates outside the United States, we would be subject to additional risks and uncertainties, including: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customers’ ability to obtain reimbursement for our product candidates outside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gain reimbursement in foreign markets at a price that is profitable;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directly control commercial activities because we are relying on third parties;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import or export licensing requirements;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potentially relevant third-party intellectual property rights;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sales of our product candidates could also be harmed by the imposition of governmental controls, political and economic instability, trade restrictions and changes in tariffs.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generate meaningful revenues in jurisdictions outside of the United States may be limited due to the strict price controls and reimbursement limitations imposed by governments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or our licensees may be required to conduct a clinical trial that compares the cost-effectiveness of our product candidate to other available therapies, or to meet other criteria for pricing approval. If reimbursement of a product candidate, if approved, is unavailable or limited in scope or amount, or if pricing is set at unsatisfactory levels, our business, prospects, financial condition and results of operations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continue to progress the development of our product candidates and any of our product candidates obtain regulatory approval, additional competitors could enter the market with generic versions of such drugs, which may result in a material decline in sales of affected products. </w:t>
      </w:r>
    </w:p>
    <w:p>
      <w:pPr>
        <w:pStyle w:val="TextBody"/>
        <w:bidi w:val="0"/>
        <w:spacing w:before="120" w:after="0"/>
        <w:jc w:val="left"/>
        <w:rPr>
          <w:rFonts w:ascii="Times New Roman" w:hAnsi="Times New Roman"/>
          <w:sz w:val="20"/>
        </w:rPr>
      </w:pPr>
      <w:r>
        <w:rPr>
          <w:rFonts w:ascii="Times New Roman" w:hAnsi="Times New Roman"/>
          <w:sz w:val="20"/>
        </w:rPr>
        <w:t xml:space="preserve">Under the Hatch-Waxman Act, a pharmaceutical manufacturer may file an abbreviated new drug application, or (an “ANDA”), seeking approval of a generic copy of an approved, small-molecule innovator product. Under the Hatch-Waxman Act, a manufacturer may also submit a new drug application (“NDA”) that references the FDA’s prior approval of the small-molecule innovator product. The Hatch-Waxman Act also provides for certain periods of regulatory exclusivity.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NDA applicant that seeks to market its product before expiration of the patents must include in the ANDA a “Paragraph IV certification,” challenging the validity or enforceability of, or claiming non-infringement of, the listed patent or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if we continue to progress the development of our product candidates and any of our product candidates are approved, competitors could file ANDAs for generic versions of our small-molecule drug products or NDAs that reference our small-molecule drug products, respectively. If there are patents listed for our small-molecule drug products in the Orange Book, those ANDAs and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240" w:after="0"/>
        <w:jc w:val="left"/>
        <w:rPr>
          <w:rFonts w:ascii="Times New Roman" w:hAnsi="Times New Roman"/>
          <w:sz w:val="20"/>
        </w:rPr>
      </w:pPr>
      <w:r>
        <w:rPr>
          <w:rFonts w:ascii="Times New Roman" w:hAnsi="Times New Roman"/>
          <w:sz w:val="20"/>
        </w:rPr>
        <w:t xml:space="preserve">We may not be successful in securing or maintaining proprietary patent protection for products and technologies we or our licensees may develop or license. Moreover, if any of our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w:t>
      </w:r>
    </w:p>
    <w:p>
      <w:pPr>
        <w:pStyle w:val="TextBody"/>
        <w:bidi w:val="0"/>
        <w:spacing w:before="120" w:after="0"/>
        <w:jc w:val="left"/>
        <w:rPr>
          <w:rFonts w:ascii="Times New Roman" w:hAnsi="Times New Roman"/>
          <w:sz w:val="20"/>
        </w:rPr>
      </w:pPr>
      <w:r>
        <w:rPr>
          <w:rFonts w:ascii="Times New Roman" w:hAnsi="Times New Roman"/>
          <w:b/>
          <w:i/>
          <w:sz w:val="20"/>
        </w:rPr>
        <w:t>Our prospects for</w:t>
      </w:r>
      <w:r>
        <w:rPr>
          <w:rFonts w:ascii="Times New Roman" w:hAnsi="Times New Roman"/>
          <w:sz w:val="20"/>
        </w:rPr>
        <w:t xml:space="preserve"> </w:t>
      </w:r>
      <w:r>
        <w:rPr>
          <w:rFonts w:ascii="Times New Roman" w:hAnsi="Times New Roman"/>
          <w:b/>
          <w:i/>
          <w:sz w:val="20"/>
        </w:rPr>
        <w:t>success depend on our ability to retain Regina Graul, our President and Chief Executive Officer and in the future to attract, retain and motivate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Regina Graul, Ph.D. who is currently our sole employee. Despite our efforts to retain valuable employees, members of our management, scientific and development teams may terminate their employment with us on short notice. Our success also depends on our ability in the future to attract, retain and motivate highly skilled junior, mid-level and senior managers as well as junior, mid-level and senior scientific and medical personnel.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attract or retain qualified management and scientific personnel in the future due to the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may be able to offer. The failure to succeed in nonclinical or clinical studies may make it more challenging to recruit and retain qualified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attract and retain high quality personnel, the rate and success at which we can develop and commercialize product candidates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potential product liability exposure, and, if claims are brought against us, we may incur substantial liability. </w:t>
      </w:r>
    </w:p>
    <w:p>
      <w:pPr>
        <w:pStyle w:val="TextBody"/>
        <w:bidi w:val="0"/>
        <w:spacing w:before="120" w:after="0"/>
        <w:jc w:val="left"/>
        <w:rPr>
          <w:rFonts w:ascii="Times New Roman" w:hAnsi="Times New Roman"/>
          <w:sz w:val="20"/>
        </w:rPr>
      </w:pPr>
      <w:r>
        <w:rPr>
          <w:rFonts w:ascii="Times New Roman" w:hAnsi="Times New Roman"/>
          <w:sz w:val="20"/>
        </w:rPr>
        <w:t xml:space="preserve">The use of our current and any potential future product candidates in clinical studies and any sale thereof, if approved, exposes us to the risk of product liability claims. Product liability claims might be brought against us by patients, healthcare providers or others selling or otherwise coming into contact with our product candidates. For example, we may be sued if any such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In addition, regardless of merit or eventual outcome, product liability claims may result in, among other things: withdrawal of subjects from our clinical studies; substantial monetary awards to patients or other claimants; decreased demand for our product candidates or any future product candidates following marketing approval, if obtained; damage to our reputation and exposure to adverse publicity; increased FDA warnings on product labels; litigation costs; distraction of management’s attention from our primary business; loss of potential revenue; and the inability to successfully commercialize our product candidates or any potential future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We maintain product liability insurance coverage for our clinical studies through both domestic and international insurance policies, subject to an annual coverage limit. Nevertheless, our insurance coverage may be insufficient to reimburse us for any expenses or losses we may suffer if a judgment or settlement exceeds available insurance proceeds. Moreover, in the future, we may not be able to maintain insurance coverage at a reasonable cost or in sufficient amounts to protect us against losses, including if insurance coverage becomes increasingly expensive. If and when we obtain marketing approval for our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business, prospects, financial condition and results of operations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treatment, patients may suffer adverse events, including death, for reasons that may or may not be related to our product candidates. Such events could subject us to costly litigation, require us to pay substantial amounts of money to injured patients, delay, negatively impact or end our opportunity to receive or maintain regulatory approval to market our product candidates, if approved, or require us to suspend or abandon our commercialization efforts of any approved product candidates. Even in a circumstance in which we do not believe that an adverse event is related to our product candidates, the investigation into the circumstance may be time-consuming or inconclusive. These investigations may interrupt our sales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proper and effective internal controls, our ability to produce accurate and timely financial statements could be impaired, which could result in sanctions or other penalties that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Securities Exchange Act of 1934, or The Exchange Act, the Sarbanes-Oxley Act of 2002, or the Sarbanes-Oxley Act, and the rules and regulations of the Nasdaq Capital Market. We are a “smaller reporting company.” For so long as we remain a smaller reporting company, we will be exempt from Section 404(b) of the Sarbanes-Oxley Act, which requires auditor attestation to the effectiveness of internal control over financial reporting. As a smaller reporting company, we are exempt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 exemptions available to us as a smaller reporting company. If some investors 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are, however, subject to Section 404(a) of the Sarbanes-Oxley Act. Beginning with our annual report on Form 10-K for the fiscal year ended December 31, 2024, we must include a management assessment of the effectiveness of our internal control over financial reporting. As of the expiration of our smaller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status, we will be broadly subject to enhanced reporting and other requirements under the Exchange Act and Sarbanes-Oxley Act.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There can be no assurances that in future periods we will be able to timely conclude that our internal control over financial reporting is effective as required by Section 404(a). </w:t>
      </w:r>
    </w:p>
    <w:p>
      <w:pPr>
        <w:pStyle w:val="TextBody"/>
        <w:bidi w:val="0"/>
        <w:spacing w:before="240" w:after="0"/>
        <w:jc w:val="left"/>
        <w:rPr>
          <w:rFonts w:ascii="Times New Roman" w:hAnsi="Times New Roman"/>
          <w:sz w:val="20"/>
        </w:rPr>
      </w:pPr>
      <w:r>
        <w:rPr>
          <w:rFonts w:ascii="Times New Roman" w:hAnsi="Times New Roman"/>
          <w:sz w:val="20"/>
        </w:rPr>
        <w:t xml:space="preserve">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business, prospects, financial condition and results of operations could be harmed, our investors could lose confidence in our reported financial information, the market price of our stock could decline, and we could be subject to sanctions or investigations by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and political conditions could harm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harmed by general conditions in the global economy and in the global financial markets as well as adverse economic conditions caused by political unrest or loss of government funding for product candidates. A severe or prolonged economic downturn and severe political disruption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CRO and other third parties upon which we rely, are or were compromised, we could experience adverse impacts resulting from such compromise, including, but not limited to, regulatory investigations or actions; litigation; fines and penalties; interruptions to our commercial operations, clinical trials or other operations; harm to our reputation; loss of revenue or profits; loss of sales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our third-party service providers may process proprietary, confidential, and sensitive data, including personal data (such as health-related data and data related to our clinical trials), intellectual property,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“hacktivists”,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products. We and the third parties upon which we rely may be subject to a variety of other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ability to provide our products,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prohibit such payments). Additionally, hybrid and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upon third parties and technologies to operate critical business systems to process sensitive information in a variety of contexts, including, without limitation, third-party providers of cloud-based infrastructure, encryption and authentication technology, employee email, and other functions. We also rely on third parties to provide certain products, including active pharmaceutical ingredients, to operate our business. Our ability to monitor these third parties’ information security practices is limited, and these third parties may not have adequate information security measures in place. While we may be entitled to damages if the third parties upon which we rely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share or receive sensitive information with or from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require us to implement and maintain specific security measures, industry-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 or reasonable security measures to protect our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security and public company disclosure obligations may require us to notify relevant stakeholders of certain security incidents, including affected individuals, customers, regulators and investors.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For example, the loss of clinical trial data from completed or ongoing clinical trials for any of our product candidates could result in delays in our regulatory approval efforts and significantly increase our costs to recover or reproduce the data. </w:t>
      </w:r>
    </w:p>
    <w:p>
      <w:pPr>
        <w:pStyle w:val="TextBody"/>
        <w:bidi w:val="0"/>
        <w:spacing w:before="240" w:after="0"/>
        <w:jc w:val="left"/>
        <w:rPr>
          <w:rFonts w:ascii="Times New Roman" w:hAnsi="Times New Roman"/>
          <w:sz w:val="20"/>
        </w:rPr>
      </w:pPr>
      <w:r>
        <w:rPr>
          <w:rFonts w:ascii="Times New Roman" w:hAnsi="Times New Roman"/>
          <w:sz w:val="20"/>
        </w:rPr>
        <w:t xml:space="preserve">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customer, investor or partner confidence in the effectiveness of our cybersecurity measures, diversion of management’s attention, governmental investigations, lawsuits, and the expenditure of significant capital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our insurance coverage may not be adequate or sufficient to protect us from or to mitigate liabilities arising out of our privacy and security practices or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us or our customers could also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 or future employees may engage in misconduct or other improper activities, including violating applicable regulatory standards and requirements or engaging in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employee fraud or other misconduct. Misconduct by employees could include intentional failures to comply with the regulations of the FDA and applicable foreign regulators, provide accurate information to the FDA and applicable foreign regulators, comply with healthcare fraud and abuse laws and regulations in the United States and abroad, report financial information or data accurately and/or disclose unauthorized activities to us. In particular, research and development, commercialization and business arrangements in the healthcare industry are subject to considerable laws and regulations intended to prevent fraud, misconduct, kickbacks, self-dealing and other abusive practices. These laws and regulations restrict, regulate or prohibit a wide range of activities pertaining to clinical trials including the informed consent process, data integrity and conducting the study in accordance with the investigational plan, and for approved products,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our reputation.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possible exclusions from participation in Medicare, Medicaid and other U.S. federal healthcare programs, contractual damages and reputational harm.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contract manufacturers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violations of the U.S. Foreign Corrupt Practices Act, or the FCPA, and other worldwide anti-bribery laws.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includes interactions with certain healthcare professionals in many countries. Other countries have enacted similar anti-corruption laws and/or regulations. In some countries in which we operate, the pharmaceutical and life sciences industries are exposed to a high risk of corruption associated with the conduct of clinical trials and other interactions with healthcare professionals and institutions. Any such activities could expose us to potential liability under the FCPA, which may result in us incurring significant criminal and civil penalties and to potential liability under the anti-corruption laws and regulations of other jurisdictions in which we operate. In addition, the costs we may incur in defending against an FCPA investigation could be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be delisted from Nasdaq, which would seriously harm the liquidity of our stock and ability to raise capital. </w:t>
      </w:r>
    </w:p>
    <w:p>
      <w:pPr>
        <w:pStyle w:val="TextBody"/>
        <w:bidi w:val="0"/>
        <w:spacing w:before="120" w:after="0"/>
        <w:jc w:val="left"/>
        <w:rPr>
          <w:rFonts w:ascii="Times New Roman" w:hAnsi="Times New Roman"/>
          <w:sz w:val="20"/>
        </w:rPr>
      </w:pPr>
      <w:r>
        <w:rPr>
          <w:rFonts w:ascii="Times New Roman" w:hAnsi="Times New Roman"/>
          <w:sz w:val="20"/>
        </w:rPr>
        <w:t>On June 1, 2022, the Company received a notice from the Nasdaq Stock Market (“Nasdaq”) notifying the Company that the closing bid price for the Company’s common stock listed on Nasdaq has been below the minimum $1.00 per share required for continued listing on the Nasdaq Global Select Market pursuant to Nasdaq Listing Rule 5450(a)(1) (the “Bid Price Requirement”).</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Nasdaq Listing Rule 5810(c)(3)(A), the Company was provided a period of 180 calendar days, or until November 28, 2022, to regain compliance with the Bid Price Requirement. The Company did not regain compliance with the Bid Price Requirement by the initial compliance date. On November 29, 2022, however, Nasdaq notified the Company of its eligibility for an additional 180 calendar day period, or until May 29, 2023 (the “Extended Compliance Date”), to regain compliance with the Bid Price Requirement. Nasdaq’s determination was based on the Company meeting the continued listing requirement for market value of publicly held shares and all other applicable requirements for initial listing on the Nasdaq Capital Market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exception of the Bid Price Requirement, and the Company’s written notice of its intention to cure the deficiency during the second compliance period by effecting a reverse stock split, if necessary. Effective November 25, 2022, the Company transferred its listing of the Company’s common stock from the Nasdaq Global Market to the Nasdaq Capital Market, a continuous trading market that operates in substantially the same manner as the Nasdaq Global Market. The Company’s common stock continues to trade under the symbol “CYCN”. </w:t>
      </w:r>
    </w:p>
    <w:p>
      <w:pPr>
        <w:pStyle w:val="TextBody"/>
        <w:bidi w:val="0"/>
        <w:spacing w:before="240" w:after="0"/>
        <w:jc w:val="left"/>
        <w:rPr>
          <w:rFonts w:ascii="Times New Roman" w:hAnsi="Times New Roman"/>
          <w:sz w:val="20"/>
        </w:rPr>
      </w:pPr>
      <w:r>
        <w:rPr>
          <w:rFonts w:ascii="Times New Roman" w:hAnsi="Times New Roman"/>
          <w:sz w:val="20"/>
        </w:rPr>
        <w:t xml:space="preserve">We effected a 20:1 reverse stock split in May 2023. As a result, we have regained compliance with the Bid Price Requirement. If the Company does not regain compliance with the Bid Price Requirement in the future, the Company’s stock will again be subject to delisting. As a result of amendments in October 2024 to the Nasdaq delisting procedures, NASDAQ now may automatically delist companies which conduct multiple reverse stock splits in any 12-month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monitor the closing bid price of its common stock and may, if appropriate, consider available options to regain compliance with the Bid Price Requirement, including initiating a reverse stock split. However, there can be no assurance that the Company will be able to maintain compliance with the Bid Price Requirement, would receive sufficient shareholder support for a reverse stock split, or will otherwise be in compliance with other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Nasdaq refiled with the SEC an application to allow Nasdaq to delist certain companies from the Nasdaq Capital Market and Nasdaq Global Market where companies with a market value of listed securities below $5 million for 30 consecutive business days face immediate suspension and delisting, without the usual compliance period or automatic stay (the “Proposed Market Value Rule”). The SEC has requested comments on the proposed application. The comment period for public comments ended on February 19, 2026, after which time the SEC may elect to accept the Nasdaq proposal. If approved by the SEC, the rule will become effective within 45 days of publication in the Federal Register, or within up to 90 days if extended by the SEC pursuant to Section 19(b)(2) of the Exchange Act. Currently, the Company would not meet the requirements of the Proposed Market Value Rule and if the Proposed Market Value Rule is approved, the Company may not meet the requirements under the Proposed Market Value Rule to maintain its current listing on the Nasdaq Capital Market. The loss of the Company’s listing on the Nasdaq Capital Market would result in the Company’s common stock trading on the OTC Market, which could adversely affect the market price of the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fluctuate widely and you could lose all or part of your investment in our common stock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our common stock has fluctuated widely, and may in the future fluctuate widely, depending upon many factors, some of which are beyond our control, including the following: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raise additional capital on a timely basis and the terms on which we raise any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relatively low public float for our shares of common stock, which could cause trades of small blocks of shares to have a significant impact on the price of our shares of common stock;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and timing of nonclinical studies and clinical studies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performance of our product candidates, those out-licensed to third parties and the Transferred Assets sold to Tisento, if approved, as well as the costs associated with such activities;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studies of our competitors’ products;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protect our trade secrets;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commencement or termination of any strategic partnership or licensing arrangement;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with respect to our product candidates or our competitors’ products, including any developments, litigation or public concern about the safety of such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product development results, including clinical trial results, the introduction of new products or intellectual property rights of us or others;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financial condition and our quarterly and annual operating results;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deviations in our operating results from any guidance we may provide or the estimates of securities analysts;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additions and departures of key personnel;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passage of legislation or other regulatory developments affecting us or our industry;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our insiders or our other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strategic decisions by us or our competitors, such as acquisitions, divestitures, spin-offs, joint ventures, strategic investments or changes in business strategy;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by securities analysts about us or our competitors or our industry and speculation regarding our company or our stock price in the financial or scientific press or in online investor communities;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conditions in the pharmaceutical and biotechnology sector;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Nasdaq’s rules, which impose certain continued listing requirements, including a minimum $1 bid price, and the Proposed Market Value Rule, such that a failure to meet these requirements would lead Nasdaq to take further steps to delist our common stock; and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and economic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market for stocks in our industry or industries related to our industry, or the stock market in general, experiences a loss of investor confidence, the trading price of our common stock could decline for reasons unrelated to our business, results of operations, financial condition and prospects. If any of the foregoing occurs, it could cause our stock price to fall and may expose us to lawsuits that, even if unsuccessful, could be costly to defend and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our common stock is particularly volatile.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our common stock is characterized by significant price volatility when compared to seasoned issuers, and we expect that our stock price will continue to be more volatile than those of a seasoned issuer. Several factors cause the volatility in our share price. We are a speculative or “risky” investment due to our short operating history, lack of revenues and the uncertain success (including of regulatory approval) of any of our product candidates. As a consequence of this risk, more risk-averse investors may, under the fear of losing all or most of their investment in the event of negative news or lack of progress, be more inclined to sell their shares of our common stock more quickly and at greater discounts than would be the case with the stock of a seasoned issuer. Plaintiffs have, in the past, initiated securities class action litigation against a company following periods of volatility in the market price of its securities. We may in the future be the target of such litigation. Securities litigation could result in substantial costs and liabilities and could divert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We run the risk of inadvertently being deemed an investment company required to register under the Investment Company Act of 1940.</w:t>
      </w:r>
    </w:p>
    <w:p>
      <w:pPr>
        <w:pStyle w:val="TextBody"/>
        <w:bidi w:val="0"/>
        <w:spacing w:before="120" w:after="0"/>
        <w:jc w:val="left"/>
        <w:rPr>
          <w:rFonts w:ascii="Times New Roman" w:hAnsi="Times New Roman"/>
          <w:sz w:val="20"/>
        </w:rPr>
      </w:pPr>
      <w:r>
        <w:rPr>
          <w:rFonts w:ascii="Times New Roman" w:hAnsi="Times New Roman"/>
          <w:sz w:val="20"/>
        </w:rPr>
        <w:t xml:space="preserve">We run the risk of inadvertently being deemed an investment company required to register under the Investment Company Act of 1940 (the “Investment Company Act”) because a significant portion of our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consists of investments in companies in which we own less than a majority interest. The risk varies depending on events beyond our control, such as significant appreciation or depreciation in the market value of certain of our publicly traded holdings, adverse developments with respect to our ownership of certain of our subsidiaries, transactions involving the sale of certain assets and our participation in any partnership or other fund established to finance future broadband and real estate projects in which we may engage. If we are deemed to be an inadvertent investment company, we may seek to rely on a safe harbor under the Investment Company Act that would provide us a one-year grace period to take steps to avoid being deemed to be an investment company. In order to ensure we avoid being deemed an investment company, we have taken, and may need to continue to take, steps to reduce the percentage of our assets that constitute investment assets under the Investment Company Act. These steps have included, among others, selling marketable securities that we might otherwise hold for the long term and deploying our cash in non-investment assets. We may be forced to sell our investment assets at unattractive prices or to sell assets that we otherwise believe benefit our business in the future to remain below the requisite threshold. We may also seek to acquire additional non-investment assets to maintain compliance with the Investment Company Act, and we may need to incur debt, issue additional equity or enter into other financing arrangements that are not otherwise attractive to our business. Any of these actions could have a material adverse effect on our results of operations and financial condition.</w:t>
      </w:r>
    </w:p>
    <w:p>
      <w:pPr>
        <w:pStyle w:val="TextBody"/>
        <w:bidi w:val="0"/>
        <w:spacing w:before="240" w:after="0"/>
        <w:jc w:val="left"/>
        <w:rPr>
          <w:rFonts w:ascii="Times New Roman" w:hAnsi="Times New Roman"/>
          <w:sz w:val="20"/>
        </w:rPr>
      </w:pPr>
      <w:r>
        <w:rPr>
          <w:rFonts w:ascii="Times New Roman" w:hAnsi="Times New Roman"/>
          <w:sz w:val="20"/>
        </w:rPr>
        <w:t xml:space="preserve">Moreover, we can make no assurance that we would successfully be able to take the necessary steps to avoid being deemed to be an investment company in accordance with the safe harbor. If we were unsuccessful, then we would have to register as an investment company, and we would be unable to operate our business in its current form. We would be subject to extensive, restrictive, and potentially adverse statutory provisions and regulations relating to, among other things, operating methods, management, capital structure, indebtedness, dividends, and transactions with affiliates. If we were deemed to be an investment company and did not register as an investment company when required to do so, there would be a risk, among other material adverse consequences, that we could become subject to monetary penalties or injunctive relief, or both, that we would be unable to enforce contracts with third parties, and/or that third parties could seek to obtain rescission of transactions with us undertaken during the period in which we were an unregistered investment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in the interpretation and application of existing, new and proposed tax laws and regulations could materially affect our tax obligations and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of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in future years we may experience a material decrease in our cash flows from operations and an offsetting similarly sized increase in our net deferred tax assets over these amortization periods. The actual impact of this provision will depend on multiple factors, including the amount of research and development expenses we will incur and whether we conduct our research and development activities inside or outside the United States and our overall net operating loss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net operating loss carryforwards and certain other tax attributes to offset future taxable income and taxes may be subject to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our federal net operating losses (“NOLs”) generated in tax years beginning after December 31, 2017, may be carried forward indefinitely, but the deductibility of such federal NOLs is limited to 80% of taxable income. As of December 31, 2025, we had federal NOLs of $211 million. It is uncertain if and to what extent various states will conform to federal tax laws.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possible that we have experienced an ownership change in the past. In addition, we may experience ownership changes in the future as a result of subsequent shifts in our stock ownership, some of which may be outside of our control, as well as the issuance of additional securities if we are successful in raising equity capital.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federal NOL carryforwards may be subject to a percentage limitation if used to offset income in tax years following an ownership change. In addition, it is possible that we have in the past undergone, and in the future may undergo, additional ownership changes that could limit our ability to use all of our pre-change NOL carryforwards and other pre-change tax attributes (such as research tax credits) to offset our post-change income or taxes.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state taxes owed. As a result, we may be unable to use all or a material portion of our NOL carryforwards and other tax attributes, which would harm our future operating results by effectively increasing our future tax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maintain our cash at financial institutions, often in balances that exceed federally insured limits. </w:t>
      </w:r>
    </w:p>
    <w:p>
      <w:pPr>
        <w:pStyle w:val="TextBody"/>
        <w:bidi w:val="0"/>
        <w:spacing w:before="120" w:after="0"/>
        <w:jc w:val="left"/>
        <w:rPr>
          <w:rFonts w:ascii="Times New Roman" w:hAnsi="Times New Roman"/>
          <w:sz w:val="20"/>
        </w:rPr>
      </w:pPr>
      <w:r>
        <w:rPr>
          <w:rFonts w:ascii="Times New Roman" w:hAnsi="Times New Roman"/>
          <w:sz w:val="20"/>
        </w:rPr>
        <w:t xml:space="preserve">We maintain the majority of our cash and cash equivalents in accounts at banking institutions in the United States that we believe are of high quality. Cash held in these accounts often exceeds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fail to initiate or maintain coverage of our stock, publish a negative report or change their recommendations regarding our stock adversely,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our business, our market or our competitors. Currently, no industry analysts cover our stock. If securities or industry analysts fail to initiate coverage of our stock, the lack of exposure to the market could cause our stock price or trading volume to decline. If any of the analysts who cover us or may cover us in the future publish a negative report or change their recommendation regarding our stock adversely, or provide more favorable relative recommendations about our competitors, our stock price would likely decline. If any analyst who covers us or may cover us in the future were to cease coverage of our company or fail to regularly publish reports on us, we could lose visibility in the financial markets,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any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paid cash dividends and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anti-takeover provisions in our articles of organization and bylaws and are subject to provisions of Massachusetts law that may frustrate any attempt to remove or replace our current board of directors or to effect a change of control or other business combination involving 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and bylaws and certain provisions of Massachusetts law may discourage certain types of transactions involving an actual or potential change of control of our company that might be beneficial to us or our security holders. For example, our bylaws grant our directors the right to adjourn any meetings of shareholders.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articles of organization designate the state and federal courts located within the Commonwealth of Massachusetts as the sole and exclusive forum for certain types of actions and proceedings that may be initiated by our shareholders, which could discourage lawsuits against us and our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articles of organization designate the state and federal courts located within the Commonwealth of Massachusetts as the sole and exclusive forum for any derivative action or proceeding brought on our behalf, any action asserting a claim of breach of a fiduciary duty owed by any of our directors or officers to us or our shareholders, creditors or other constituents, any action asserting a claim arising pursuant to any provision of the Massachusetts Business Corporation Act, or the MBCA, or any action asserting a claim governed by the internal affairs doctrine, in all cases subject to the court’s having personal jurisdiction over the indispensable parties named as defendants. In addition, our articles of organization provide that unless our board of directors consents in writing to the selection of an alternative forum, the U.S. federal district courts shall be the exclusive forum for the resolutions of any complaint asserting a cause of action arising under the U.S. federal securities laws. This exclusive forum provision may limit the ability of our shareholders to bring a claim in a judicial forum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find favorable for disputes with us or our directors or officers, which may discourage such lawsuits against the company and our directors and officers. Alternatively, if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jurisdictions, which could harm our business, prospects,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Korsana’s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is a preclinical stage biotechnology company with a limited operating history on which to assess its business; Korsana has not completed any clinical trials, and it has no products approved for commercial sale, which may make it difficult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Korsana is a preclinical stage biotechnology company with a limited operating history. Since its inception, Korsana has incurred operating losses with no corresponding revenue and has utilized substantially all of its resources to identify and develop its product candidates, organize and staff its company, and provide other general and administrative support for its operations. Korsana has no significant experience as a company in initiating, conducting, or completing preclinical studies or clinical trials. In part because of this lack of experience, Korsana cannot be certain that its preclinical studies or clinical trials will begin or be completed on time, if at all. In addition, Korsana has not yet demonstrated an ability to obtain regulatory approvals, manufacture a commercial-scale product, or arrange for a third party to do so on its behalf, or conduct sales, marketing, and distribution activities necessary for successful product commercialization. Consequently, any predictions about Korsana’s future success or viability may not be as accurate as they could be if Korsana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Korsana’s business grows, Korsana may encounter unforeseen expenses, restrictions, difficulties, complications, delays, and other known and unknown factors. Korsana will need to transition at some point from a company with an early research and development focus to a company capable of supporting larger scale clinical trials and eventually commercial activities. Korsana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the Korsana Pre-Closing Financing are successful, Korsana will require substantial additional capital to finance its operations in the future. If Korsana is unable to raise such capital when needed, or on acceptable terms, Korsana may be forced to delay, reduce, and/or eliminate one or more of its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Korsana expects its expenses to increase in connection with its ongoing activities, particularly as Korsana conducts preclinical studies and clinical trials of, and seeks regulatory approval for, its product candidates, and advances discovery efforts with respect to its research and development programs, and advances any future programs and product candidates that Korsana may license. Even if one or more of the programs that Korsana develops is approved for commercial sale, Korsana anticipates incurring significant costs associated with sales, marketing, manufacturing, and distribution activities to launch any such product. Korsana’s expenses could increase beyond expectations if Korsana is required by the FDA or other regulatory agencies to perform preclinical studies or clinical trials in addition to or more expansive than those that Korsana currently anticipates. Because the design and outcome of Korsana’s planned and anticipated clinical trials are highly uncertain, Korsana cannot reasonably estimate the actual amount of funding that will be necessary to successfully complete the development and commercialization of any program Korsana develops. Korsana’s future capital requirements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design, progress, results, and costs of discovery and preclinical and clinical development for Korsana’s product candidates;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completing clinical and commercial-scale manufacturing activities;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defending, and enforcing Korsana’s intellectual property and proprietary rights, and defending intellectual property-related claims, including claims of infringement, misappropriation, or other violations of third-party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the regulatory review of Korsana’s product candidates and obtaining the requisite regulatory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Korsana’s future commercialization activities, either on its own or in collaboration with others, including product sales, marketing, manufacturing, and distribution for any product candidate for which Korsana receives regulatory approval;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product candidates for which Korsana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Korsana’s current or future collaborations, including its collaboration with Paragon and Paragon Laboratories pursuant to the Paragon ADOA and Paragon Research Letter Agreement, respectively, and the success of the Paragon License Agreement and any future license agreements Korsana enters into with Paragon;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establish and maintain additional collaborations on favorable terms, if at all;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in-licenses products, intellectual property, and technologies;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operational, financial and management information systems and associated personnel; and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Korsana will require substantial additional funding to continue its operations. As of December 31, 2025 and March 31, 2026, Korsana had $154.1 million and $134.1 million in cash and cash equivalents, respectively. Korsana expects that its existing cash and cash equivalents, and investments, combined with the gross proceeds of approximately $380.0 million from the Korsana Pre-Closing Financing, will be sufficient to fund the Combined Company’s operating expenses and capital expenditure requirements into 2029. Even if the Merger and the Korsana Pre-Closing Financing are successful, Korsana will still need to raise additional capital to continue to fund its operations in the future. If Korsana is unable to raise additional capital when needed, that could raise substantial doubt about Korsana’s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Korsana may be required to seek additional funds sooner than planned through public or private equity offerings, debt financings, collaborations and licensing arrangements, or other sources, and adequate additional financing may not be available to Korsana on acceptable terms, or at all. Such financing may dilute Korsana’s stockholders or the failure to obtain such financing may restrict Korsana’s operating activities. Any additional fundraising efforts may divert Korsana’s management from their day-to-day activities, which may adversely affect Korsana’s business. To the extent that Korsana raises additional capital through the sale of equity or convertible debt securities, the ownership interest of Korsana’s stockholders will be diluted, and the terms may include liquidation or other preferences and anti-dilution protections that adversely affect the rights of Korsana’s stockholders. Debt financing may result in the imposition of debt covenants, increased fixed payment obligations or other restrictions that may affect Korsana’s business. If Korsana raises additional funds through upfront payments or milestone payments pursuant to future collaborations with third parties, Korsana may have to relinquish valuable rights to Korsana’s product candidates, or grant licenses on terms that are not favorable to Korsana. Korsana’s ability to raise additional capital may be adversely impacted by global macroeconomic conditions and volatility in the credit and financial markets in the United States and worldwide. Korsana’s failure to raise capital as and when needed or on acceptable terms would have a negative impact on Korsana’s financial condition and Korsana’s ability to pursue its business strategy, and Korsana may have to delay, reduce the scope of, suspend, or eliminate one or more of its product candidates, clinical trials, or future commercialization efforts or cease Korsana’s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expects to continue to incur losses for the foreseeable future and may not be able to achieve or sustain profitability in the future. Korsana has no products approved for sale, has not generated any revenue from its product candidates, and may never generate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capital expenditures and significant risks that any product candidate will fail to demonstrate adequate efficacy or an acceptable safety profile, gain regulatory approval, and become commercially viable. Korsana has no products approved for commercial sale, has not generated any revenue from product sales to date, and continues to incur significant research and development and other expenses related to Korsana’s ongoing operations. Korsana does not expect to generate product revenue unless or until Korsana successfully completes preclinical and clinical development and obtains regulatory approval for, and then successfully commercializes, at least one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may never succeed in these activities and, even if it does, may never generate revenues that are significant or large enough to achieve profitability. If Korsana is unable to raise sufficient additional capital to advance a product candidate to commercialization or generate sufficient revenue through the sale of any approved products, Korsana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Korsana incurred significant net losses in each period since it commenced operations in November 2024. Korsana generated net losses of $35.7 million for the period from November 2024 (inception) to December 31, 2025 and a net loss of $13.5 million during the three months ended March 31, 2026. As of December 31, 2025, Korsana had an accumulated deficit of $35.7 million. Korsana expects to continue to incur losses for the foreseeable future. Korsana’s operating expenses and net losses may fluctuate significantly from quarter to quarter and year to year. Korsana anticipates that its expenses will increase substantially if and as Korsana: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future product candidates through preclinical and clinical development;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product candidates;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Korsana’s product candidates;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payments to Paragon under the Paragon License Agreement and Paragon ADOA, and to Paragon Laboratories under the Paragon Research Letter Agreement, and under any additional future collaboration or license agreements that Korsana enters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drug products for which Korsana may obtain regulatory approval, either on its own or in collaboration with others;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Korsana’s product development;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clinical and commercial-scale current good manufacturing practices (“cGMP”) capabilities through a third-party or Korsana’s own manufacturing facility; and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operates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Korsana’s expenses will increase if, among other things, it is required by the FDA or other regulatory authorities to perform clinical trials or studies in addition to, or different than, those that Korsana currently anticipates, there are any delays in completing Korsana’s clinical trials or the development of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there are any third-party challenges to Korsana’s intellectual property or Korsana needs to defend against any intellectual property-related claim. </w:t>
      </w:r>
    </w:p>
    <w:p>
      <w:pPr>
        <w:pStyle w:val="TextBody"/>
        <w:bidi w:val="0"/>
        <w:spacing w:before="240" w:after="0"/>
        <w:jc w:val="left"/>
        <w:rPr>
          <w:rFonts w:ascii="Times New Roman" w:hAnsi="Times New Roman"/>
          <w:sz w:val="20"/>
        </w:rPr>
      </w:pPr>
      <w:r>
        <w:rPr>
          <w:rFonts w:ascii="Times New Roman" w:hAnsi="Times New Roman"/>
          <w:sz w:val="20"/>
        </w:rPr>
        <w:t xml:space="preserve">Even if Korsana obtains regulatory approval for, and is successful in commercializing, one or more of Korsana’s product candidates, Korsana expects to incur substantial additional research and development and other expenditures to develop and market additional product candidates and/or to expand the approved indications of any marketed product. Korsana may encounter unforeseen expenses, difficulties, complications, delays, and other unknown factors that may adversely affect its business. The size of Korsana’s future net losses will depend, in part, on the rate of future growth of Korsana’s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Korsana’s failure to become profitable would decrease its value and could impair its ability to raise capital, maintain its research and development efforts, expand its business, and/or continue its operations. A decline in the value of the Combined Company’s stock could also cause stockholders to lose all or part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faces competition from entities that have developed or may develop product candidates for the diseases addressed by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drugs is highly competitive. Korsana’s product candidates, if approved, will face significant competition and Korsana’s failure to effectively compete may prevent it from achieving significant market penetration. Korsana competes with a variety of multinational biopharmaceutical companies, specialized biotechnology companies, and emerging biotechnology companies, as well as academic institutions, governmental agencies, and public and private research institutions, among others. 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Many of the companies with which Korsana is currently competing or will compete against in the future have significantly greater financial resources and expertise in research and development, manufacturing, preclinical testing, conducting clinical trials, obtaining regulatory approvals, and commercialization than Korsana does, and are further along in the clinical development and/or commercialization process. Mergers and acquisitions in the pharmaceutical and biotechnology industry may result in even more resources being concentrated among a smaller number of Korsana’s competitors. Smaller or early-stage companies may also prove to be significant competitors, particularly through collaborative arrangements with large and established companies. These competitors also compete with Korsana in recruiting and retaining qualified scientific and management personnel, establishing clinical trial sites, raising capital, enrolling patients in clinical trials, establishing and defending rights to intellectual property, as well as in acquiring technologies complementary to, or necessary for,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Korsana’s competitors have developed or are developing, and may in the future develop, product candidates or products competitive with Korsana’s product candidates. Competitive therapeutic treatments include those that have already been approved and accepted by the medical community and any potential new treatments, including those currently under clinical development. Korsana’s success will depend partially on its ability to develop and commercialize products that have a competitive safety, efficacy, dosing, and/or presentation profile. Korsana’s commercial opportunity and success will be reduced or eliminated if competing products are safer, more effective, less expensive, or have a more attractive dosing profile or presentation than the products Korsana develops, or if competitors develop products or biosimilars that enter the market more quickly than Korsana and gain market acceptance. Conversely, the lack of commercial success of other competing therapies may raise concerns about the financial viability of Korsana’s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the competitive landscape for Alzheimer’s disease, Korsana may also face competition for establishing clinical trial sites and enrolling patients. Patient enrollment will depend on many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factors, including if potential clinical trial patients choose to undergo treatment with approved products or enroll in competitors’ ongoing clinical trials for product candidates that are under development for the same indications as Korsana’s product candidates. An increase in the number of approved products for the indications Korsana is targeting with its product candidates will likely further exacerbate this competition. Korsana’s inability to enroll a sufficient number of patients could, among other impacts, delay Korsana’s development timeline, which may further harm Korsana’s competitive position. </w:t>
      </w:r>
    </w:p>
    <w:p>
      <w:pPr>
        <w:pStyle w:val="TextBody"/>
        <w:bidi w:val="0"/>
        <w:spacing w:before="320" w:after="0"/>
        <w:jc w:val="left"/>
        <w:rPr>
          <w:rFonts w:ascii="Times New Roman" w:hAnsi="Times New Roman"/>
          <w:b/>
          <w:i/>
          <w:sz w:val="20"/>
        </w:rPr>
      </w:pPr>
      <w:r>
        <w:rPr>
          <w:rFonts w:ascii="Times New Roman" w:hAnsi="Times New Roman"/>
          <w:b/>
          <w:i/>
          <w:sz w:val="20"/>
        </w:rPr>
        <w:t xml:space="preserve">Korsana’s programs are in the preclinical and clinical stages of development and may fail in development or suffer delays that materially and adversely affect Korsana’s viability. If Korsana or its future collaborators are unable to complete development of or commercialize Korsana’s product candidates, or experience significant delays in doing so, Korsana’s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Korsana has no commercially approved products. Korsana’s programs are in the preclinical and clinical stages of development, and Korsana has not completed any clinical trials. As a result, Korsana expects it will be many years before Korsana commercializes any product candidate, if ever. Korsana’s ability to achieve and sustain profitability depends on obtaining regulatory approvals for, and successfully commercializing, Korsana’s product candidates, either alone or with third parties, and Korsana cannot guarantee that it will ever obtain regulatory approval for any of its product candidates. Korsana has not yet demonstrated its ability to complete any clinical trials, obtain regulatory approvals, manufacture a commercial-scale product or arrange for a third party to do so on Korsana’s behalf, or conduct sales and marketing activities necessary for successful product commercialization. Before obtaining regulatory approval for the commercial distribution of any product candidate, Korsana or an existing or future collaborator must conduct extensive preclinical tests and clinical trials to demonstrate the safety and efficacy in humans of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Korsana or its collaborators may experience delays in initiating or completing preclinical studies or clinical trials. Korsana or its collaborators also may experience numerous unforeseen events during, or as a result of, any future preclinical studies or clinical trials that Korsana could conduct that could delay or prevent Korsana’s ability to receive regulatory approval or commercialize its product candidates,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such as the FDA, institutional review boards (“IRBs”), or comparable foreign regulatory authorities may not authorize Korsana or its investigators to commence a clinical trial or conduct a clinical trial at a prospective trial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deviate from the trial protocol, fail to conduct trials in a compliant manner, or drop out of a trial, which may require that Korsana add new clinical trial sites or investigators or otherwise negatively impact the timing or integrity of Korsana’s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candidates may fail to show safety or efficacy, or may produce negative or inconclusive results and Korsana may decide, or regulators may require Korsana, to conduct additional preclinical studies or clinical trials or Korsana may decide to abandon a product development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product candidates may be larger than Korsana can anticipate, and enrollment in these clinical trials may be slower than Korsana anticipates or subjects may drop out of these clinical trials or fail to return for post-treatment follow-up at a higher rate than Korsana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third-party contractors may fail to comply with regulatory requirements or meet their contractual obligations to Korsana in a timely manner, or at all, or may deviate from the clinical trial protocol or suffer other quality or performance issues that negatively impact the timing or integrity of Korsana’s clinical trial(s);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elect to, or regulators, IRBs or ethics committees may require that Korsana or its investigators, suspend or terminate clinical research or trials for various reasons, including noncompliance with regulatory requirements or a finding that the participants in Korsana’s clinical trials are being exposed to unacceptable health risks;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Korsana’s product candidates may be greater than Korsana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Korsana’s product candidates or other materials necessary to conduct clinical trials of Korsana’s product candidates may be inadequate to initiate or successfully complete a given clinical trial;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be unable to manufacture sufficient quantities of its product candidates for use in clinical trials;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concerns about Korsana’s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fail to establish an appropriate safety profile for a product candidate based on preclinical or clinical data for such product candidate as well as data emerging from other therapies in the same class as such product candidate;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Korsana to submit additional data, such as long-term toxicology studies, or impose other requirements before permitting Korsana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IND and finalizing the trial design based on discussions with the FDA. Commencing clinical trials in jurisdictions outside of the United States is similarly subject to acceptance by the applicable regulatory authority of clinical trial documentation following discussions with such authority. In the event that the FDA or other applicable regulatory authority requires Korsana to complete additional preclinical studies or Korsana is required to satisfy other FDA or foreign regulatory authority requests, respectively, prior to commencing clinical trials, the start of Korsana’s first clinical trial for a product candidate may be delayed. Even after Korsana receives and incorporates guidance from these regulatory authorities, the FDA or other regulatory authorities could disagree as to whether Korsana has satisfied their requirements to commence any clinical trial or change their position on the acceptability of Korsana’s trial design or the clinical endpoints selected, which may require Korsana to complete additional preclinical studies or clinical trials, delay the enrollment of Korsana’s clinical trials or impose stricter approval conditions than Korsana currently expects. There are analogous processes and risks applicable to clinical trial applications in other countries, including but not limited to Canada, New Zealand, Australia, countries in the EU, and countries in Asia. </w:t>
      </w:r>
    </w:p>
    <w:p>
      <w:pPr>
        <w:pStyle w:val="TextBody"/>
        <w:bidi w:val="0"/>
        <w:spacing w:before="240" w:after="0"/>
        <w:jc w:val="left"/>
        <w:rPr>
          <w:rFonts w:ascii="Times New Roman" w:hAnsi="Times New Roman"/>
          <w:sz w:val="20"/>
        </w:rPr>
      </w:pPr>
      <w:r>
        <w:rPr>
          <w:rFonts w:ascii="Times New Roman" w:hAnsi="Times New Roman"/>
          <w:sz w:val="20"/>
        </w:rPr>
        <w:t xml:space="preserve">Korsana may not have the financial resources to continue development of its product candidates if Korsana experiences any issues that delay or prevent regulatory approval of, or Korsana’s ability to commercialize, its product candidates. Korsana or its future collaborators’ inability to complete development of, or commercialize Korsana’s product candidates, or significant delays in doing so, could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substantially dependent on the success of KRSA-028, and Korsana’s anticipated clinical trials for such product candidate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success is substantially dependent on its ability to timely obtain regulatory approval for, and then successfully commercialize, KRSA-028. Korsana is initially investing a majority of its efforts and financial resources into the research and development of this program. After Korsana completes GLP toxicity studies, it plans to submit a CTN in Australia or a CTA in New Zealand by the end of 2026 and an IND in the United States in the first quarter of 2027. Pharmacokinetic data in healthy volunteers is anticipated by mid-year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2027 and interim proof-of-concept data in Alzheimer’s disease patients is anticipated between year-end 2027 and the first quarter of 2028. The success of KRSA-028 depends on demonstrating one or more clinical advantages over other approved anti-A</w:t>
      </w:r>
      <w:r>
        <w:rPr>
          <w:rFonts w:ascii="SYMBOL" w:hAnsi="SYMBOL"/>
          <w:sz w:val="20"/>
        </w:rPr>
        <w:t>b</w:t>
      </w:r>
      <w:r>
        <w:rPr>
          <w:rFonts w:ascii="Times New Roman" w:hAnsi="Times New Roman"/>
          <w:sz w:val="20"/>
        </w:rPr>
        <w:t xml:space="preserve"> antibody products or product candidates in clinical development, which may include favorable data on amyloid plaque clearance, slowing of cognitive decline or disease progression, reduced rates of amyloid-related imaging abnormalities (“ARIA”), improved hematologic safety, and/or a convenient low-volume subcutaneous route of administration. Korsana’s belief that KRSA-028 will show favorable clinical data is based in part on the assumption that the increased brain penetration observed in mice and non-human primates (“NHPs”) through the use of the proprietary THETA platform, which confers binding to the transferrin receptor (“TfR1”), will translate to humans. If Korsana’s Phase 1 clinical trial of KRSA-028 or additional clinical trials do not demonstrate adequate brain delivery or improvements versus the limitations of other TfR1-based approaches, the clinical and commercial potential of KRSA-028 will be significantly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Korsana’s product candidates will require evaluation of preclinical, clinical, and manufacturing activities, preclinical and clinical development, regulatory approval in multiple jurisdictions, substantial investment, and significant marketing efforts before Korsana generates any revenues from product sales. Korsana is not permitted to market or promote its product candidates before it receives regulatory approval from the FDA and comparable foreign regulatory authorities, and Korsana may never receive such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Korsana’s product candidates will depend on a variety of factors. Korsana does not have complete control over many of these factors, including certain aspects of clinical development and the regulatory submission process, potential threats to Korsana’s intellectual property rights, potential threats from the intellectual property rights of third parties and the manufacturing, marketing, distribution, and sales efforts of any future collaborator. Accordingly, Korsana cannot assure you that it will ever be able to generate revenue through the sale of these product candidates, even if approved. If Korsana is not successful in obtaining regulatory approval for and commercializing KRSA-028 or future product candidates, or is significantly delayed in doing so, Korsana’s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are based on novel technology in fields that have seen limited success in drug development, which makes it difficult to predict the time and cost of product candidate development and subsequently obtaining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has focused its research and development efforts on addressing neurodegenerative diseases. Collectively, efforts by biopharmaceutical companies in the field of neurodegenerative diseases have seen limited success in drug development. There are few effective therapeutic options available for patients with neurodegenerative diseases, such as Alzheimer’s disease and Parkinson’s disease. Korsana’s future success is highly dependent on the successful development of its THETA™ platform and its product candidates for treating neurodegenerative diseases. Developing and, if approved, commercializing Korsana’s product candidates for treatment of neurodegenerative diseases subjects it to a number of challenges, including engineering product candidates to cross the blood brain barrier (“BBB”) to enable optimal concentration of the therapeutic in the brain and obtaining regulatory approval from the FDA and other regulatory authorities who have only a limited set of precedents to rely on. </w:t>
      </w:r>
    </w:p>
    <w:p>
      <w:pPr>
        <w:pStyle w:val="TextBody"/>
        <w:bidi w:val="0"/>
        <w:spacing w:before="240" w:after="0"/>
        <w:jc w:val="left"/>
        <w:rPr>
          <w:rFonts w:ascii="Times New Roman" w:hAnsi="Times New Roman"/>
          <w:sz w:val="20"/>
        </w:rPr>
      </w:pPr>
      <w:r>
        <w:rPr>
          <w:rFonts w:ascii="Times New Roman" w:hAnsi="Times New Roman"/>
          <w:sz w:val="20"/>
        </w:rPr>
        <w:t xml:space="preserve">Korsana’s approach to the treatment of neurodegenerative diseases aims to identify and select targets with a link to neurodegenerative diseases; to identify and develop molecules that engage the intended target; to, where possible, identify and develop biomarkers, which are biological molecules found in blood, other bodily fluids, or tissues that are signs of a normal or abnormal process or of a condition or disease, to select patient populations and demonstrate, where possible, target engagement, pathway engagement, and impact on disease progression of its molecules; and to engineer its molecules to cross the BBB and act directly in the brain. This strategy may not prove to be successful. Korsana may not be able to discover, develop, and utilize biomarkers to demonstrate target engagement, pathway engagement, and the impact on disease progression of its product candidates. Korsana cannot be sure that its approach will yield satisfactory therapeutic products that are safe and effective, scalable, or profitable. Moreover, public perception of drug safety issues, including adoption of new therapeutics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novel approaches to treatment, may adversely influence the willingness of subjects to participate in clinical trials, or if approved, of physicians to subscribe to novel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does not achieve its projected development objectives in the time frames Korsana announces and expects, the commercialization of its product candidates may be delayed which may harm Korsana’s reputation and prospects, increase its expenses, and cause its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estimates the timing of the anticipated accomplishment of various scientific, clinical, regulatory and other product development goals, which Korsana sometimes refers to as milestones. These milestones may include the commencement or completion of scientific studies and clinical trials, such as the expected timing for the initiation of Korsana’s Phase 1 clinical trial of KRSA-028, the timing for receipt of clinical data, and the timing for the submission of regulatory filings. From time to time, Korsana may publicly announce the expected timing of some of these milestones. All of these milestones are and will be based on numerous assumptions. The actual timing of these milestones can vary dramatically compared to Korsana’s estimates, in many cases for reasons beyond Korsana’s control. If Korsana does not meet these milestones as publicly announced, or at all, Korsana’s prospects and reputation may be adversely affected, and its stock price may decline. Additionally, delays relative to Korsana’s projected timelines are likely to cause overall expenses to increase, which may require Korsana to raise additional capital sooner than expected and prior to achieving targeted development milestones.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approach to the discovery and development of its product candidates is unproven, and Korsana may not be successful in its efforts to build a pipeline of product candidates with commercial value. </w:t>
      </w:r>
    </w:p>
    <w:p>
      <w:pPr>
        <w:pStyle w:val="TextBody"/>
        <w:bidi w:val="0"/>
        <w:spacing w:before="120" w:after="0"/>
        <w:jc w:val="left"/>
        <w:rPr>
          <w:rFonts w:ascii="Times New Roman" w:hAnsi="Times New Roman"/>
          <w:sz w:val="20"/>
        </w:rPr>
      </w:pPr>
      <w:r>
        <w:rPr>
          <w:rFonts w:ascii="Times New Roman" w:hAnsi="Times New Roman"/>
          <w:sz w:val="20"/>
        </w:rPr>
        <w:t xml:space="preserve">Korsana’s approach to the discovery and development of its product candidates leverages established mechanisms of action and incorporates advanced antibody engineering to optimize half-life and other properties designed to overcome limitations of existing therapies, including increased binding affinity, and transferrin receptor (“TfR”) shuttling for delivering large molecule drugs across the BBB, enabling higher drug concentration inside the brain. Korsana’s product candidates are purposefully designed to improve upon existing product candidates and products while maintaining the same, established mechanisms of action. However, the scientific research that forms the basis of Korsana’s efforts to develop differentiated product candidates using half-life extension technologies, effector function modification, and/or the TfR-based THETA technology to deliver large molecule drugs across the BBB, is ongoing and may not result in viable product candidates. Korsana has no clinical data on product candidates using TfR-based THETA technology in neurodegenerative diseases and demonstrating whether they are safe or effective for long-term treatment in humans. Korsana also has no clinical data to indicate whether its antibody engineering designed to optimize half-life and modify effector function enhances brain exposure or translates into improved safety, tolerability, convenience, or efficacy in humans. The long-term safety and efficacy of Korsana’s product candidates compared to currently approved products is unknown. </w:t>
      </w:r>
    </w:p>
    <w:p>
      <w:pPr>
        <w:pStyle w:val="TextBody"/>
        <w:bidi w:val="0"/>
        <w:spacing w:before="240" w:after="0"/>
        <w:jc w:val="left"/>
        <w:rPr>
          <w:rFonts w:ascii="Times New Roman" w:hAnsi="Times New Roman"/>
          <w:sz w:val="20"/>
        </w:rPr>
      </w:pPr>
      <w:r>
        <w:rPr>
          <w:rFonts w:ascii="Times New Roman" w:hAnsi="Times New Roman"/>
          <w:sz w:val="20"/>
        </w:rPr>
        <w:t>Korsana may ultimately discover that utilizing half-life extension technologies, effector function modulation, and the TfR-based THETA technology to target 3pE-A</w:t>
      </w:r>
      <w:r>
        <w:rPr>
          <w:rFonts w:ascii="SYMBOL" w:hAnsi="SYMBOL"/>
          <w:sz w:val="20"/>
        </w:rPr>
        <w:t>b</w:t>
      </w:r>
      <w:r>
        <w:rPr>
          <w:rFonts w:ascii="Times New Roman" w:hAnsi="Times New Roman"/>
          <w:sz w:val="20"/>
        </w:rPr>
        <w:t xml:space="preserve"> for Korsana’s specific indications and any product candidates resulting therefrom do not possess certain properties required for therapeutic effectiveness. Korsana currently has only preclinical data regarding the increased half-life properties, effector function modulation, and targeting mechanism of Korsana’s product candidates, and the same results may not be seen in humans. In addition, product candidates using half-life extension technologies and effector function modulation, or that are designed to bind to 3pE-A</w:t>
      </w:r>
      <w:r>
        <w:rPr>
          <w:rFonts w:ascii="SYMBOL" w:hAnsi="SYMBOL"/>
          <w:sz w:val="20"/>
        </w:rPr>
        <w:t>b</w:t>
      </w:r>
      <w:r>
        <w:rPr>
          <w:rFonts w:ascii="Times New Roman" w:hAnsi="Times New Roman"/>
          <w:sz w:val="20"/>
        </w:rPr>
        <w:t xml:space="preserve"> and clear amyloid plaques, may demonstrate different chemical, pharmacological and biological properties in patients than they do in laboratory studies. This technology and any product candidates resulting therefrom may not demonstrate the same chemical and pharmacological properties in humans and may interact with human biological systems in unforeseen, ineffective, or harmful ways. Many product candidates that appeared highly promising in preclinical studies or in early-stage clinical trials have failed when advanced into, or further in, clinical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other companies are developing drug products that target A</w:t>
      </w:r>
      <w:r>
        <w:rPr>
          <w:rFonts w:ascii="SYMBOL" w:hAnsi="SYMBOL"/>
          <w:sz w:val="20"/>
        </w:rPr>
        <w:t>b</w:t>
      </w:r>
      <w:r>
        <w:rPr>
          <w:rFonts w:ascii="Times New Roman" w:hAnsi="Times New Roman"/>
          <w:sz w:val="20"/>
        </w:rPr>
        <w:t xml:space="preserve"> or utilize TfR-mediated delivery technologies for central nervous system indications, or that utilize half-life extension technology and/or effector function modulation for other targets. The failure of those companies to demonstrate the safety and/or efficacy of their product candidates may be harmful to Korsana’s business, financial condition, results of operations, and prospects. Conversely, if those companies are successful in demonstrating safety and/or efficacy of their product candidates, these competitive products may instead gain and hold the applicable market.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may in the future seek to discover and develop product candidates that are based on novel targets and technologies that are unproven. If Korsana’s discovery or business development activities fail to identify novel targets or technologies for drug development, or such targets or technologies prove to be unsuitable for treating human disease, Korsana may not be able to develop viable additional product candidates. Korsana and its future collaborators may never receive approval to market and commercialize any product candidate. Even if Korsana or a future collaborator obtains regulatory approval, the approval may be for targets, disease indications or patient populations that are not as broad as Korsana intended or desired or may require labeling that includes significant use or distribution restrictions or safety warnings. If the products resulting from Korsana’s product candidates prove to be ineffective, unsafe, or commercially unviable, Korsana’s product candidates and pipeline would have little, if any, value, which would have a material and adverse effect on Korsana’s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 from regulatory authorities for the sale of any product candidate, Korsana must complete preclinical studies and then conduct extensive clinical trials to demonstrate the safety and efficacy of Korsana’s product candidate in humans. Korsana’s clinical trials may not be conducted as planned or completed on schedule, if at all, and failure can occur at any time during the preclinical study or clinical trial process. Furthermore, a failure of one or more clinical trials can occur at any clinical trial phase.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In addition, Korsana expects to rely on patients to provide feedback on subjective measures, including disease severity and quality of life, which are inherently difficult to evaluate. These measures can be influenced by factors outside of Korsana’s control and can vary widely from day to day for a particular patient, and from patient to patient and from site to site within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Korsana cannot be sure that the FDA or comparable foreign regulatory authorities will agree with Korsana’s clinical development plans. Korsana plans to use the data from healthy volunteers from its Phase 1 clinical trial of KRSA-028 to support additional clinical development. However, there is no guarantee the data from such Phase 1 trial will support additional development. If the FDA or comparable foreign regulatory authorities require Korsana to conduct additional trials or enroll additional healthy volunteers or patients, Korsana’s development timeline may be delayed. Korsana cannot be sure that submission of an IND or similar foreign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in vivo</w:t>
      </w:r>
      <w:r>
        <w:rPr>
          <w:rFonts w:ascii="Times New Roman" w:hAnsi="Times New Roman"/>
          <w:sz w:val="20"/>
        </w:rPr>
        <w:t xml:space="preserve"> or </w:t>
      </w:r>
      <w:r>
        <w:rPr>
          <w:rFonts w:ascii="Times New Roman" w:hAnsi="Times New Roman"/>
          <w:i/>
          <w:sz w:val="20"/>
        </w:rPr>
        <w:t>in vitro</w:t>
      </w:r>
      <w:r>
        <w:rPr>
          <w:rFonts w:ascii="Times New Roman" w:hAnsi="Times New Roman"/>
          <w:sz w:val="20"/>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or positive ethics committee opinions at each clinical trial site; delays in manufacturing, testing, releasing, validating or importing/exporting sufficient stable quantities of Korsana’s product candidates for use in clinical trials or the inability to do any of the foregoing; failure by Korsana’s CROs, other third parties or Korsana to adhere to clinical trial protocols; failure to perform in accordance with the FDA’s or any other regulatory authority’s good clinical practice (“GCP”) requirements or regulatory guidelines; changes to the clinical trial protocols; clinical sites deviating from trial protocol or dropping out of a trial; changes in regulatory requirements, guidance or clinical trial plans that require amending or submitting new clinical protocols; selection of clinical endpoints that require prolonged periods of observation or analyses of resulting data; transfer of manufacturing processes to new or larger-scale facilities and delays or failure by Korsana’s CMOs or Korsana to make any necessary changes to such manufacturing process; and third parties being unwilling or unable to satisfy their contractual obligations to Korsana. </w:t>
      </w:r>
    </w:p>
    <w:p>
      <w:pPr>
        <w:pStyle w:val="TextBody"/>
        <w:bidi w:val="0"/>
        <w:spacing w:before="240" w:after="0"/>
        <w:jc w:val="left"/>
        <w:rPr>
          <w:rFonts w:ascii="Times New Roman" w:hAnsi="Times New Roman"/>
          <w:sz w:val="20"/>
        </w:rPr>
      </w:pPr>
      <w:r>
        <w:rPr>
          <w:rFonts w:ascii="Times New Roman" w:hAnsi="Times New Roman"/>
          <w:sz w:val="20"/>
        </w:rPr>
        <w:t xml:space="preserve">Korsana could also encounter delays if a clinical trial is suspended or terminated by Korsana, by the IRBs or ethics committees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Korsana’s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product candidate, changes in governmental regulations or administrative actions or lack of adequate funding to continue the clinical trial. If Korsana is required to conduct additional clinical trials or other testing of its product candidates beyond those that Korsana currently contemplates, if Korsana is unable to successfully complete clinical trials of its product candidates, if the results of these trials are not positive or are only moderately positive or if there are safety concerns, Korsana’s business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encounter difficulties enrolling patients in its clinical trials, and its clinical development activities could thereby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timely completion of clinical trials in accordance with their protocols depends, among other things, on Korsana’s ability to enroll a sufficient number of patients who remain in the trial until its conclusion. Korsana may experience difficulties in patient enrollment in clinical trials for a variety of reasons, including: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including biomarker-driven identification and/or certain highly specific criteria related to stage of disease progression, which may limit the patient populations eligible for Korsana’s clinical trials to a greater extent than competing clinical trials for the same indication that do not have biomarker-driven patient eligibility criteria;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study population required for analysis of the trial’s primary endpoints;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a trial site; </w:t>
            </w:r>
          </w:p>
        </w:tc>
      </w:tr>
    </w:tbl>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75"/>
        <w:gridCol w:w="110"/>
        <w:gridCol w:w="60"/>
        <w:gridCol w:w="1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trial;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recruit clinical trial investigators with the appropriate competencies and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enrolling patients in Korsana’s clinical trials caused by worldwide economic conditions, including pandemics or other public health outbreaks and other geopolitical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targeting patient populations meeting Korsana’s patient eligibility criteria;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approved products that target the patient populations that Korsana is seeking to enroll;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of the potential advantages and side effects of the product candidate being studied in relation to other available therapies and product candidates;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obtain and maintain patient consents;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Korsana may not be able to collect data from patients for any reason. </w:t>
            </w:r>
          </w:p>
        </w:tc>
      </w:tr>
    </w:tbl>
    <w:p>
      <w:pPr>
        <w:pStyle w:val="TextBody"/>
        <w:bidi w:val="0"/>
        <w:spacing w:before="240" w:after="0"/>
        <w:jc w:val="left"/>
        <w:rPr>
          <w:rFonts w:ascii="Times New Roman" w:hAnsi="Times New Roman"/>
          <w:sz w:val="20"/>
        </w:rPr>
      </w:pPr>
      <w:r>
        <w:rPr>
          <w:rFonts w:ascii="Times New Roman" w:hAnsi="Times New Roman"/>
          <w:sz w:val="20"/>
        </w:rPr>
        <w:t>Korsana or its partners may encounter difficulties or delays in enrollment of its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Korsana or its partners’ ability to enroll participants in clinical trials for Alzheimer’s disease may be hampered if potential participants choose to instead avail themselves of approved therapies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Korsana’s clinical trials that Korsana announces or publishes from time to time may change as more patient data become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publicly disclose preliminary or topline data from its preclinical studies and clinical trials, which are based on a preliminary analysis of then-available data. The results and related findings and conclusions are subject to change following a more comprehensive review of the data. Korsana also makes assumptions, estimations, calculations, and conclusions as part of its analyses of these data without the opportunity to fully and carefully evaluate complete data. As a result, the preliminary or topline results that Korsana reports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Any preliminary or topline data should be viewed with caution until the final data are available. From time to time, Korsana may also disclose interim data from its preclinical studies and clinical trials. Interim data are subject to the risk that one or more of the clinical outcomes may materially change as patient enrollment continues and more patient data become available or as patients from Korsana’s clinical trials continue other treatments. Further, others, including regulatory authorities, may not accept or agree with Korsana’s assumptions, estimates, calculations, conclusions, or analyses or may interpret or weigh the importance of data differently, which could impact the value of the particular product candidate, the approvability or commercialization of the particular product candidate and of Korsana as a company. In addition, the information Korsana chooses to publicly disclose regarding a particular preclinical study or clinical trial is based on what is typically extensive information, and you or others may not agree with what Korsana determines is material or otherwise appropriate information to include in Korsana’s disclosure. As a result, you or others may have reached different conclusions based on such extensive information in comparison to Korsana’s publicly disclosed conclusion regarding a particular preclinical study or clinical trial. If the preliminary, topline, or interim data that Korsana reports differ from actual results, or if others, including regulatory authorities, disagree with the conclusions reached, Korsana’s ability to obtain approval for, and commercialize, Korsana’s product candidates may be harmed, which could harm Korsana’s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clinical trials or those of its future collaborators may reveal significant adverse events or undesirable side effects not seen in Korsana’s preclinical studies and may result in a safety profile that could halt clinical development, inhibit regulatory approval, or limit commercial potential or market acceptance of any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of Korsana’s clinical trials could reveal a high or unacceptable severity and prevalence of side effects, adverse events or unexpected characteristics. Korsana has not yet completed any clinical trials in humans. If significant adverse events or other side effects are observed in any of Korsana’s future clinical trials, Korsana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have difficulty recruiting patients to such trials, patients may drop out of Korsana’s trials, or Korsana may be required to abandon the trials or Korsana’s development efforts of one or more product candidates altogether. For example, treatment-emergent adverse events (“TEAEs”) have been reported in approximately 85% of expansion cohort participants in Roche’s Brainshuttle AD study, an ongoing Phase 1/2 clinical trial investigating trontinemab in patients with prodromal or mild to moderate Alzheimer’s disease, including ARIA, anemia, infusion-related reactions, and one fatal case of cerebral macrohemorrhage. </w:t>
      </w:r>
    </w:p>
    <w:p>
      <w:pPr>
        <w:pStyle w:val="TextBody"/>
        <w:bidi w:val="0"/>
        <w:spacing w:before="240" w:after="0"/>
        <w:jc w:val="left"/>
        <w:rPr>
          <w:rFonts w:ascii="Times New Roman" w:hAnsi="Times New Roman"/>
          <w:sz w:val="20"/>
        </w:rPr>
      </w:pPr>
      <w:r>
        <w:rPr>
          <w:rFonts w:ascii="Times New Roman" w:hAnsi="Times New Roman"/>
          <w:sz w:val="20"/>
        </w:rPr>
        <w:t xml:space="preserve">Because KRSA-028 will have a similar mechanism of action as trontinemab, it is possible that patients in Korsana’s future clinical trials could exhibit TEAEs of similar or worse frequency or severity. Korsana, the FDA or other applicable regulatory authorities, or an IRB or ethics committee, may suspend any clinical trials of any product candidate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product candidate from obtaining or maintaining regulatory approval, undesirable side effects may inhibit market acceptance of the approved product due to Korsana’s tolerability versus other therapies. In addition, an extended half-life could prolong the duration of undesirable side effects, which could also inhibit market acceptance. TEAEs could also affect patient recruitment or the ability of enrolled subjects to complete Korsana’s clinical trials or could result in potential product liability claims. Potential side effects associated with Korsana’s product candidates may not be appropriately recognized or managed by the treating medical staff, as toxicities resulting from Korsana’s product candidates may not be normally encountered in the general patient population and by medical personnel. Any of these occurrences could harm Korsana’s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Korsana successfully advances its product candidates or any future product candidate through clinical trials, such trials will only include a limited number of patients and limited duration of exposure to Korsana’s product candidates. As a result, Korsana cannot be assured that adverse effects of Korsana’s product candidates will not be uncovered when a significantly larger number of patients are exposed to the product candidate after approval. Further, any clinical trials may not be sufficient to determine the effect and safety consequences of using Korsana’s product candidates over a multi-year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expend its limited resources to pursue a particular program and fail to capitalize on programs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 has limited financial and managerial resources, Korsana focuses its research and development efforts on certain selected programs. For example, Korsana is initially focused primarily on its initial product candidate, KRSA-028. As a result, Korsana may forgo or delay pursuit of opportunities with other programs that later prove to have greater commercial potential. Korsana’s resource allocation decisions may cause Korsana to fail to capitalize on viable commercial products or profitable market opportunities. Korsana’s spending on current and future research and development product candidates for specific indications may not yield any commercially viable product candidates. If Korsana does not accurately evaluate the commercial potential or target market for a particular product candidate, Korsana may relinquish valuable rights to that product candidate through collaboration, licensing, or other royalty arrangements in cases in which it would have been more advantageous for Korsana to retain sole development and commercialization rights to such product candidate. In addition, Korsana may select product candidates amongst a variety of potential product candidates, and the product candidates Korsana selects may fail to be viable commercial products or the product candidates Korsana does not select may have a greater likelihood of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approved products resulting from Korsana’s current programs or any future program may not achieve adequate market acceptance among clinicians, patients, healthcare third-party payors, and others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medical community necessary for commercial success and Korsana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a product candidate resulting from one of Korsana’s current or future programs, Korsana may not gain market acceptance among physicians, healthcare professionals, patients, healthcare payors, or the medical community. Korsana may not generate or sustain revenue from sales of the product due to factors such as whether the product can be sold at a competitive cost and whether it will otherwise be accepted in the market. Market acceptance will depend on many factors, including factors that are not within Korsana’s control. </w:t>
      </w:r>
    </w:p>
    <w:p>
      <w:pPr>
        <w:pStyle w:val="TextBody"/>
        <w:bidi w:val="0"/>
        <w:spacing w:before="240" w:after="0"/>
        <w:jc w:val="left"/>
        <w:rPr>
          <w:rFonts w:ascii="Times New Roman" w:hAnsi="Times New Roman"/>
          <w:sz w:val="20"/>
        </w:rPr>
      </w:pPr>
      <w:r>
        <w:rPr>
          <w:rFonts w:ascii="Times New Roman" w:hAnsi="Times New Roman"/>
          <w:sz w:val="20"/>
        </w:rPr>
        <w:t xml:space="preserve">There are two approved disease-modifying therapeutic products and additional product candidates in later stages of clinical development for the treatment of Alzheimer’s disease, including Leqembi (marketed by Eisai and Biogen) and Kisunla (marketed by Lilly). However, KRSA-028 is designed to have improved brain penetration and contains modifications that are known to increase the half-life of antibodies in circulation; to date, no such disease-modifying therapy with these design modifications has been approved by the FDA for the treatment of Alzheimer’s disease, though several such agents are in clinical development. Market participants with significant influence over acceptance of new treatments, such as clinicians and third-party payors, may not adopt a biologic that incorporates effector function modification and half-life extension for Korsana’s targeted indication, and Korsana may not be able to convince the medical community and third-party payors to accept and use, or to provide favorable reimbursement for, any programs developed by Korsana or its existing or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Market acceptance of Korsana’s product candidates may be negatively impacted by potential poor performance of Korsana’s competitors, including the occurrence of serious adverse events in such competitors’ clinical trials or failure by such competitors to obtain and maintain regulatory approval for their product candidates. Additionally, although Korsana believes that the improved dosing and convenience it expects its product candidates to provide will improve market acceptance of such product candidates and that Korsana’s product candidates will have a competitive efficacy profile, Korsana’s predictions may not be accurate and other competitive products may instead gain and hold the applicable market. Sales of medical products also depend on the willingness of clinicians to prescribe the treatment. Korsana cannot predict whether clinicians, clinicians’ organizations, hospitals, other healthcare providers, government agencies, or private insurers will determine that Korsana’s product is safe, therapeutically effective, cost effective or less burdensome as compared with competing treatments. If any current or future product candidate is approved but does not achieve an adequate level of acceptance by such parties, Korsana may not generate or derive sufficient revenue from that product candidate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Korsana’s programs may compete with Korsana’s other programs, which could negatively impact Korsana’s business and reduce Korsana’s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Korsana is developing KRSA-028 for the treatment of Alzheimer’s disease and may in the future develop programs for additional neurodegenerative disease indications. However, developing multiple product candidates for neurodegenerative disease indications may negatively impact Korsana’s business if the product candidates compete with each other. For example, if multiple product candidates are conducting clinical trials at the same time, they could compete for the enrollment of patients. In addition, if multiple product candidates are approved for the same indication, they may compete for market share, which could limit Korsana’s future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research and development efforts are concentrated in the field of neurodegenerative diseases, which has historically experienced a high rate of clinical failure. If the scientific basis for Korsana’s approach proves insufficient or the field experiences setbacks, Korsana’s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Korsana has concentrated its research and development efforts on therapeutics for neurodegenerative diseases, with its lead product candidate, KRSA-028, targeting Alzheimer’s disease. The neurodegenerative disease field has historically experienced a high rate of clinical trial failure compared to other therapeutic areas, and a number of companies have invested significant resources in the development of neurodegenerative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without obtaining regulatory approval. If the scientific basis for Korsana’s approach to treating neurodegenerative diseases, including the use of TfR-based THETA technology to deliver therapeutics across the blood brain barrier, proves to be flawed or insufficient, Korsana’s entire pipeline could be rendered nonviable. Because Korsana’s pipeline is concentrated in a single therapeutic area, Korsana does not have the benefit of diversification across multiple therapeutic areas that could offset failures in any one program. A setback in one program could have a disproportionate impact on Korsana’s business, financial condition, results of operations, and prospects relative to a company with a more diversified pipeline. Adverse developments in the neurodegenerative disease field generally, including safety signals or clinical failures by other companies developing therapies for similar indications, could negatively affect investor sentiment, regulatory scrutiny, and patient enrollment for Korsana’s clinical trials, regardless of the merits of Korsana’s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plans to conduct clinical trials for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Korsana plans to conduct the single ascending dose (SAD) portion of its Phase 1 clinical trial of KRSA-028 in healthy participants in Australia or New Zealand, and Korsana may choose to conduct the multiple ascending dose (MAD) portion of its Phase clinical trial of KRSA-028 in AD patients and future clinical trials outside the United States in whole or in part, including potentially in the UK, EU, or Canada.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Korsana’s determination that the trials also complied with all applicable U.S. laws and regulations.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Korsana’s development of the applicable product candidates or delay or prevent regulatory approval for commercialization in the applicable jurisdiction. Even if the FDA or any comparable foreign regulatory authority accepted such data, it could require Korsana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Korsana’s clinical trials. These risks include the failure of enrolled patients in foreign countries to adhere to clinical protocol as a result of differences in healthcare services or cultural customs that could restrict or limit Korsana’s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relies on collaborations and licensing arrangements with third parties, including Paragon. If Korsana is unable to maintain these collaborations or licensing arrangements, or if these collaborations or licensing arrangements are not successful, Korsana’s business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its collaboration with Paragon and Paragon Laboratories for a substantial portion of its discovery capabilities and for the rights necessary to develop and commercialize its product candidates. In the future, Korsana could also rely on additional licensing arrangements with third parties. For example, Korsana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entered into the Paragon ADOA, the Paragon POA, the Paragon Research Letter Agreement, and the Paragon License Agreement. However, Paragon or Paragon Laboratories could terminate these agreements under certain circumstances, including Korsana’s failure to make any payments owed to Paragon under the agreement or any uncured material breach of the agreement by Korsana, in which event Korsana may lose intellectual property rights and may not be able to develop or commercialize the product candidates covered by that agreement, including KRSA-028.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or licensing arrangements that Korsana enters into may not be successful, and any success will depend heavily on the efforts and activities of such collaborators or licensors. If any of Korsana’s collaborators or licensors experiences delays in performance of, or fails to perform, their obligations under their agreement with Korsana, disagrees with Korsana’s interpretation of the terms of such agreement, or terminates their agreement with Korsana, Korsana’s pipeline and product candidates and development timeline could be adversely affected. If Korsana fails to comply with any of the obligations under its collaborations or license agreements, including payment terms and diligence terms, Korsana’s collaborators or licensors may have the right to terminate such agreements, in which event Korsana may lose intellectual property rights and may not be able to develop, manufacture, market or sell the products covered by Korsana’s agreements or may face other penalties under Korsana’s agreements. Korsana’s collaborators and licensors may also fail to properly maintain or defend the intellectual property Korsana has licensed from them, if required by Korsana’s agreement with them, leading to the potential invalidation of Korsana’s intellectual property, or they may even infringe upon Korsana’s intellectual property rights, any of which could subject Korsana to litigation or arbitration, which would be time-consuming and expensive and could harm Korsana’s ability to commercialize its product candidates. In addition, collaborators could independently develop, or develop with third parties, products that compete directly or indirectly with Korsana’s product candidates and products if the collaborators believe that the competitive products are more likely to be successfully developed or can be commercialized under terms that are more economically attractive than Korsana’s. </w:t>
      </w:r>
    </w:p>
    <w:p>
      <w:pPr>
        <w:pStyle w:val="TextBody"/>
        <w:bidi w:val="0"/>
        <w:spacing w:before="240" w:after="0"/>
        <w:jc w:val="left"/>
        <w:rPr>
          <w:rFonts w:ascii="Times New Roman" w:hAnsi="Times New Roman"/>
          <w:sz w:val="20"/>
        </w:rPr>
      </w:pPr>
      <w:r>
        <w:rPr>
          <w:rFonts w:ascii="Times New Roman" w:hAnsi="Times New Roman"/>
          <w:sz w:val="20"/>
        </w:rPr>
        <w:t xml:space="preserve">As part of Korsana’s strategy, Korsana plans to evaluate additional opportunities to enhance its capabilities and expand its development pipeline or add development or commercialization capabilities. Korsana may not realize the benefits of such collaborations, alliances or licensing arrangements. Any of these relationships may require Korsana to incur non-recurring and other charges, increase Korsana’s near and long-term expenditures, issue securities that dilute Korsana’s existing stockholders or disrupt Korsana’s management and business. </w:t>
      </w:r>
    </w:p>
    <w:p>
      <w:pPr>
        <w:pStyle w:val="TextBody"/>
        <w:bidi w:val="0"/>
        <w:spacing w:before="240" w:after="0"/>
        <w:jc w:val="left"/>
        <w:rPr>
          <w:rFonts w:ascii="Times New Roman" w:hAnsi="Times New Roman"/>
          <w:sz w:val="20"/>
        </w:rPr>
      </w:pPr>
      <w:r>
        <w:rPr>
          <w:rFonts w:ascii="Times New Roman" w:hAnsi="Times New Roman"/>
          <w:sz w:val="20"/>
        </w:rPr>
        <w:t xml:space="preserve">Korsana may face significant competition in attracting appropriate collaborators, and more established companies may also be pursuing strategies to license or acquire third-party intellectual property rights that Korsana considers attractive. These companies may have a competitive advantage over Korsana due to their size, financial resources and greater clinical development and commercialization capabilities. In addition, companies may be unwilling to assign or license rights to Korsana, whether they perceive Korsana to be a competitor or for other reasons. Whether Korsana reaches a definitive agreement for a collaboration will depend, among other things, upon Korsana’s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Korsana may not be able to negotiate additional collaborations on a timely basis, on acceptable terms or at all. If Korsana fails to enter into collaborations and does not have sufficient funds or expertise to undertake the necessary development and commercialization activities, Korsana may not be able to further develop its product candidates or bring them to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associated with the in-licensing or acquisition of product candidates could cause substantial delays in the preclinical and clinical development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relied and continues to rely on Paragon, and expects to rely on Korsana’s future licensing partners, to (i) conduct research and development in accordance with the applicable protocol, legal, regulatory, and scientific standards, (ii) accurately report the results of all preclinical studies conducted prior to Korsana’s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licensing or acquisition of the relevant product candidates, and (iii) correctly collect and interpret the data from these studies. If the research and development processes or the results of the development programs prior to Korsana’s licensing or acquisition of Korsana’s product candidates prove to be unreliable, this could result in increased costs and delays in the development of Korsana’s product candidates, which could adversely affect any future revenue from such product candidates, if approved. </w:t>
      </w:r>
    </w:p>
    <w:p>
      <w:pPr>
        <w:pStyle w:val="TextBody"/>
        <w:bidi w:val="0"/>
        <w:spacing w:before="240" w:after="0"/>
        <w:jc w:val="left"/>
        <w:rPr>
          <w:rFonts w:ascii="Times New Roman" w:hAnsi="Times New Roman"/>
          <w:sz w:val="20"/>
        </w:rPr>
      </w:pPr>
      <w:r>
        <w:rPr>
          <w:rFonts w:ascii="Times New Roman" w:hAnsi="Times New Roman"/>
          <w:sz w:val="20"/>
        </w:rPr>
        <w:t>Korsana may also acquire or in-license additional product candidates for preclinical or clinical development in the future as Korsana continues to build its pipeline. The risks associated with acquiring or in-licensing product candidates could result in delays in the commencement or completion of Korsana’s preclinical studies and clinical trials, if they are ever commenced or completed, and Korsana’s ability to generate revenues from its product candidates may be delayed. Please see the section titled “</w:t>
      </w:r>
      <w:r>
        <w:rPr>
          <w:rFonts w:ascii="Times New Roman" w:hAnsi="Times New Roman"/>
          <w:i/>
          <w:sz w:val="20"/>
        </w:rPr>
        <w:t>Risk Factors—Risks Related to Korsana’s Intellectual Property—If Korsana is unable to obtain or maintain necessary rights to its programs through acquisitions and in-licenses, Korsana’s business may be materially harmed</w:t>
      </w:r>
      <w:r>
        <w:rPr>
          <w:rFonts w:ascii="Times New Roman" w:hAnsi="Times New Roman"/>
          <w:sz w:val="20"/>
        </w:rPr>
        <w:t xml:space="preserve">” below for additional information regarding such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currently relies, and plans to rely in the future, on third parties to conduct and support its preclinical studies and clinical trials. If these third parties do not properly and successfully carry out their contractual duties or meet expected deadlines, Korsana may not be able to obtain regulatory approval of or commercialize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Korsana has utilized and plans to continue to utilize and depend upon independent investigators and collaborators, such as medical institutions, CROs, contract testing labs and strategic partners, to conduct and support Korsana’s preclinical studies and clinical trials under agreements with Korsana. Korsana will rely heavily on these third parties over the course of its preclinical studies and clinical trials, and Korsana controls only certain aspects of their activities. As a result, Korsana will have less direct control over the conduct, timing and completion of these preclinical studies and clinical trials and the management of data developed through preclinical studies and clinical trials than would be the case if Korsana was relying entirely upon its own staff. Nevertheless, Korsana is responsible for ensuring that each of its studies and trials is conducted in accordance with the applicable protocol, legal, regulatory, and scientific standards, and Korsana’s reliance on these third parties does not relieve Korsana of its regulatory responsibilities. Korsana and its third-party contractors and CROs are required to comply with GCP, which are regulations and guidelines enforced by the FDA and comparable foreign regulatory authorities for all of Korsana’s product candidates in clinical development. If Korsana or any of these third parties fail to comply with applicable GCP regulations, the clinical data generated in Korsana’s clinical trials may be deemed unreliable and the FDA or comparable foreign regulatory authorities may require Korsana to perform additional clinical trials before approving Korsana’s marketing applications. Korsana cannot assure you that upon inspection by a given regulatory authority, such regulatory authority will determine that any of Korsana’s clinical trials comply with GCP. In addition, Korsana’s clinical trials must be conducted with products manufactured in accordance with cGMP. Korsana’s failure to comply with these requirements may require Korsana to repeat clinical trials, which would delay the regulatory approval process. Moreover, Korsana’s business may be implicated if any of these third parties violates federal or state fraud and abuse or false claims laws and regulations or healthcare privacy and security laws, and foreign equivalents. </w:t>
      </w:r>
    </w:p>
    <w:p>
      <w:pPr>
        <w:pStyle w:val="TextBody"/>
        <w:bidi w:val="0"/>
        <w:spacing w:before="240" w:after="0"/>
        <w:jc w:val="left"/>
        <w:rPr>
          <w:rFonts w:ascii="Times New Roman" w:hAnsi="Times New Roman"/>
          <w:sz w:val="20"/>
        </w:rPr>
      </w:pPr>
      <w:r>
        <w:rPr>
          <w:rFonts w:ascii="Times New Roman" w:hAnsi="Times New Roman"/>
          <w:sz w:val="20"/>
        </w:rPr>
        <w:t xml:space="preserve">Any third parties conducting Korsana’s clinical trials will not be its employees and, except for remedies available to Korsana under its agreements with such third parties, Korsana cannot control whether they devote sufficient time and resources to Korsana’s programs. These third parties may encounter challenges hiring and retaining sufficient qualified personnel or they may be involved in mergers, acquisitions or similar transactions and may have relationships with other commercial entities, including Korsana’s competitors, for whom they may also be conducting clinical trials or other product development activities, which could negatively affect their performance on Korsana’s behalf and the timing thereof and could lead to products that compete directly or indirectly with Korsana’s current or future product candidates. If these third parties do not successfully carry out their contractual duties or obligations or meet expected deadlines, if they need to be replaced or if the quality or accuracy of the clinical data they obtain is compromised due to the failure to adhere to Korsana’s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protocols or regulatory requirements or for other reasons, Korsana’s clinical trials may be extended, delayed or terminated and Korsana may not be able to complete development of, obtain regulatory approval of or successfully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Korsana plans to rely on foreign CROs and CMOs, including WuXi Biologics (Hong Kong) Limited (“WuXi Biologics (Hong Kong)”), for formulation and manufacturing of Korsana’s Phase 1 clinical trial materials, and will likely continue to rely on foreign CROs and CMOs in the future. Foreign CMOs may be the target of U.S. legislation, trade restrictions and other foreign regulatory requirements which could increase the cost or reduce the supply of material available to Korsana, delay the procurement or supply of such material, restrict or even prohibit Korsana’s ability to work with such CMOs, or have an adverse effect on Korsana’s ability to secure significant commitments from governments to purchase potential therapies. </w:t>
      </w:r>
    </w:p>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in China is strictly regulated by the Chinese government. Changes to Chinese regulations or government policies affecting biopharmaceutical companies are unpredictable and may have a material adverse effect on Korsana’s collaborators in China which could have an adverse effect on Korsana’s business, financial condition, results of operations, and prospects. In addition, the United States government has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Evolving changes in China’s public health, economic, political, and social conditions and the uncertainty around China’s relationship with other governments, such as the United States and the UK, could also negatively impact Korsana’s ability to manufacture its product candidates for its planned clinical trials or have an adverse effect on its ability to secure government funding, which could adversely affect Korsana’s financial condition and cause Korsana to delay its clinical development programs. Furthermore, if one or more of Korsana’s collaborators or vendors in China is deemed to be a biotechnology company of concern under the BIOSECURE Act, Korsana’s operations and financial condition may be negatively impacted as a result of any delays or increased costs arising from the trade restrictions and other foreign regulatory requirements affecting such collaborators. In addition, while Korsana has established relationships with CROs and CMOs outside of China, moving to those suppliers in the event of a geopolitical instability affecting Korsana’s collaborators in China could introduce delays into the development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relies on the use of third-party CMOs to manufacture Korsana’s product candidates, and Korsana expects to continue to rely on third-party CMOs to produce Korsana’s products, if approved. Korsana’s business could be adversely affected if Korsana is unable to use third-party manufacturing sites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currently own any facility that may be used as Korsana’s clinical-scale manufacturing and processing facility and must rely on CMOs to manufacture Korsana’s product candidates. Korsana has not yet caused its product candidates to be manufactured on a commercial scale and may not be able to do so for any of Korsana’s product candidates, if approved. Korsana currently has a single source for its supply of Korsana’s product candidates. If there should be any disruption in such supply arrangement, including any adverse events affecting Korsana’s sole supplier, or if Korsana experiences delays or difficulties in transferring, or is unable to successfully transfer, Korsana’s manufacturing processes, it could have a negative effect on the clinical development of Korsana’s product candidates and other operations while Korsana works to identify and qualify an alternate supply source. Korsana has limited control over the manufacturing process of, and may be dependent on, Korsana’s contract manufacturing partners for compliance with cGMP requirements and any other regulatory requirements of the FDA or comparable foreign regulatory authorities for the manufacture of Korsana’s product candidates. Beyond periodic audits, Korsana has limited control over the ability of its CMOs to maintain adequate quality control, quality assurance, and qualified personnel. If the FDA or another applicable regulatory authority does not approve these facilities for the manufacture of Korsana’s product candidates or withdraws any approval in the future, Korsana may need to find alternative manufacturing facilities, which would require the incurrence of significant additional costs and delays and materially adversely affect Korsana’s ability to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obtain regulatory approval for or market its product candidates, if approved. Korsana, or its future contract manufacturers, any future collaborators and their contract manufacturers could be subject to periodic unannounced inspections by the FDA, competent authorities of member states of the European Union (“EU Member States”) or other comparable foreign regulatory authorities, to monitor and ensure compliance with cGMP. Despite Korsana’s efforts to audit and verify regulatory compliance, one or more of Korsana’s third-party manufacturing vendors may be found on regulatory inspection by the FDA, competent authorities of EU Member States or other comparable foreign regulatory authorities to be noncompliant with cGMP regulations. Korsana’s failure, or the failure of Korsana’s CMOs, to comply with applicable regulations could result in sanctions being imposed on Korsana, including fines, injunctions, civil penalties, delays, suspension, variation or withdrawal of approvals, license revocation, seizures or recalls of product candidates or drugs, operating restrictions and criminal prosecutions, any of which could significantly and adversely affect supplies of Korsana’s product candidates or products, if approved, and harm Korsana’s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Korsana’s CMOs may experience manufacturing difficulties due to resource constraints, supply chain issues, intellectual property disputes or as a result of labor disputes or unstable political environments. If any CMOs on which Korsana will rely fail to manufacture quantities of Korsana’s product candidates at quality levels necessary to meet regulatory requirements and at a scale sufficient to meet anticipated demand at a commercially reasonable cost, Korsana’s business, financial condition, and prospects could be materially and adversely affected. In addition, Korsana’s CMOs are responsible for transporting temperature-controlled materials that can be inadvertently degraded during transport due to several factors, rendering certain batches unsuitable for trial use for failure to meet, among others, Korsana’s integrity and purity specifications. Korsana and any of its CMOs may also face product seizure or detention or refusal to permit the import or export of products. Korsana’s business could be materially adversely affected by business disruptions to Korsana’s third-party providers that could materially adversely affect Korsana’s anticipated timelines, potential future revenue and financial condition and increase Korsana’s costs and expenses. Each of these risks could delay or prevent the completion of Korsana’s preclinical studies and clinical trials or the approval of any of Korsana’s product candidates by the FDA or comparable foreign regulatory authorities, result in higher costs or adversely impact commercialization of Korsana’s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Korsana will need to grow the size of its organization and Korsana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experience significant growth in the number of its employees and the scope of Korsana’s operations, particularly in the areas of preclinical and clinical drug development, technical operations, clinical operations, and regulatory affairs. To manage its anticipated future growth, Korsana must continue to implement and improve its managerial, operational, financial, and personnel systems, expand Korsana’s facilities, and continue to recruit and train additional qualified personnel. Due to its limited financial resources and the limited experience of its management team working together in managing a company with such anticipated growth, Korsana may not be able to effectively manage the expansion of its operations or recruit and train additional qualified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highly dependent on its key personnel and anticipates hiring new key personnel. If Korsana is not successful in attracting and retaining highly qualified personnel, Korsana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Korsana’s ability to compete in the highly competitive biotechnology and pharmaceutical industries depends upon its ability to attract and retain highly qualified managerial, scientific, and medical personnel. Korsana is highly dependent on Korsana’s managerial, scientific, and medical personnel. Although Korsana has entered into employment agreements with Korsana’s executive officers, each of them may terminate their employment with </w:t>
      </w:r>
    </w:p>
    <w:p>
      <w:pPr>
        <w:pStyle w:val="TextBody"/>
        <w:bidi w:val="0"/>
        <w:spacing w:before="0" w:after="0"/>
        <w:jc w:val="left"/>
        <w:rPr>
          <w:rFonts w:ascii="Times New Roman" w:hAnsi="Times New Roman"/>
          <w:sz w:val="20"/>
        </w:rPr>
      </w:pPr>
      <w:r>
        <w:rPr>
          <w:rFonts w:ascii="Times New Roman" w:hAnsi="Times New Roman"/>
          <w:sz w:val="20"/>
        </w:rPr>
        <w:t xml:space="preserve">Korsana at any time. Korsana does not maintain “key person” insurance for any of Korsana’s executives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The loss of the services of Korsana’s executive officers or other key employees could impede the achievement of Korsana’s research, development and commercialization objectives and seriously harm its ability to successfully implement its business strategy. Furthermore, replacing executive officers and key personnel may be difficult and may take an extended period of time. If Korsana does not succeed in attracting and retaining qualified personnel, it could materially adversely affect Korsana’s business, financial condition, and results of operations. Korsana could in the future have difficulty attracting and retaining experienced personnel and may be required to expend significant financial resources in Korsana’s employee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future growth may depend, in part, on its ability to operate in foreign markets, where Korsana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Korsana’s future growth may depend, in part, on its ability to develop and commercialize its product candidates, if approved, in foreign markets for which Korsana may rely on collaboration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For example,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Any direct tariffs, if imposed on pharmaceutical products, may result in increased costs for raw materials and contract manufacturing services, reduced ability to source critical CMOs, and a delay in Korsana’s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Korsana is not permitted to market or promote any of its product candidates before Korsana receives regulatory approval from the applicable foreign regulatory authority, and Korsana may never receive such regulatory approval for any of its product candidates. To obtain separate regulatory approval in many other countries, Korsana must comply with numerous and varying regulatory requirements of such countries regarding safety and efficacy and governing, among other things, clinical trials and commercial sales, pricing, and distribution of Korsana’s product candidates, if approved, and Korsana cannot predict success in these jurisdictions. If Korsana fails to comply with the regulatory requirements in international markets and receive applicable regulatory approvals, Korsana’s target market will be reduced and Korsana’s ability to realize the full market potential of its product candidates will be harmed and its business will be adversely affected. Moreover, even if Korsana obtains approval of its product candidates and ultimately commercialize its product candidates in foreign markets, Korsana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estimates of market opportunity and forecasts of market growth may prove to be inaccurate, and even if the markets in which Korsana competes achieve the forecasted growth, Korsana’s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Korsana’s market opportunity estimates and growth forecasts are subject to significant uncertainty and are based on assumptions and estimates which may not prove to be accurate. Korsana’s estimates and forecasts relating to size and expected growth of its target market may prove to be inaccurate. Even if the markets in which Korsana competes meet its size estimates and growth forecasts, Korsana’s business may not grow at similar rates, or at all. Korsana’s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Korsana’s revenue will be dependent, in part, upon the size of the markets in the territories for which Korsana gains regulatory approval, the accepted price for the product, the ability to obtain coverage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and whether Korsana owns the commercial rights for that territory. If the number of its addressable patients is not as significant as Korsana estimates, the indication approved by regulatory authorities is narrower than Korsana expects or the treatment population is narrowed by competition, physician choice, or treatment guidelines, Korsana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employees, independent contractors, consultants, commercial collaborators, principal investigators, CROs, CMOs,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the risk that its employees, independent contractors, consultants, commercial collaborators, principal investigators, CROs, CMOs, suppliers and vendors acting for or on its behalf may engage in misconduct or other improper activities. Misconduct by these parties could include intentional, reckless, or negligent conduct or disclosure of unauthorized activities to Korsana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Korsana’s reputation. Korsana has adopted a code of conduct, but it is not always possible to identify and deter misconduct by these parties and the precautions Korsana takes to detect and prevent this activity may not be effective in controlling unknown or unmanaged risks or losses or in protecting Korsana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internal information technology systems, or those of any of its CROs, manufacturers, other contractors or consultants, third party service providers, or existing or future collaborators, may fail or suffer security or data privacy breaches or other unauthorized or improper access to, use of, or destruction of Korsana’s proprietary or confidential data, employee data or personal data, which could result in additional costs, loss of revenue, significant liabilities, harm to Korsana’s brand and material disruption of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Korsana and the third parties upon which Korsana relies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Korsana’s information, given their size and complexity and the increasing amounts of information maintained on Korsana’s internal information technology systems and those of Korsana’s third-party CROs, other contractors (including sites performing Korsana’s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Korsana’s employees, contractors, consultants, business partners and/or other third parties, or from cyber-attacks by malicious third parties, which may compromise Korsana’s system infrastructure or lead to the loss, destruction, alteration or dissemination of, or damage to, Korsana’s data. </w:t>
      </w:r>
    </w:p>
    <w:p>
      <w:pPr>
        <w:pStyle w:val="TextBody"/>
        <w:bidi w:val="0"/>
        <w:spacing w:before="240" w:after="0"/>
        <w:jc w:val="left"/>
        <w:rPr>
          <w:rFonts w:ascii="Times New Roman" w:hAnsi="Times New Roman"/>
          <w:sz w:val="20"/>
        </w:rPr>
      </w:pPr>
      <w:r>
        <w:rPr>
          <w:rFonts w:ascii="Times New Roman" w:hAnsi="Times New Roman"/>
          <w:sz w:val="20"/>
        </w:rPr>
        <w:t xml:space="preserve">Some actors now engage and are expected to continue to engage in cyber-attacks,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nation-state actors for geopolitical reasons and in conjunction with military conflicts and defense activities. During times of war and other major conflicts, Korsana, and the third parties upon which Korsana relies, may be vulnerable to a heightened risk of these attacks, including retaliatory cyber-attacks, that could materially disrupt Korsana’s systems and operations. In particular, severe ransomware attacks are becoming increasingly prevalent and can lead to significant interruptions in Korsana’s operations, loss of sensitive data and income, reputational harm, and diversion of funds. Extortion payments may alleviate the negative impact of a ransomware attack, but Korsana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disruption or security breach were to result in loss, destruction, unavailability, alteration, or dissemination of, or damage to, Korsana’s data or applications, or for it to be believed or reported that any of these occurred, Korsana could incur liability and reputational damage and the development and commercialization of its product candidates could be delayed. Further, Korsana’s insurance policies may not be adequate to compensate Korsana for the potential losses arising from any such disruption in, or failure or security breach of, Korsana’s systems or third-party systems where information important to Korsana’s business operations or commercial development is stored. </w:t>
      </w:r>
    </w:p>
    <w:p>
      <w:pPr>
        <w:pStyle w:val="TextBody"/>
        <w:bidi w:val="0"/>
        <w:spacing w:before="240" w:after="0"/>
        <w:jc w:val="left"/>
        <w:rPr>
          <w:rFonts w:ascii="Times New Roman" w:hAnsi="Times New Roman"/>
          <w:sz w:val="20"/>
        </w:rPr>
      </w:pPr>
      <w:r>
        <w:rPr>
          <w:rFonts w:ascii="Times New Roman" w:hAnsi="Times New Roman"/>
          <w:sz w:val="20"/>
        </w:rPr>
        <w:t xml:space="preserve">Korsana’s remote workforce may create additional risks for its information technology systems and data because Korsana’s employees work remotely and utilize network connections, computers, and devices working at home, while in transit and in public locations. Additionally, business transactions (such as acquisitions or integrations) could expose Korsana to additional cybersecurity risks and vulnerabilities, as Korsana’s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Korsana has implemented security measures designed to protect against security incidents, there can be no assurance that these measures will be effective. Korsana may be unable in the future to detect vulnerabilities in its information technology systems because such threats and techniques change frequently, are often sophisticated in nature, and may not be detected until after a security incident has occurred. Further, Korsana may experience delays in developing and deploying remedial measures designed to address any such identified vulnerabilities. Applicable data privacy and security obligations may require Korsana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Korsana relies on third-party service providers and technologies to operate critical business systems to Process Sensitive Information in a variety of contexts. Korsana’s ability to monitor these third parties’ information security practices is limited, and these third parties may not have adequate information security measures in place. If its third-party service providers experience a security incident or other interruption, Korsana could experience adverse consequences. While Korsana may be entitled to damages if its third-party service providers fail to satisfy their privacy or security-related obligations to Korsana, any award may be insufficient to cover its damages, or Korsana may be unable to recover such award. In addition, supply-chain attacks have increased in frequency and severity, and Korsana cannot guarantee that third parties’ infrastructure in Korsana’s supply chain or Korsana’s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Korsana (or a third party upon whom Korsana relies) experiences a security incident or is perceived to have experienced a security incident, Korsana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Korsana’s operations (including availability of data); financial loss; and other similar harms. Security incidents and attendant consequences may cause stakeholders (including investors and potential customers) to stop supporting Korsana’s platform, deter new customers from products, and negatively impact Korsana’s ability to grow and operate Korsana’s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contracts may not contain limitations of liability, and even where they do, there can be no assurance that limitations of liability in Korsana’s contracts are sufficient to protect Korsana from liabilities, damages, or claims related to its data privacy and security obligations. Korsana cannot be sure that its insurance coverage will be adequate or sufficient to protect Korsana from or to mitigate liabilities arising out of Korsana’s privacy and security practices, that such coverage will continue to be available on commercially reasonable terms or at all, or that such coverage will pay future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Korsana’s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and third parties Korsana works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In addition, Korsana is and may become subject to the terms of contractual obligations related to privacy, data protection, and data security. Korsana’s obligations may also change or expand as its business grows. The actual or perceived failure by Korsana or third parties related to Korsana to comply with such laws, regulations and obligations could increase Korsana’s compliance and operational costs, expose Korsana to regulatory scrutiny, actions, fines and penalties, result in reputational harm, lead to a loss of customers, result in litigation and liability, and otherwise cause a material adverse effect on Korsana’s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fails to comply with environmental, health and safety laws and regulations, Korsana could become subject to fines or penalties or incur costs that could have a material adverse effect on the success of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numerous environmental, health and safety laws and regulations, including those governing laboratory procedures and the handling, use, storage, treatment and disposal of hazardous materials and wastes. Korsana’s operations may involve the use of hazardous and flammable materials, including chemicals and biological and radioactive materials. In addition, Korsana may incur substantial costs in order to comply with current or future environmental, health and safety laws and regulations. These current or future laws and regulations may impair Korsana’s research, development, or commercialization efforts.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the Combined Company’s stockholders or Korsana. Korsana assesses the impact of various tax reform proposals and modifications to existing tax treaties in all jurisdictions where Korsana has operations to determine the potential effect on its business and any assumptions Korsana has made about its future taxable income. Korsana cannot predict whether any specific proposals will be enacted, the terms of any such proposals or what effect, if any, such proposals would have on Korsana’s business if they were to be enacted.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United States enacted the Inflation Reduction Act of 2022, which implements, among other changes, a 1% excise tax on certain stock buybacks. In addition, beginning in 2022, the Tax Cuts and Jobs Act (the “TCJA”) eliminated the previously available option to deduct research and development expenditures and requires taxpayers to amortize them generally over five years for research activities conducted in the United States and over fifteen years for research activities conducted outside the United States. On July 4, 2025,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Congress enacted the One Big Beautiful Bill Act, which includes a provision restoring the immediate deductibility of domestic research and development expenditures. The impact of this newly enacted law on Korsana’s tax position will depend on how the provision is implemented and interpreted by the IRS and other regulatory authorities. In addition, Korsana has no assurance as to whether, when and how this provision may be subject to further amendment or repeal. Such changes, among others, may adversely affect Korsana’s effective tax rate,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acquire businesses, product candidates,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Korsana may acquire additional businesses or products, form strategic alliances, or create joint ventures with third parties that Korsana believes will complement or augment its existing business. If Korsana acquires businesses with promising markets or technologies, Korsana may not be able to realize the benefit of acquiring such businesses if Korsana is unable to successfully integrate them with its existing operations and company culture. Korsana may encounter numerous difficulties in developing, manufacturing, and marketing any new product candidates or products resulting from a strategic alliance or acquisition that delay or prevent Korsana from realizing their expected benefits or enhancing Korsana’s business. There is no assurance that, following any such acquisition, Korsana will achieve the synergies expected in order to justify the transaction, which could result in a material adverse effect on Korsana’s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maintains its cash at financial institutions, often in balances that exceed federally-insured limits. The failure of financial institutions could adversely affect Korsana’s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Korsana’s cash held in non-interest-bearing and interest-bearing accounts exceeds the FDIC insurance limits. If such banking institutions were to fail, Korsana could lose all or a portion of those amounts held in excess of such insurance limitations. For example, the FDIC took control of Silicon Valley Bank in March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Korsana may experience in the future or inability for a material time period to access Korsana’s cash and cash equivalents could have an adverse effect on Korsana’s ability to pay its operational expenses or make other payments, which could adversely affect Korsana’s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Korsana’s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Korsana’s intellectual property portfolio is at an early stage. Therefore, its ability to obtain and protect its patent rights, and protect other proprietary rights, is uncertain, exposing it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Korsana’s success depends in large part on its ability to obtain and maintain patent protection for Korsana’s product candidates and their uses, as well as Korsana’s ability to operate without infringing on or violating the proprietary rights of others. If Korsana is unable to obtain patent protection with respect to KRSA-028, or any future product candidates, Korsana’s business, financial condition, results or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Korsana’s intellectual property portfolio is at an early stage. 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Paragon, or Korsana, with respect to licensed project antibody transport vehicle patents for which Korsana has the first right, but not the obligation, to prepare, file, prosecute and maintain patent applications, intends to file one or more non-provisional patent applications claiming priority to these provisional patent applications. However, Korsana cannot provide assurances that such non-provisional patent application(s) will be filed, nor whether such non-provisional patent application(s), if filed, will issue, the breadth of any resulting issued patent(s), or whether any issued patent(s) will be found to be invalid, unenforceable, or will be challenged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Any issued patents may not afford sufficient protection of Korsana’s product candidates or their intended uses against competitors, nor can there be any assurance that the patents issued will not be infringed, designed around, or invalidated by third parties, or effectively prevent others from commercializing competitive technologies, products, or product candidates. Even if these patents are granted, they may be difficult to enforce. Further, any issued patents that Korsana may license or own covering Korsana’s product candidates could be narrowed or found invalid or unenforceable if challenged in court or before administrative bodies in the United States or abroad, including the USPTO. If Korsana does not obtain patent coverage for the work Korsana is conducting, or if Korsana obtains such rights but they are invalidated or rendered unenforceable, Korsana may be unable to exclude competitors from pursuing and marketing the same or similar product candidates. Other risks Korsana faces if it is not able to obtain and maintain patent coverage for Korsana’s product candidates are the reduction in valuation of its product candidates, and ultimately of Korsana as a company, by potential investors, and Korsana’s inability to assert claims for infringement against third parties or counterclaim against such third parties or negotiate more advantageous settlement parameters. Further, if Korsana encounters delays in its clinical trials or delays in obtaining regulatory approval, the period of time during which Korsana could market its product candidates under patent protection would be reduced. Thus, the patents that Korsana may own or license may not afford Korsana any meaningful exclusivity period or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 may not be able to obtain or protect Korsana’s intellectual property rights throughout the world and the legal systems in certain countries may not favor enforcement or protection of at least certain patents, trade secrets, or other intellectual property. Filing, prosecuting, maintaining, and defending patents on product candidates and other related inventions worldwide would be expensive and Korsana’s intellectual property rights in some foreign jurisdictions can be less extensive than those in the United States; the reverse may also occur. As such, Korsana may not have patents in all countries or all major markets and may not be able to obtain patents in all jurisdictions even if Korsana or its licensor files patent applications to obtain such rights. Korsana’s competitors may operate in countries where Korsana does not have patent protection and may be able to freely use its technologies and discoveries in such countries, at least to the extent not forbidden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Korsana may also rely on trade secrets, including unpatented know-how, technology, and other proprietary information, to maintain Korsana’s competitive position. Any disclosure, either intentional or unintentional, by Korsana’s employees, the employees of third parties with whom Korsana shares its facilities or third-party consultants and vendors that Korsana engages to perform research, clinical trials or manufacturing activities, or misappropriation by third parties (such as through a cybersecurity breach) of Korsana’s trade secrets or proprietary information could enable competitors to duplicate or surpass Korsana’s technological achievements, thus eroding Korsana’s competitive position in its market. In order to protect its proprietary technology and processes, Korsana relies in part on confidentiality agreements with its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Korsana may need to share its proprietary information, including trade secrets,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business partners, collaborators, contractors, and others located in countries at heightened risk of theft of trade secrets, including through direct intrusion by private parties or state actors and those affiliated with or controlled by state actors. In addition, while Korsana undertakes reasonable efforts to protect its trade secrets and other confidential information from disclosure, others may independently discover trade secrets and proprietary information, and in such cases, Korsana may not be able to assert any trade secret rights against such party. Costly and time-consuming litigation could be necessary to enforce and determine the scope of Korsana’s proprietary rights and failure to obtain or maintain trade secret protection could adversely affect Korsana’s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Korsana’s trademarks and trade names are not registered or adequately protected, then Korsana may not be able to build name recognition in its markets of interest and Korsana’s business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is unable to obtain or maintain necessary rights to its programs through acquisitions and in-licenses, Korsana’s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Because Korsana’s development programs currently do and may in the future require the use of proprietary rights held by third parties, the growth of Korsana’s business will depend in part on its ability to acquire, in-license, or use these third-party proprietary rights. Korsana may be unable to acquire or in-license any compositions, methods of use, processes, or other third-party intellectual property rights from third parties that Korsana identifies as necessary for its programs. The licensing and acquisition of third-party intellectual property rights is a competitive area, and a number of more established companies may pursue strategies to license or acquire third-party intellectual property rights that Korsana may consider attractive or necessary. These established companies may have a competitive advantage over Korsana due to their size, capital resources and greater clinical development and commercialization capabilities. In addition, companies that perceive Korsana to be a competitor may be unwilling to assign or license rights to Korsana. Korsana also may be unable to license or acquire third-party intellectual property rights on terms that would allow Korsana to make an appropriate return on Korsana’s investment or at all. If Korsana is unable to successfully obtain rights to required third-party intellectual property rights or maintain intellectual property rights Korsana obtains in the future, Korsana may have to abandon development of the relevant program, which could have a material adverse effect on Korsana’s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Korsana has the right to control prosecution, defense, maintenance, and enforcement of patents exclusively in-licensed under the Paragon License Agreement. However, there may be times when rights for patents and patent applications relating to Korsana’s product candidates are controlled by Korsana’s future licensors or collaboration partners, including with respect to patents non-exclusively in-licensed under the Paragon License Agreement. If Korsana, Paragon or any of Korsana’s future licensors (including Paragon Laboratories) or collaboration partners fail to prosecute, defend, maintain and enforce such patents and patent applications in a manner consistent with Korsana’s best interests, including by payment of all applicable fees for patents covering its product candidates, Korsana could lose its rights to the intellectual property or its exclusivity with respect to those rights, Korsana’s ability to develop and commercialize those product candidates may be adversely affected and Korsana may not be able to prevent competitors from making, using and selling competing products. In addition, even if Korsana has the right to control prosecution of patents and patent applications Korsana has licensed to and from third parties, including under future license agreements with Paragon or Paragon Laboratories following the point at which such control is assumed, Korsana may still be adversely affected or prejudiced by actions or inactions of Paragon, additional licensees, or licensors and their counsel prior to the date upon which Korsana assumes control over patent prosecution. For example, Paragon is currently responsible for the prosecution, defense, maintenance, and enforcement of patents related to Research Program 003, for which Korsana has not exercised its ADOA Option or entered into a license agreement. Pursunt to the Paragon License Agreement, Korsana has the first right, but not the obligation, to prepare, file, prosecute and maintain certain licensed project antibody transport vehicle patents for Research Program 002, including KRSA-028, and Research Program 001, but Paragon retains control over patent prosecution for certain non-exclusively licensed transit antibody technology, including the THETA technology, and other Paragon-controlled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Korsana’s future licensors may not be the sole and exclusive owners of all rights in the patents Korsana may in-license. If other third parties have rights to Korsana’s future in-licensed patents, they may be able to license such patents to Korsana’s competitors, and Korsana’s competitors could market competing products and technology. This could have a material adverse effect on Korsana’s competitive position,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Korsana may be unable to obtain licenses at a reasonable cost or on reasonable terms, if at all. Even if Korsana is able to obtain a license, it may be non-exclusive, thereby giving Korsana’s competitors access to the same technologies licensed to Korsana. In that event, Korsana may be required to expend significant time and resources to redesign Korsana’s product candidates, or the methods for manufacturing them or to develop or license replacement technology, all of which may not be feasible on a technical or commercial basis. If Korsana is unable to do so, Korsana may be unable to develop or commercialize the affected product candidates, which could harm Korsana’s business, financial condition, results of operations, and prospects significantly. Korsana cannot provide any assurances that third-party patents do not exist which might be enforced against Korsana’s product candidates, manufacturing methods or future products or methods resulting in either an injunction prohibiting Korsana’s manufacture or future sales, or, with respect to its future sales, an obligation on Korsana’s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Korsana and Korsana’s future licensors regarding intellectual property subject to a license agreement, including (but not limited to): the scope of rights granted under the license agreement and other interpretation-related issues; whether and the extent to which Korsana’s technology and processes infringe on intellectual property of the licensor that is not subject to the licensing agreement; Korsana’s right to sublicense patents and other rights to third parties; Korsana’s right to transfer or assign the license; the inventorship and ownership of inventions and know-how resulting from the joint creation or use of intellectual property by Korsana’s future licensors and Korsana and Korsana’s partners; and the priority of invention of patented technology. If Korsana or its future licensors breach the terms of Korsana’s license agreements, such breach may have a material adverse effect on Korsana’s business and the commercialization efforts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 subject to intellectual property lawsuits or may need to file lawsuits to protect Korsana’s intellectual property, which could result in substantial costs and liability and prevent Korsana from commercializing Korsana’s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Korsana’s freedom to operate and guarantee that Korsana can operate without infringing on or violating third party rights. If certain of Korsana’s product candidates are ultimately granted regulatory approval, patent rights held by third parties could be alleged to render one or more of Korsana’s product candidates infringing. If a third party successfully brings a claim against Korsana, and Korsana’s rights are not held invalid or unenforceable, Korsana may be required to pay substantial damages, be forced to abandon any affected product candidate and/or seek a license from the patent holder. In addition, any intellectual property claims (e.g., patent infringement or trade secret misappropriation) brought against Korsana, whether or not successful, may cause Korsana to incur significant legal expenses and divert the attention of Korsana’s management and key personnel from other business concerns. Korsana cannot be certain that future patents, if filed and issued, owned, or licensed by Korsana will not be challenged by others, whether in the course of litigation or in agencies like the USPTO. Some of Korsana’s competitors may be able to sustain the costs of complex intellectual property litigation more effectively than Korsana can because they have substantially greater resources. In addition, any uncertainties resulting from the initiation and continuation of any litigation could have a material adverse effect on Korsana’s ability to raise funds.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Korsana’s future patents, trademarks, copyrights, or other intellectual property. To counter infringement or other violations, Korsana may be required to file claims, which can be expensive and time-consuming. Any such claims could provoke these parties to assert counterclaims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Korsana, including claims alleging that Korsana infringe their patents or other intellectual property rights. In addition, in a patent infringement proceeding, a court or administrative body may decide that one or more of the patents Korsana asserts is invalid or unenforceable, in whole or in part, construe the patent’s claims narrowly or refuse to prevent the other party from using the technology at issue on the grounds that Korsana’s patents do not cover the technology. Similarly, if Korsana asserts trademark infringement claims, a court or administrative body may determine that the marks Korsana has asserted are invalid or unenforceable or that the party against whom Korsana has asserted trademark infringement has superior rights to the marks in question. In such a case, Korsana could ultimately be forced to cease use of such marks. In any intellectual property litigation, even if Korsana is successful, any award of monetary damages or other remedy Korsana receives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Korsana may be required to protect its future patents, if filed and issued, through procedures created to attack the validity of a patent at the USPTO. An adverse determination in any such submission or proceeding could reduce the scope or enforceability of, or invalidate, Korsana’s patent rights, which could adversely affect Korsana’s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Korsana’s product candidates are found to infringe the intellectual property rights of third parties, these third parties may assert infringement claims against Korsana’s future licensees or customers and other parties with whom Korsana has business relationships and Korsana may be required to indemnify those parties for any damages they suffer as a result of these claims, which may require Korsana to initiate or defend protracted and costly litigation on behalf of licensees or other parties regardless of the merits of such claims. If any of these claims succeed, Korsana may be forced to pay damages on behalf of those parties or may be required to obtain licenses for the products Korsana uses.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Korsana’s intellectual property rights, there is a risk that some of Korsana’s confidential information could be compromised by disclosure during this type of litigation or other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success will depend in part on Korsana’s and Korsana’s current and future licensors’ ability to obtain, maintain and enforce patent protection for Korsana’s licensed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Korsana’s success will depend in part on its, Paragon’s, and Korsana’s future licensors’ (including Paragon Laboratories’) ability to obtain, maintain and enforce patent protection for its licensed intellectual property. Currently, pursuant to the Paragon License Agreement, Korsana has the first right, but not the obligation, to prosecute and maintain certain licensed project antibody transport vehicle patents for Research Program 002 (including KRSA-028) and Research Program 001, and Paragon controls the prosecution, maintenance, enforcement, and defense of certain other licensed patents, including licensed transit antibody patents and other Paragon-controlled patents. Korsana, Paragon and Korsana’s future licensors may not successfully prosecute the patent applications that cover its product candidates. Even if patents are issued in respect of these patent applications, Korsana, Paragon, and Korsana’s future licensors (including Paragon Laboratories) may fail to maintain these patents, may determine not to pursue litigation against other companies that are infringing these patents, or may pursue such litigation less aggressively than Korsana would. Without protection for any in-licensed intellectual property, other companies might be able to offer substantially identical products for sale, which could adversely affect Korsana’s competitive business position and harm its business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be subject to claims that Korsana has wrongfully hired an employee from a competitor or that Korsana’s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Korsana’s employees, Korsana engages the services of consultants to assist Korsana in the development of Korsana’s product candidates. Many of these consultants, and many of Korsana’s employees, were previously employed at, or may have previously provided or may be currently providing consulting services to, other biotechnology or pharmaceutical companies including Korsana’s competitors or potential competitors. Korsana could in the future be subject to claims that Korsana or Korsana’s employees have inadvertently or otherwise used or disclosed alleged trade secrets or other confidential information of former employers or competitors. Although Korsana tries to ensure that its employees and consultants do not use the intellectual property, proprietary information, know-how or trade secrets of others in their work for Korsana, Korsana may become subject to claims that it caused an employee to breach the terms of his or her non-competition or non-solicitation agreement, or that Korsana or these individuals have, inadvertently or otherwise, used or disclosed the alleged trade secrets or other proprietary information of a former employer or competitor. </w:t>
      </w:r>
    </w:p>
    <w:p>
      <w:pPr>
        <w:pStyle w:val="TextBody"/>
        <w:bidi w:val="0"/>
        <w:spacing w:before="240" w:after="0"/>
        <w:jc w:val="left"/>
        <w:rPr>
          <w:rFonts w:ascii="Times New Roman" w:hAnsi="Times New Roman"/>
          <w:sz w:val="20"/>
        </w:rPr>
      </w:pPr>
      <w:r>
        <w:rPr>
          <w:rFonts w:ascii="Times New Roman" w:hAnsi="Times New Roman"/>
          <w:sz w:val="20"/>
        </w:rPr>
        <w:t xml:space="preserve">While Korsana may litigate to defend against these claims, even if Korsana is successful, litigation could result in substantial costs and could be a distraction to management and other employees. If Korsana’s defenses to these claims fail, in addition to requiring Korsana to pay monetary damages, a court could prohibit Korsana from using technologies or features that are essential to Korsana’s product candidates, if such technologies or features are found to incorporate or be derived from the trade secrets or other proprietary information of the former employers. Moreover, any such litigation or the threat thereof may adversely affect Korsana’s reputation, its ability to form strategic alliances or sublicense Korsana’s rights to collaborators, engage with scientific advisors or hire employees or consultants, each of which would have an adverse effect on Korsana’s business, results of operations and financial condition. Even if Korsana is successful in defending against such claims, litigation could result in substantial costs and be a distraction to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Korsana’s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Korsana’s owned and in-licensed patent applications and the maintenance, enforcement, or defense of Korsana’s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increased the uncertainties and costs surrounding the prosecution of Korsana’s patent applications and the enforcement or defense of Korsana’s issued patents, all of which could have a material adverse effect on Korsana’s business, financial condition, results of operations, and prospects. Additionally, there have been proposals for additional changes to the patent laws of the United States and other countries that, if adopted, could impact Korsana’s ability to enforce its proprietary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Times New Roman" w:hAnsi="Times New Roman"/>
          <w:i/>
          <w:sz w:val="20"/>
        </w:rPr>
        <w:t>Amgen, Inc. v. Sanofi</w:t>
      </w:r>
      <w:r>
        <w:rPr>
          <w:rFonts w:ascii="Times New Roman" w:hAnsi="Times New Roman"/>
          <w:sz w:val="20"/>
        </w:rPr>
        <w:t xml:space="preserve"> (“</w:t>
      </w:r>
      <w:r>
        <w:rPr>
          <w:rFonts w:ascii="Times New Roman" w:hAnsi="Times New Roman"/>
          <w:i/>
          <w:sz w:val="20"/>
        </w:rPr>
        <w:t>Amgen</w:t>
      </w:r>
      <w:r>
        <w:rPr>
          <w:rFonts w:ascii="Times New Roman" w:hAnsi="Times New Roman"/>
          <w:sz w:val="20"/>
        </w:rPr>
        <w:t xml:space="preserve">”) recently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Korsana will be granted U.S. patents with composition of matter claims as broad as Amgen’s directed to antibodies functionally defined by their ability to bind a particular antigen. Even if Korsana is granted claims directed to functionally defined antibodies, it is possible that a third party may challenge Korsana’s patents, when issued, relying on the reasoning in </w:t>
      </w:r>
      <w:r>
        <w:rPr>
          <w:rFonts w:ascii="Times New Roman" w:hAnsi="Times New Roman"/>
          <w:i/>
          <w:sz w:val="20"/>
        </w:rPr>
        <w:t>Amgen</w:t>
      </w:r>
      <w:r>
        <w:rPr>
          <w:rFonts w:ascii="Times New Roman" w:hAnsi="Times New Roman"/>
          <w:sz w:val="20"/>
        </w:rPr>
        <w:t xml:space="preserve">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Korsana’s patent rights and its ability to protect, defend and enforce its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Korsana cannot predict the likelihood, nature or extent of government regulation that may arise from future legislation or administrative action, either in the United States or abroad. Geopolitical instability in the United States and in foreign countries could increase the uncertainties and costs surrounding the prosecution or maintenance of patent applications and the maintenance, enforcement, or defense of issued patents. In addition, the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 </w:t>
      </w:r>
    </w:p>
    <w:p>
      <w:pPr>
        <w:pStyle w:val="TextBody"/>
        <w:bidi w:val="0"/>
        <w:spacing w:before="240" w:after="0"/>
        <w:jc w:val="left"/>
        <w:rPr>
          <w:rFonts w:ascii="Times New Roman" w:hAnsi="Times New Roman"/>
          <w:sz w:val="20"/>
        </w:rPr>
      </w:pPr>
      <w:r>
        <w:rPr>
          <w:rFonts w:ascii="Times New Roman" w:hAnsi="Times New Roman"/>
          <w:sz w:val="20"/>
        </w:rPr>
        <w:t xml:space="preserve">Although Korsana does not currently own or license any European patents or applications, if Korsana obtains or licenses such patents and applications in the future, any such revocation and loss of patent protection could have a material adverse impact on Korsana’s business and its ability to commercialize or license its technology and products. Moreover, the controlling laws and regulations of the UPC will develop over time and may adversely affect Korsana’s ability to enforce or defend the validity of any European patents Korsana may obtain. Korsana may decide to opt out from the UPC any future European patent applications that Korsana may file and any patents Korsana may obtain. If certain formalities and requirements are not met, however, such European patents and patent applications could be challenged for non-compliance and brought under the jurisdiction of the UPC. Korsana cannot be certain that future European patents and patent applications will avoid falling under the jurisdiction of the UPC, if Korsana decides to opt out of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Korsana’s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Korsana fails to maintain any future patents and patent applications, if filed and issued, covering Korsana’s product candidates, its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not identify relevant third-party patents or may incorrectly interpret the relevance, scope, or expiration of a third-party patent, which might adversely affect Korsana’s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Korsana cannot guarantee that any of Korsana’s patent searches or analyses, including the identification of relevant patents, the scope of patent claims or the expiration of relevant patents, are complete or thorough, nor can Korsana be certain that it has identified each and every third-party patent and pending application in the United States and abroad that is relevant to or necessary for the commercialization of Korsana’s product candidates in any jurisdiction. The scope of a patent claim is determined by an interpretation of the law, the written disclosure in a patent, the patent’s prosecution history and in some cases certain extrinsic evidence of the meaning of terms in a claim. Korsana’s interpretation of the relevance or the scope of a patent or a pending application may be incorrect. For example, Korsana may incorrectly determine that its products are not covered by a third-party patent or may incorrectly predict whether a third-party’s pending application will issue with claims of relevant scope. Korsana’s determination of the expiration date of any patent in the United States or abroad that Korsana considers relevant may be incorrect. Korsana’s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Korsana cannot be certain that others have not filed patent applications for technology covered by Korsana’s future issued patents or its pending applications, if filed, or that Korsana is the first to invent the technology. Korsana’s competitors may have filed, and may in the future file, patent applications covering Korsana’s products or technology similar to Korsana’s. Any such patent application may have priority over Korsana’s future patent applications or patents, if filed and issued, which could require Korsana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become subject to claims challenging the inventorship or ownership of Korsana’s patents, if issued,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Korsana may be subject to claims that former employees, collaborators or other third parties have an interest in Korsana’s future patents, if filed and issued,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Korsana’s programs or as a result of questions regarding co-ownership of potential joint inventions. Litigation may be necessary to resolve these and other claims challenging inventorship and/or ownership. Alternatively, or additionally, Korsana may enter into agreements to clarify the scope of Korsana’s rights in such intellectual property. If Korsana fails in defending any such claims, in addition to paying monetary damages, Korsana may lose valuable intellectual property rights, such as exclusive ownership of, or right to use, valuable intellectual property. Such an outcome could have a material adverse effect on Korsana’s business. Even if Korsana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Korsana’s current or future licensors may have relied on third-party consultants or collaborators or on funds from third parties, such as the U.S. government, such that Korsana’s licensors are not the sole and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 of the patents Korsana in-licensed. If other third parties have ownership rights or other rights to Korsana’s in-licensed patents, they may be able to license such patents to Korsana’s competitors, and its competitors could market competing products and technology.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Korsana’s competitive position of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Korsana’s earliest U.S. non-provisional filing date. Various extensions may be available, but the life of a patent, and the protection it affords, is limited. Even if patents covering Korsana’s product candidates are obtained, once the patent life has expired, Korsana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Korsana’s owned and licensed patent portfolio may not provide Korsana with sufficient rights to exclude others from commercializing products similar or identical to Korsana’s.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technology licensed from various third parties may be subject to retained rights. </w:t>
      </w:r>
    </w:p>
    <w:p>
      <w:pPr>
        <w:pStyle w:val="TextBody"/>
        <w:bidi w:val="0"/>
        <w:spacing w:before="120" w:after="0"/>
        <w:jc w:val="left"/>
        <w:rPr>
          <w:rFonts w:ascii="Times New Roman" w:hAnsi="Times New Roman"/>
          <w:sz w:val="20"/>
        </w:rPr>
      </w:pPr>
      <w:r>
        <w:rPr>
          <w:rFonts w:ascii="Times New Roman" w:hAnsi="Times New Roman"/>
          <w:sz w:val="20"/>
        </w:rPr>
        <w:t>Korsana’s future licensors may retain certain rights under the relevant agreements with Korsana, including the right to use or license the licensed technology outside of the scope of Korsana’s license,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Korsana’s licensors limit their use of the technology to these uses, and Korsana could incur substantial expenses to enforce its rights to its licensed technology in the event of misuse. In addition, while there are certain restrictions on Paragon’s ability to develop products that could be competitive with Korsana’s as more fully described in “</w:t>
      </w:r>
      <w:r>
        <w:rPr>
          <w:rFonts w:ascii="Times New Roman" w:hAnsi="Times New Roman"/>
          <w:i/>
          <w:sz w:val="20"/>
        </w:rPr>
        <w:t xml:space="preserve">Korsana’s Business </w:t>
      </w:r>
      <w:r>
        <w:rPr>
          <w:rFonts w:ascii="Times New Roman" w:hAnsi="Times New Roman"/>
          <w:sz w:val="20"/>
        </w:rPr>
        <w:t xml:space="preserve">— </w:t>
      </w:r>
      <w:r>
        <w:rPr>
          <w:rFonts w:ascii="Times New Roman" w:hAnsi="Times New Roman"/>
          <w:i/>
          <w:sz w:val="20"/>
        </w:rPr>
        <w:t>Paragon Agreements</w:t>
      </w:r>
      <w:r>
        <w:rPr>
          <w:rFonts w:ascii="Times New Roman" w:hAnsi="Times New Roman"/>
          <w:sz w:val="20"/>
        </w:rPr>
        <w:t xml:space="preserve">” beginning on page 312 of this proxy statement/prospectus, these restrictions may not prevent the possible future license or development by Paragon of certain technology that could lead to product candidates competitive with Korsana’s. This could have a material adverse effect on Korsana’s competitive position,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Korsana is not able to obtain, or if there are delays in obtaining, required regulatory approvals for Korsana’s product candidates, Korsana will not be able to commercialize, or will be delayed in commercializing,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Korsana cannot commercialize product candidates in the United States without first obtaining regulatory approval from the FDA. Similarly, Korsana cannot commercialize product candidates outside of the United States without obtaining regulatory approval from comparable foreign regulatory authorities. Before obtaining regulatory approvals for the commercial sale of Korsana’s product candidates, including KRSA-028, Korsana must demonstrate through lengthy, complex, and expensive preclinical studies and clinical trials that its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be effective, may be only moderately effective, may prove to have undesirable or unintended side effects, toxicities, or other characteristics, or may fail to improve on the applicable standard of care, any of which may preclude Korsana from obtaining regulatory approval. The FDA and comparable foreign regulatory authorities have discretion in the approval process and may refuse to accept any application or may decide that Korsana’s data is insufficient for approval and require additional preclinical, clinical, or other data. Korsana’s product candidates could be delayed in receiving, or fail to receive, regulatory approval for many reasons, including: the FDA or comparable foreign regulatory authorities may disagree with the design or implementation of Korsana’s clinical trials; Korsana may be unable to demonstrate to the satisfaction of the FDA or comparable foreign regulatory authorities that a product candidate is safe and effective for Korsana’s proposed indication; the results of clinical trials may not meet the level of statistical significance required by the FDA or comparable foreign regulatory authorities for approval; serious and unexpected drug-related side effects may be experienced by participants in Korsana’s clinical trials or by individuals using drugs similar to its product candidates; Korsana may be unable to demonstrate that a product candidate’s clinical and other benefits outweigh Korsana’s safety risks; the FDA or comparable foreign regulatory authorities may disagree with Korsana’s interpretation of data from preclinical studies or clinical trials; the data collected from clinical trials of Korsana’s product candidates may not be acceptable or sufficient to support the submission of a BLA or other submission or to obtain regulatory approval in the United States or elsewhere, and Korsana may be required to conduct additional clinical trials; the FDA or the applicable foreign regulatory authority may disagree regarding the formulation, labeling and/or the specifications of Korsana’s product candidates; the FDA or comparable foreign regulatory authorities may fail to approve the manufacturing processes or facilities of third-party manufacturers with which Korsana contracts for clinical and commercial supplies; and the approval policies or regulations of the FDA or comparable foreign regulatory authorities may significantly change in a manner rendering Korsana’s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FDA or applicable foreign regulatory approval processes and are commercialized. The lengthy approval process as well as the unpredictability of future clinical trial results may result in Korsana failing to obtain regulatory approval to market Korsana’s product candidates, which would significantly harm Korsana’s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Korsana was to obtain approval, regulatory authorities may approve any of Korsana’s product candidates for fewer or more limited indications than Korsana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Korsana is not able to obtain, or if there are delays in obtaining, required regulatory approvals for Korsana’s product candidates, Korsana will not be able to commercialize, or will be delayed in commercializing, this could have a material adverse effect on Korsana’s competitive position, business, financial condition, results of operations, and prospects. In addition, the FDA and foreign regulatory authorities may undergo leadership changes, change their policies, issue additional regulations, or revise existing regulations, or take other actions, such as those implemented by the Department of Government Efficiency, which may impact Korsana’s clinical development plans or prevent or delay approval of Korsana’s product candidates under development on a timely basis. Such policy or regulatory changes could impose additional requirements upon Korsana that could delay Korsana’s ability to obtain approvals and increase the costs of compliance. Since the start of President Trump’s administration in 2025, U.S. policy changes have been implemented at a rapid pace and additional changes are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Korsana’s business may be negatively impacted. Additionally, federal government could adopt legislation, regulations or policies that adversely affect Korsana’s business or create a more challenging and costly environment to pursue the development, approval, and commercialization of Korsana’s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may not be able to meet requirements for the chemistry, manufacturing, and control of Korsana’s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Korsana’s products by the FDA and comparable foreign regulatory authorities, Korsana must show that it and Korsana’s contract manufacturing partners are able to characterize, control and manufacture Korsana’s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Korsana’s drug products meet stability requirements. Meeting these chemistry, manufacturing and control requirements is a complex task that requires specialized expertise. If Korsana is not able to meet the chemistry, manufacturing, and control requirements, Korsana may not be successful in getting Korsana’s products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product candidates for which Korsana intends to seek approval as biologics may face competition from biosimilars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any of Korsana’s product candidates approved as biologics under a BLA should qualify for the 12-year period of exclusivity. However, there is a risk that this exclusivity could be shortened due to congressional action or otherwise, or that the FDA will not consider Korsana’s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receives regulatory approval of Korsana’s product candidates, Korsana will be subject to extensive ongoing regulatory obligations and continued regulatory review, which may result in significant additional expense, and Korsana may be subject to penalties if it fails to comply with regulatory requirements or experience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Korsana may receive for Korsana’s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Korsana’s product candidates, which could entail requirements for a medication guide, physician training and communication plans or additional elements to ensure safe use, such as restricted distribution methods, patient registries, and other risk minimization tools. Comparable foreign regulatory authorities may impose similar requirements. In addition, if the FDA or comparable foreign regulatory authorities approve Korsana’s product candidates, Korsana’s product candidates and the activities associated with their development and commercialization, including their design, testing, manufacture, safety, efficacy, recordkeeping,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cGMPs and GCPs for any clinical trials that Korsana conducts following approval. In addition, manufacturers of drug products and their facilities are subject to continual review and periodic, unannounced inspections by the FDA and other regulatory authorities for compliance with cGMPs. If Korsana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Korsana, including requiring recall or withdrawal of the product from the market or suspension of manufacturing, delays or restrictions on Korsana’s ability to conduct clinical trials or delays or refusal to grant a marketing authorization, including full or partial clinical holds on ongoing or planned trials, restrictions on the manufacturing process, warning or untitled letters, civil and criminal penalties, injunctions, product seizures, detentions or import bans, suspension, withdrawal or variation of any marketing authorization that has been granted, voluntary or mandatory publicity requirements and imposition of restrictions on operations, including costly new manufacturing requirements. Similar penalties may apply in case of failure by Korsana or by any of Korsana’s third-party partners, including suppliers, manufacturers and distributors, to comply with FDA and EU laws and the related national laws of individual EU Member States and other applicable regulatory authorities governing the conduct of clinical trials, manufacturing approval, marketing authorization of medicinal products and marketing of such products, both before and after grant of a marketing authorization, statutory health insurance, bribery and anti-corruption or other applicable regulatory requirements, including administrative, civil or criminal penalties. The occurrence of any event or penalty described above may inhibit Korsana’s ability to commercialize its product candidates and generate revenue and could require Korsana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Korsana’s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regulatory filings and Korsana’s ability to commence human clinical trials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Korsana’s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or comparable foreign regulatory authorities may also slow the time necessary for the review and approval of applications for clinical trial or marketing authorization, which would adversely affect Korsana’s business. For example, in recent years, including in 2018, 2019 and 2025,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Korsana’s ability to progress development of its product candidates or obtain regulatory approval for its product candidates. If a prolonged government shutdown occurs, it could significantly impact the ability of the FDA to timely review and process Korsana’s regulatory submissions, which could have a material adverse effect on its business. Further, future government shutdowns could impact Korsana’s ability to access the public markets and obtain necessary capital in order to properly capitalize and continue Korsana’s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 prolonged government shutdown occurs, or if global health concerns prevent the FDA or other regulatory authorities from conducting their regular inspections, reviews, or other regulatory activities, it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significantly impact the ability of the FDA or other regulatory authorities to timely review and process Korsana’s regulatory submissions, which could have a material adverse effect on Korsana’s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may face difficulties from healthcare and regulatory legislative reform measures. </w:t>
      </w:r>
    </w:p>
    <w:p>
      <w:pPr>
        <w:pStyle w:val="TextBody"/>
        <w:bidi w:val="0"/>
        <w:spacing w:before="120" w:after="0"/>
        <w:jc w:val="left"/>
        <w:rPr>
          <w:rFonts w:ascii="Times New Roman" w:hAnsi="Times New Roman"/>
          <w:sz w:val="20"/>
        </w:rPr>
      </w:pPr>
      <w:r>
        <w:rPr>
          <w:rFonts w:ascii="Times New Roman" w:hAnsi="Times New Roman"/>
          <w:sz w:val="20"/>
        </w:rPr>
        <w:t xml:space="preserve">Existing regulatory policies may change, and additional government regulations may be enacted that could prevent, limit, or delay regulatory approval of Korsana’s product candidates. Korsana cannot predict the likelihood, nature or extent of government regulation that may arise from future legislation or administrative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Korsana is slow or unable to adapt to changes in existing requirements or the adoption of new requirements or policies, or if Korsana is not able to maintain regulatory compliance, Korsana may lose any regulatory approval that it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operations and current and future arrangements with investigators, healthcare professionals, consultants, third-party payors, patient organizations, and customers will be subject to applicable healthcare regulatory laws, which could expose Korsana to penalties. </w:t>
      </w:r>
    </w:p>
    <w:p>
      <w:pPr>
        <w:pStyle w:val="TextBody"/>
        <w:bidi w:val="0"/>
        <w:spacing w:before="120" w:after="0"/>
        <w:jc w:val="left"/>
        <w:rPr>
          <w:rFonts w:ascii="Times New Roman" w:hAnsi="Times New Roman"/>
          <w:sz w:val="20"/>
        </w:rPr>
      </w:pPr>
      <w:r>
        <w:rPr>
          <w:rFonts w:ascii="Times New Roman" w:hAnsi="Times New Roman"/>
          <w:sz w:val="20"/>
        </w:rPr>
        <w:t xml:space="preserve">Korsana’s business operations and current and future arrangements with investigators, healthcare professionals, consultants, third-party payors, patient organizations, and customers may expose Korsana to broadly applicable fraud and abuse and other healthcare laws and regulations. These laws may constrain the business or financial arrangements and relationships through which Korsana conducts its operations, including how it researches, markets, sells and distributes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Ensuring that Korsana’s internal operations and future business arrangements with third parties comply with applicable healthcare laws and regulations will involve substantial costs. If Korsana’s operations are found to be in violation of any of these laws or any other governmental laws and regulations that may apply to Korsana, it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Korsana’s operations. Further, defending against any such actions can be costly and time-consuming and may require significant personnel resources. Therefore, even if Korsana is successful in defending against any such actions that may be brought against it, Korsana’s business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Korsana is able to commercialize any product candidates, due to unfavorable pricing regulations and/or third-party coverage and reimbursement policies, Korsana may not be able to offer such product candidates at competitive prices, which would seriously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seek approval to market Korsana’s product candidates in both the United States and in selected foreign jurisdictions. If Korsana obtains approval in one or more foreign jurisdictions for Korsana’s product candidates, Korsana will be subject to rules and regulations in those jurisdictions. Korsana’s ability to successfully commercialize any product candidates that Korsana may develop will depend in part on the extent to which reimbursement for these product candidates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Korsana’s products in an attempt to reduce their costs, which may reduce Korsana’s commercial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 is subject to U.S. and certain foreign export and import controls, sanctions, embargoes, anti-corruption laws, and anti-money laundering laws and regulations. Korsana can face criminal liability and other serious consequences for violations, which can harm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Korsana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Korsana conducts activities. Governmental regulation of the import or export of Korsana’s drug candidates, or Korsana’s failure to obtain any required import or export authorization for its candidates, when applicable, could harm international operations. Furthermore, export control laws and economic sanctions prohibit the provision of certain items, technology, and services to countries, governments, and persons targeted by sanctions programs.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Korsana may engage third parties to sell Korsana’s products outside the United States, to conduct clinical trials, and/or to obtain necessary permits, licenses, patent registrations, and other regulatory approvals. Korsana has direct or indirect interactions with officials and employees of government agencies or government-affiliated hospitals, universities, and other organizations. Korsana can be held liable for the corrupt or other illegal activities of Korsana’s employees, agents, contractors, and other collaborators, even if Korsana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tend to impose strict price controls, which may adversely affect Korsana’s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EU Member States, the pricing of prescription drugs is subject to governmental control. In these countries, pricing negotiations with governmental authorities can take considerable time after receipt of regulatory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Korsana or future collaborators may be required to conduct a clinical trial or other studies that compare the cost-effectiveness of Korsana’s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Korsana’s business, financial condition, results of operations,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Korsana seeks and is unable to obtain accelerated approval, the amount, size, and duration of Korsana’s clinical trials could be greater than planned, which could increase the expense, reduce the likelihood, and/or delay the timing of obtaining necessary regulatory approvals. Even if Korsana receives accelerated approval, if confirmatory trials do not verify clinical benefit, or if Korsana does not comply with rigorous post-approval requirements, such authorities may withdraw accelerated approval. </w:t>
      </w:r>
    </w:p>
    <w:p>
      <w:pPr>
        <w:pStyle w:val="TextBody"/>
        <w:bidi w:val="0"/>
        <w:spacing w:before="120" w:after="0"/>
        <w:jc w:val="left"/>
        <w:rPr>
          <w:rFonts w:ascii="Times New Roman" w:hAnsi="Times New Roman"/>
          <w:sz w:val="20"/>
        </w:rPr>
      </w:pPr>
      <w:r>
        <w:rPr>
          <w:rFonts w:ascii="Times New Roman" w:hAnsi="Times New Roman"/>
          <w:sz w:val="20"/>
        </w:rPr>
        <w:t xml:space="preserve">Korsana may seek accelerated approval, or other expedited development, review, or approval status, for Korsana’s product candidates. Even if granted, there is no guarantee that receiving an expedited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review or approval status from the FDA will lead to a faster development or regulatory review or approval process, and such status does not increase the likelihood that Korsana’s product candidates will ultimately receive marketing approval. The FDA may grant accelerated approval to a product designed to treat a serious or life-threatening condition that provides meaningful therapeutic advantage over available therapies and demonstrates an effect on a surrogate endpoint or intermediate clinical endpoint that is reasonably likely to predict clinical benefit. If Korsana chooses to pursue accelerated approval, there can be no assurance that the FDA will agree that Korsana’s proposed primary endpoint is an appropriate surrogate endpoint. Similarly, there can be no assurance that after subsequent FDA feedback that Korsana will continue to pursue accelerated approval or any other form of expedited development, review, or approval, even if Korsana initially decides to do so. Furthermore, if Korsana submits an application for accelerated approval, there can be no assurance that such application will be accepted or that approval will be granted on a timely basis, or at all. The FDA also could require Korsana to conduct further studies or trials prior to considering Korsana’s application or granting approval of any type. Korsana might not be able to fulfill the FDA’s requirements in a timely manner, which would cause delays, or approval might not be granted because Korsana’s submission is deemed incomplete by the FDA. Accelerated approval may be contingent on the sponsor’s agreement to conduct, in a diligent manner, additional post-approval confirmatory studies to verify and describe the drug’s predicted effect on irreversible morbidity or mortality or other clinical benefit. Under the Food and Drug Omnibus Reform Act of 2022, the FDA may require, as appropriate, that such studies be underway prior to approval or within a specific time period after the date of approval for a product granted accelerated approval. The FDA may require that any such confirmatory study be initiated or substantially underway prior to the submission of an application for accelerated approval. Even if Korsana receives accelerated approval from the FDA, Korsana will be subject to rigorous post-approval requirements, including submission to the FDA of all promotional materials prior to their dissemination. The FDA could withdraw accelerated approval for multiple reasons, including Korsana’s failure to conduct any required post-approval study with due diligence, or the inability of such study to confirm the drug’s predicted clinical benefit relative to its risks. A failure to obtain accelerated approval or any other form of expedited review or approval for a product candidate could result in a longer time period prior to commercializing such product candidate, increase the cost of development of such product candidate, and harm Korsana’s competitive position in the marketplace. Comparable considerations apply outside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Korsana may become exposed to costly and damaging liability claims, when testing a product candidate in the clinical stage or at the commercial stage, and Korsana’s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Korsana is exposed to potential product liability and professional indemnity risks that are inherent in the research, development, manufacturing, marketing, and use of pharmaceutical products. While Korsana currently has no products that have been approved for commercial sale, the future use of a product candidate in clinical trials, and the sale of any approved products in the future, may expose Korsana to liability claims. These claims may be made by patients that use the product or product candidate, healthcare providers, pharmaceutical companies, or others selling such product. Any claims against Korsana, regardless of their merit, could be difficult and costly to defend and could materially and adversely affect the market for Korsana’s products or any prospects for commercialization of Korsana’s products. Although Korsana intends to obtain product liability insurance for Korsana’s future clinical trials, it is possible that its liabilities could exceed Korsana’s insurance coverage or that in the future Korsana may not be able to maintain insurance coverage at a reasonable cost or obtain insurance coverage that will be adequate to satisfy any liability that may arise. If a successful product liability claim or series of claims is brought against Korsana for uninsured liabilities or in excess of insured liabilities, Korsana’s assets may not be sufficient to cover such claims and Korsana’s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Korsana’s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subject to litigation claims through the ordinary course of Korsana’s business operations regarding, but not limited to, securities litigation, employment matters, security of patient and employee personal information, contractual relations with collaborators and licensors and intellectual property rights. Litigation to defend Korsana against claims by third parties, or to enforce any rights that Korsana may have against third parties, could result in substantial costs and diversion of Korsana’s resources, causing a material adverse effect on Korsana’s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Korsana’s business could be adversely affected by economic downturns, inflation, fluctuating interest rates, natural disasters, public health crises, political crises, geopolitical events, or other macroeconomic conditions, which could have a material and adverse effect on Korsana’s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fluctuating interest rates, and uncertainty about economic stability. Adverse macroeconomic conditions, including inflation, slower growth or recession, new or increased tariffs imposed by the U.S. government and potential retaliatory measures by foreign governments and other barriers to trade, especially in light of recent comments and executive orders made by the Trump administration, changes to fiscal and monetary policy or government budget dynamics (particularly in the pharmaceutical and biotech areas), government shutdowns, tighter credit, higher interest rates, volatility in financial markets, high unemployment, labor availability constraints, currency fluctuations and other challenges in the global economy have in the past adversely affected, and may in the future adversely affect, Korsana and its business partners and suppliers. For example, the COVID-19 pandemic resulted in widespread unemployment, economic slowdown, and extreme volatility in the capital markets. In addition, the U.S. has imposed and taken action to pause, resume or adjust tariffs on imports from a number of countries. Since February 2025, the United States government has imposed various tariffs on imports from most countries, including tariffs on imports from China and South Korea. In September 2025, President Trump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that are intended for use in clinical trials and not for commercial sale, which could increase the costs of materials for Korsana’s clinical trials. There still remains substantial uncertainty about the duration of existing tariffs and whether additional tariffs may be imposed, modified, or suspended. Historically, tariffs have led to increased trade and political tensions. In response to tariffs, other countries have implemented retaliatory tariffs on U.S. goods. Uncertainty and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Federal Reserve has raised interest rates multiple times in recent years in response to concerns about inflation and it may raise them again. High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Korsana’s business or the third parties on whom Korsana relies.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Korsana by increasing its costs, including labor and employee benefit costs. </w:t>
      </w:r>
    </w:p>
    <w:p>
      <w:pPr>
        <w:pStyle w:val="TextBody"/>
        <w:bidi w:val="0"/>
        <w:spacing w:before="240" w:after="0"/>
        <w:jc w:val="left"/>
        <w:rPr>
          <w:rFonts w:ascii="Times New Roman" w:hAnsi="Times New Roman"/>
          <w:sz w:val="20"/>
        </w:rPr>
      </w:pPr>
      <w:r>
        <w:rPr>
          <w:rFonts w:ascii="Times New Roman" w:hAnsi="Times New Roman"/>
          <w:sz w:val="20"/>
        </w:rPr>
        <w:t xml:space="preserve">Korsana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Korsana’s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Cayman Redomestication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Currently, Cyclerion is governed by Massachusetts law, Cyclerion Articles and Cyclerion Bylaws, but upon effectiveness of the Cayman Redomestication the Combined Company will be governed by Cayman Islands law and the Cayman Articles, provisions of which have anti-takeover implications. </w:t>
      </w:r>
    </w:p>
    <w:p>
      <w:pPr>
        <w:pStyle w:val="TextBody"/>
        <w:bidi w:val="0"/>
        <w:spacing w:before="120" w:after="0"/>
        <w:jc w:val="left"/>
        <w:rPr>
          <w:rFonts w:ascii="Times New Roman" w:hAnsi="Times New Roman"/>
          <w:sz w:val="20"/>
        </w:rPr>
      </w:pPr>
      <w:r>
        <w:rPr>
          <w:rFonts w:ascii="Times New Roman" w:hAnsi="Times New Roman"/>
          <w:sz w:val="20"/>
        </w:rPr>
        <w:t xml:space="preserve">Upon effectiveness of the Cayman Redomestication, the Combined Company’s organizational documents will change and the Combined Company and its organizational documents will be governed by Cayman Islands law rather than Massachusetts law. Provisions that will be included in the Cayman Articles may discourage, delay, or prevent a merger, acquisition, or other change in control of the Combined Company that shareholders may consider favorable, including transactions in which its ordinary shareholders might otherwise receive a premium price for their ordinary shares. These provisions could also limit the price that investors might be willing to pay in the future for the Combined Company’s ordinary shares, thereby depressing the market price of its ordinary shares.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introduce the use of a classified board of directors such that not all members of the Combined Company board of directors are elected at one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subject to the terms of the Cayman Series B Certificate of Designation;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general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shares without shareholder approval, which could be used to institute a “poison pill” that would work to dilute the share 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a special resolution passed by the affirmative vote of not less than two-thirds of the votes cast at a general meeting of the Combined Company will be required to amend provisions of the Cayman Articles.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upon effectiveness of the Cayman Redomestication, the Cayman Series B Certificate of Designation (as defined below) relating to the Cayman Series B Preferred Shares (as defined below) may delay or prevent a change in control of the Combined Company. At any time while at least 30% of the originally issued Cayman Series B Preferred Shares remain issued and outstanding, the Combined Company may not, without the affirmative vote of the holders of a majority of the then outstanding shares of the Series B Preferred Shares, (i) consummate (x) any Fundamental Transaction (as defined in the Cayman Series B Certificate of Designation)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Cayman Series B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may make it more difficult for the Combined Company to enter into any of the aforementioned transactions, even potential change of control transactions that could offer a premium over the market value of the Combined Company to the ordinary shareholders, as it would require the separate consent of the majority of the issued and outstanding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will provide that unless the Combined Company consents in writing to the selection of an alternative forum, the courts of the Cayman Islands shall have exclusive jurisdiction over any claim or dispute arising out of or in connection with the Cayman Articles or otherwise related in any way to each shareholder’s shareholding in the Combined Company, including but not limited to (i) any derivative action or proceeding brought on behalf of the Combined Company, (ii) any action asserting a claim of breach of any fiduciary or other duty owed by any of the Combined Company’s current or former director, officer or other employee to the Combined Company or its shareholders, (iii) any action asserting a claim arising pursuant to any provision of the Companies Act or the Cayman Articles, or (iv) any action asserting a claim against the Combined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Cayman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w:t>
      </w:r>
    </w:p>
    <w:p>
      <w:pPr>
        <w:pStyle w:val="TextBody"/>
        <w:bidi w:val="0"/>
        <w:spacing w:before="240" w:after="0"/>
        <w:jc w:val="left"/>
        <w:rPr>
          <w:rFonts w:ascii="Times New Roman" w:hAnsi="Times New Roman"/>
          <w:sz w:val="20"/>
        </w:rPr>
      </w:pPr>
      <w:r>
        <w:rPr>
          <w:rFonts w:ascii="Times New Roman" w:hAnsi="Times New Roman"/>
          <w:sz w:val="20"/>
        </w:rPr>
        <w:t xml:space="preserve">The Cayman Articles will also provide that, without prejudice to any other rights or remedies that the Combined Company may have, each of the Combined Company’s shareholders acknowledges that damages alone would not be an adequate remedy for any breach of the selection of the courts of the Cayman Islands as exclusive forum and that accordingly the Combined Company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This choice of forum provision may increase a shareholder’s cost and limit the shareholder’s ability to bring a claim in a judicial forum that it finds favorable for disputes with the Combined Company or its directors, officers, or other employees, which may discourage lawsuits against the Combined Company and its directors, officers, and other employees. Any person or entity purchasing or otherwise acquiring any of the Combined Company’s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memorandum and articles of association or other charter documents has been challenged in legal proceedings. It is possible that a court could find this type of provisions to be inapplicable or unenforceable, and if a court were to find this provision in the Cayman Articles to be inapplicable or unenforceable in an action, the Combined Company may incur additional costs associated with resolving the dispute in other jurisdictions, which could have adverse effect on the Combined Company’s business and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Cyclerion” or “Risks Related to Korsana”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Cyclerion</w:t>
      </w:r>
      <w:r>
        <w:rPr>
          <w:rFonts w:ascii="Times New Roman" w:hAnsi="Times New Roman"/>
          <w:sz w:val="20"/>
        </w:rPr>
        <w:t>” and “</w:t>
      </w:r>
      <w:r>
        <w:rPr>
          <w:rFonts w:ascii="Times New Roman" w:hAnsi="Times New Roman"/>
          <w:i/>
          <w:sz w:val="20"/>
        </w:rPr>
        <w:t>Risks Related to Korsana</w:t>
      </w:r>
      <w:r>
        <w:rPr>
          <w:rFonts w:ascii="Times New Roman" w:hAnsi="Times New Roman"/>
          <w:sz w:val="20"/>
        </w:rPr>
        <w:t xml:space="preserve">.”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 common stock following the Merger could be subject to significant fluctuations. Some of the factors that may cause the market price of the Combined Company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shareholder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it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KRSA-028 and Korsana’s future programs and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for example, through the sale of common stock or securities convertible or exchangeable into common stock, significantly dilute the Combined Company shareholders’ ownership interests or inhibit the Combined Company’s ability to achieve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If the Combined Company raises additional funds through public or private equity offerings, the terms of these securities may include liquidation or other preferences that adversely affect the rights of its common shareholders.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Korsana did not incur as a private company, including costs associated with public company reporting obligations under the Securities Exchange Act of 1934, as amended (the “Exchange Act”). The Combined Company’s management team will consist of the executive officers of Korsana prior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Cyclerion, under the new name “Korsana Biosciences, Inc.,” will be required to meet the initial listing requirements to maintain the listing and continued trading of its shares on Nasdaq. These initial listing requirements are more difficult to achieve than the continued listing requirements. Pursuant to the Merger Agreement, Cyclerion agreed to use its commercially reasonable efforts to cause the shares of Cyclerion Common Stock being issued in the Merger (including any common stock issuable upon conversion of the Cyclerion Series B Preferred Stock) to be approved for listing on Nasdaq at or prior to the First Effective Time. Based on information currently available to Cyclerion, Cyclerion anticipates that its stock will be unable to meet the $4.00 minimum bid price initial listing requirement at the closing of the Merger unless it effects a reverse stock split. The Cyclerion Board intends to effect a reverse stock split of the shares of Cyclerion Common Stock at a ratio of between one new share for every two shares to one new share for every ten shares (or any number in between). In addition, often times a reverse stock split will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Combined Company common stock is not then eligible for quotation on another market or exchange, trading of the shares could be conducted in the over-the- counter market or on an electronic bulletin board established for unlisted securities such as the Pink Sheets or the OTC Bulletin Board. In such event, it is likely that there would be significantly less liquidity in the trading of the Combined Company common stock; decreases in institutional and other investor demand for the shares,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securities analysts, market making activity and information available concerning trading prices and volume; and fewer broker dealers willing to execute trades in the Combined Company common stock. Also, it may be difficult for the Combined Company to raise additional capital if the Combined Company common stock is not listed on a major exchange. The occurrence of any of these events could result in a further decline in the market price of the Combined Company common stock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 Oxley Act. As a private company, Korsana has not been required to document and test its internal controls over financial reporting nor has its management been required to certify the effectiveness of its internal controls and its auditors have not been required to opine on the effectiveness of its internal control over financial reporting. Following the Merger, the Combined Company will be required to incur substantial professional fees and internal costs to expand its accounting and finance functions and expend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control over financial reporting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Cyclerion and Korsana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unaudited pro forma financial information for Cyclerion and Korsana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393.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that will be in the Combined Company’s articles of organization and bylaws and provisions under Massachusetts law could make an acquisition of the Combined Company more difficult and may prevent attempts by its shareholders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that will be included in the Combined Company’s articles of organization and bylaws may discourage, delay, or prevent a merger, acquisition, or other change in control of the Combined Company that shareholders may consider favorable, including transactions in which its common shareholders might otherwise receive a premium price for their shares. These provisions could also limit the price that investors might be willing to pay in the future for shares of the Combined Company common stock, thereby depressing the market price of its common stock. In addition, because the Combined Company board of directors will be responsible for appointing the members of the Combined Company management team, these provisions may frustrate or prevent any attempts by the Combined Company shareholders to replace or remove its current management by making it more difficult for shareholders to replace members of the Combined Company board of directors. Among other things, these provisions will: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the Combined Company directors to be changed only by resolution of its board of directors;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shareholders can remove directors from the Combined Company’s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advance notice requirements for nominations for election to the board of directors or for proposing matters that can be acted on at shareholder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shareholder actions must be effected at a duly called shareholder meeting or by the unanimous written consent of all shareholders in lieu of such a meeting;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the Combined Company board of directors to issue preferred stock without shareholder approval, which could be used to institute a “poison pill” that would work to dilute the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ownership of a potential hostile acquirer, effectively preventing acquisitions that have not been approved by the Combined Company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a majority of the votes that all Combined Company shareholders would be entitled to cast to amend or repeal certain provisions of the Combined Company’s articles of organization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provisions of the Cyclerion Articles, as amended, relating to the Combined Company’s Series B Preferred Stock may delay or prevent a change in control of the Combined Company. At any time while at least 30% of the originally issued Series B Preferred Stock remains issued and outstanding, the Combined Company may not, without the affirmative vote of the holders of a majority of the then outstanding shares of the Series B Preferred Stock, (i) consummate (x) any Fundamental Transaction (as defined in the Cyclerion Articles, as amended) or (y) any merger or consolidation of the Combined Company with or into another entity or any stock sale to, or other business combination in which the Combined Company shareholders immediately before such transaction do not hold at least a majority of the Combined Company’s capital stock immediately after such transaction, (ii) increase the size of the Combined Company board of directors, (iii) adopt, amend or repeal any written delegation of authority policy, corporate authority matrix or similar document, framework or schedule unless such adoption, amendment or repeal has been approved by the unanimous vote of the Combined Company board of directors, or (iv) retain or replace the Combined Company’s registered independent public accounting firm, independent compensation consultant or corporate counsel. This provision of the Series B Certificate of Designation may make it more difficult for the Combined Company to enter into any of the aforementioned transactions, even potential change of control transactions that could offer a premium over the market value of the Combined Company to the common shareholders, as it would require the separate consent of the majority of the holders of the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 xml:space="preserve">Annex J </w:t>
      </w:r>
      <w:r>
        <w:rPr>
          <w:rFonts w:ascii="Times New Roman" w:hAnsi="Times New Roman"/>
          <w:sz w:val="20"/>
        </w:rPr>
        <w:t xml:space="preserve">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 xml:space="preserve">Annex K </w:t>
      </w:r>
      <w:r>
        <w:rPr>
          <w:rFonts w:ascii="Times New Roman" w:hAnsi="Times New Roman"/>
          <w:sz w:val="20"/>
        </w:rPr>
        <w:t>to this proxy statement/prospectus, and the Cayman Islands Companies Act. See “</w:t>
      </w:r>
      <w:r>
        <w:rPr>
          <w:rFonts w:ascii="Times New Roman" w:hAnsi="Times New Roman"/>
          <w:i/>
          <w:sz w:val="20"/>
        </w:rPr>
        <w:t>Risks Related to the Cayman Redomestication — Currently, Cyclerion is governed by Massachusetts, Cyclerion Articles and Cyclerion</w:t>
      </w:r>
      <w:r>
        <w:rPr>
          <w:rFonts w:ascii="Times New Roman" w:hAnsi="Times New Roman"/>
          <w:sz w:val="20"/>
        </w:rPr>
        <w:t xml:space="preserve"> </w:t>
      </w:r>
      <w:r>
        <w:rPr>
          <w:rFonts w:ascii="Times New Roman" w:hAnsi="Times New Roman"/>
          <w:i/>
          <w:sz w:val="20"/>
        </w:rPr>
        <w:t>Bylaws, but upon effectiveness of the Cayman Redomestication 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articles of organization, as amended, of the Combined Company will provide that, unless the Combined Company consents in writing to the selection of an alternative forum, certain designated courts will be the sole and exclusive forum for certain legal actions between Combined Company and its shareholders, which could limit its shareholders’ ability to obtain a favorable judicial forum for disputes with the Combined Company or its directors, officers, employees, 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organization, as amended, of the Combined Company will provide that, unless the Combined Company consents in writing to the selection of an alternative forum, a state or federal court located within the Commonwealth of Massachusetts shall be the sole and exclusive forum for (a) any derivative action or proceeding brought on behalf of the Combined Company, (b) any action asserting a claim of breach of a fiduciary duty owed by any director, officer or other employee of the Combined Company to the Combined Company or the Combined Company’s shareholders, (c) any action asserting a claim arising pursuant to any provision of the MBCA or any successor statute, or (d) any action asserting a claim governed by the internal affairs doctrine, in all cases subject to the court having personal jurisdiction over the indispensable parties named as defendants, which for purposes of this risk factor refers to herein as the “Massachusetts Forum Provision.” The Massachusetts Forum Provision will not apply to any causes of action arising under the Securities 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In addition, the articles of organization, as amended, of the Combined Company will provide that any person or entity purchasing or otherwise acquiring any interest in shares of its capital stock is deemed to have notice of and consented to the foregoing Massachusetts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Forum Provision may impose additional costs on shareholders of the Combined Company in pursuing any such claims, particularly if the shareholders do not reside in or near the Commonwealth of Massachusetts or were permitted to select another jurisdiction. Additionally, the forum selection clauses in the articles of organization, as amended, of the Combined Company may limit its shareholders’ ability to bring a claim in a judicial forum that they find favorable for disputes with the Combined Company or its directors, officers, employees, or shareholders, which may discourage such lawsuits against the Combined Company and its directors, officers, employees, and shareholders even though an action, if successful, might benefit its shareholders. Alternatively, if a court were to find the Massachusetts Forum Provision contained in the Combined Company’s articles of organization, as amended, to be inapplicable or unenforceable in an action, the Combined Company may incur additional costs associated with resolving such action in other jurisdictions, which could materially and adversely affect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the Combined Company shareholders pursuant to the Merger will no longer be governed by the Cyclerion Articles,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See “</w:t>
      </w:r>
      <w:r>
        <w:rPr>
          <w:rFonts w:ascii="Times New Roman" w:hAnsi="Times New Roman"/>
          <w:i/>
          <w:sz w:val="20"/>
        </w:rPr>
        <w:t>Risks Related to the Cayman Redomestication — Because the Cayman Articles designate the courts of the Cayman Islands as the sole and exclusive forum for certain types of actions and proceedings that may be initiated by the Combined Company’s shareholders, this could limit your ability to obtain a favorable judicial forum for disputes with the Combined Company or its directors, officers or other employees.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and Korsana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Combined Company common stock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 common stock may not develop and its shareholders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Korsana capital stock. An active trading market for the Combined Company shares of common stock may never develop or be sustained. If an active market for the Combined Company common stock does not develop or is not sustained, it may be difficult for the Combined Company shareholders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shareholders could cause the Combined Company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Cyclerion and Korsana sell, or indicate an intention to sell, substantial amounts of the Combined Company common stock in the public market after legal restrictions on resale discussed in this proxy statement/prospectus lapse, the trading price of the common stock of the Combined Company could decline. Based on shares outstanding as of June 30, 2026 for Cyclerion and Korsana, after giving effect to the estimated Exchange Ratio and the shares of Korsana Common Stock to be issued in the Korsana Pre-Closing Financing and shares expected to be issued upon completion of the Merger and prior to giving effect to the anticipated Cyclerion Reverse Stock Split, the Combined Company is expected to have outstanding a total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323.6 million shares of common stock immediately following the completion of the Merger (or approximately 391.7 million shares of common stock after giving effect to the conversion of the Cyclerion Series B Preferred Stock and the exercise of Cyclerion Pre-Funded Warrants). Approximately 225.1 million shares (or approximately 239.4 million, if certain Korsana Pre-Funded Warrants are exercised) will be freely tradeable upon completion of the Merger, and an additional approximately 98.5 million shares (or approximately 152.3 million, if the Cyclerion Series B Preferred Stock is converted and the remaining Korsana Pre-Funded Warrants are exercised) will become available for sale in the public market beginning 180 days after the closing of the Merger as a result of the expiration of lock-up agreements between Cyclerion on the one hand and certain securityholders of Korsana on the other hand (and without giving effect to any restrictions on resale under securities laws). In addition, shares of common stock that are subject to outstanding warrants, options or restricted stock units will become eligible for sale in the public market to the extent permitted by the provisions of various vesting agreements and Rules 144 and 701 under the Securities Act. If these shares are sold, the trading price of the Combined Company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holders of Combined Company Series B Preferred Stock will have the ability to significantly influence all matters submitted to the Combined Company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and giving effect to the issuance of the shares of Korsana Common Stock and the Korsana Pre-Funded Warrants prior to the closing of the Merger pursuant to the Korsana Pre-Closing Financing, it is anticipated that holders of Combined Company Series B Preferred Stock will, in the aggregate, beneficially own approximately 33.9% of the Combined Company’s outstanding shares of common stock (on a fully-diluted basis), subject to certain assumptions, including, but not limited to, Cyclerion’s net cash as of closing being $(2.5) million. As a result, if these shareholders were to choose to act together, they would be able to significantly influence all matters submitted to the Combined Company shareholders for approval, as well as the Combined Company management and affairs. For example, these shareholders, if they choose to act together, would significantly influence the election of directors and approval of any merger, consolidation, or sale of all or substantially all of the Combined Company’s assets. This concentration of voting power could delay or prevent an acquisition of the Combined Company on terms that other shareholders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Preferred Directors elected by the holders of Cyclerion Series B Preferred Stock will have the ability to control or significantly influence all matters submitted to the Combined Company board of directors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directors (the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(the “At-Large Directors”). Each Preferred Director is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it is expected Mr. Gottesdiener, Mr. Kiselak, Ms. Pernice, and Mr. Shah will be elected as the four Preferred Directors by the holders of Cyclerion Series B Preferred Stock. These four Preferred Directors will represent approximately 86% of the total votes of the Combined Company board of directors. As a result, these four Preferred Directors would be able to control or significantly influence all matters submitted to the Combined Company board of directors for approval, including business plans and policies and the appointment and removal of the Combined Company’s officers. The holders of Cyclerion Series B Preferred Stock will thereby have influence with respect to the composition of the Combined Company board of directors and, to the extent they influence the actions of the Preferred Directors, if at all, actions of the Combined Company board of directors. Entities affiliated with Fairmount and Venrock Healthcare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are expected to be the sole holders of 92% of Cyclerion Series B Preferred Stock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Korsana expects that the decision to enter into or amend any agreement with Paragon will be subject to the approval of the Combined Company board of directors. As noted above, the Combined Company board of directors will include four Preferred Directors that are affiliated with and elected by Fairmount and Venrock Healthcare Capital Partners, two of whom are affiliated with Fairmount, in addition to Dr. Violin. As a result, Fairmount may exert influence on the decisions of the Combined Company board of directors and the Combined Company management, including as it relates to agreements with Paragon and decisions to exercise options or enter into license agreements thereunder, which interests may differ from the interests of the Combined Company shareholders given Fairmount’s interest in the Combined Company and Paragon, and indirect interest in Parasa. All directors of the Combined Company will owe fiduciary duties pursuant to Massachusetts law, and directors of the Combined Company will be expected to comply with their respective fiduciary duties under Massachusetts law relevant to related party transactions. If the Cayman Redomestication is effected, all directors of the Combined Company will owe fiduciary duties pursuant to Cayman Islands law, and directors of the Combined Company will be expected to comply with their respective fiduciary duties under Cayman Islands law relevant to related party transactions.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 of the Cayman Redomestication — Comparison of Shareholder Rights under Massachusetts and Shareholder Rights</w:t>
      </w:r>
      <w:r>
        <w:rPr>
          <w:rFonts w:ascii="Times New Roman" w:hAnsi="Times New Roman"/>
          <w:sz w:val="20"/>
        </w:rPr>
        <w:t xml:space="preserve"> </w:t>
      </w:r>
      <w:r>
        <w:rPr>
          <w:rFonts w:ascii="Times New Roman" w:hAnsi="Times New Roman"/>
          <w:i/>
          <w:sz w:val="20"/>
        </w:rPr>
        <w:t>under Cayman Islands Law — Fiduciary Duties and Business Judgment</w:t>
      </w:r>
      <w:r>
        <w:rPr>
          <w:rFonts w:ascii="Times New Roman" w:hAnsi="Times New Roman"/>
          <w:sz w:val="20"/>
        </w:rPr>
        <w:t xml:space="preserve">” beginning on page 252 of this proxy statement/prospectus.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 common stock will be influenced by the research and reports that equity research analysts publish about it and its business. Equity research analysts may elect to not provide research coverage of the Combined Company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Korsana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Korsana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ability to use NOL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incurred losses during its history, and the Combined Company does not expect to become profitable in the near future and may never achieve profitability. As of December 31, 2025, Cyclerion had federal NOL carryforwards of approximately $211 million. As of December 31, 2025, Korsana had federal NOL carryforwards of approximately $31.5 million. Under current law, U.S. federal NOLs incurred in tax years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Code, U.S. federal NOL carryforwards and other tax attributes may become subject to an annual limitation in the event of certain cumulative changes in ownership. An “ownership change” pursuant to Section 382 of the Code generally occurs if one or more shareholders or groups of shareholders who own at least 5% of a company’s stock increase their ownership by more than 50 percentage points over their lowest ownership percentage within a rolling three-year period. The Combined Company’s ability to utilize its NOL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subject to federal, state, and local income and other taxes in the United States and in foreign jurisdictions because of the scope of its operations. 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U.S. government recently enacted legislation commonly referred to as the One Big Beautiful Bill Act that (along with prior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Future guidance from the IRS and other taxing authorities with respect to this and other legislation may affect the Combined Company, and certain aspects of such legislation could be repealed or modified in future legislation or sunset in future years. In addition, it is uncertain if and to what extent various states will conform to federal law. To the extent that any such changes in tax laws and regulations have a negative impact on the Combined Company, including as a result of related uncertainty, its business, financial condition, results of operations and cash flows may be materially and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1069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statements that constitute forward-looking statements within the meaning of the federal securities laws in relation to Cyclerion, Korsana,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Cyclerion’s or Korsana’s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These forward-looking statements involve a number of risks, uncertainties (some of which are beyond Cyclerion’s or Korsana’s control) or other assumptions that may cause actual results or performance to be materially different from those expressed or implied by these forward-looking statements. In addition to other factors and matters contained in this document, Cyclerion and Korsana believe the following factors could cause actual results to differ materially from those discussed in the forward-looking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Merger are not satisfied, including the failure to obtain stockholder approval required to complete the Merger and transactions contemplated thereby;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and Korsana’s ability to meet expectations regarding the timing and completion of the Merger;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Korsana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Merger and the ability of each of Cyclerion and Korsana to consummate the Merger and the transactions contemplated thereby, including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with obtaining the requisite approvals of the stockholders of each of Cyclerion and Korsana and the eﬀectiveness of the registration statement to be filed with the SEC in connection with the Merger and the Pre-Closing Financing;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continued listing on the Nasdaq until closing of the proposed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Cyclerion or Korsana for future operations of the Combined Company following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Korsana and the Combined Company;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CVR holders may never receive any proceeds pursuant to the Cyclerion CVR Agreement;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shareholders will not receive any dividend of cash prior to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Cyclerion’s and Korsana’s ability to correctly estimate their respective operating expenses and expenses associated with the transaction, uncertainties regarding the impact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in the closing of the Merger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Cyclerion and Korsana are restrained from soliciting other acquisition proposals during the pendency of the Merger, except in certain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Cyclerion’s or Korsana’s business relationships, operating results and business generally, including disruption of Cyclerion’s and Korsana’s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Cyclerion or Korsana to pay a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Cyclerion, Korsana or any of their respective directors or officers related to the Merger Agreement or the transactions contemplated thereby;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and Korsana to protect their respective intellectual property rights;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Korsana’s product candidates;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Cyclerion’s and Korsana’s officers, key employees or directors;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public securities’ potential liquidity and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Cyclerion’s and Korsana’s product candidates or their respective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manufacture their product candidates in conformity with the FDA’s requirements and to scale up manufacturing of their product candidates to commercial scale, if approved;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regarding the capabilities and potential of the THETA platform and Korsana’s pipeline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reliance on third-party contract development and manufacturer organizations to manufacture and supply product candidates;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and the potential safety, efficacy and therapeutic effects of Korsana’s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 with third parties and Korsana’s ability to attract collaborators with development, regulatory and commercialization expertise;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Korsana’s competitors or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Should one or more of these risks or uncertainties materialize, or should any of Cyclerion’s or Korsana’s assumptions prove incorrect, actual results may vary in material respects from those projected in these forward-looking statements. There may be additional risks that Cyclerion or Korsana considers immaterial or which are unknown. You are urged to carefully review the disclosures Cyclerion and Korsana make concerning these risks and other factors that may affect Cyclerion’s and Korsana’s business and operating results under the section titled “</w:t>
      </w:r>
      <w:r>
        <w:rPr>
          <w:rFonts w:ascii="Times New Roman" w:hAnsi="Times New Roman"/>
          <w:i/>
          <w:sz w:val="20"/>
        </w:rPr>
        <w:t>Risk Factors</w:t>
      </w:r>
      <w:r>
        <w:rPr>
          <w:rFonts w:ascii="Times New Roman" w:hAnsi="Times New Roman"/>
          <w:sz w:val="20"/>
        </w:rPr>
        <w:t>” beginning on page 33 of this proxy statement/prospectus. Additional factors that could cause actual results to differ materially from those expressed in the forward-looking statements are discussed in reports filed with the SEC by Cyclerion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436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Cyclerion, Korsana or the Combined Company could differ materially from the forward-looking statements. Any public statements or disclosures by Cyclerion and Korsana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Cyclerion and Korsana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1069_6"/>
      <w:bookmarkEnd w:id="8"/>
      <w:r>
        <w:rPr>
          <w:rFonts w:ascii="Times New Roman" w:hAnsi="Times New Roman"/>
          <w:b/>
          <w:sz w:val="20"/>
        </w:rPr>
        <w:t xml:space="preserve">THE ANNUAL MEETING OF CYCLERION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Shareholders Meeting will be held on August 26, 2026, commencing at 2:00 p.m. Eastern Time, unless postponed or adjourned to a later date. The Cyclerion Shareholders Meeting will be held exclusively online. You will be able to attend and participate in the Cyclerion Shareholders Meeting online by visiting </w:t>
      </w:r>
      <w:r>
        <w:rPr>
          <w:rFonts w:ascii="Times New Roman" w:hAnsi="Times New Roman"/>
          <w:i/>
          <w:sz w:val="20"/>
        </w:rPr>
        <w:t>www.virtualshareholdermeeting.com/CYCN2026</w:t>
      </w:r>
      <w:r>
        <w:rPr>
          <w:rFonts w:ascii="Times New Roman" w:hAnsi="Times New Roman"/>
          <w:sz w:val="20"/>
        </w:rPr>
        <w:t xml:space="preserve">, where you will be able to listen to the meeting live, submit questions and vote. Cyclerion is sending this proxy statement/prospectus to its shareholders in connection with the solicitation of proxies by the Cyclerion Board for use at the Cyclerion Shareholders Meeting and any adjournments or postponements of the Cyclerion Shareholders Meeting. This proxy statement/prospectus is first being furnished to Cyclerion shareholders on or about July 27,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Cyclerion Shareholders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Cyclerion Shareholders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Cyclerion Common Stock, including the shares of Cyclerion Common Stock issuable upon conversion of Cyclerion Series B Preferred Stock, which will represent more than 20% of the shares of Cyclerion Common Stock outstanding immediately prior to the First Merger, to stockholders of Korsana, pursuant to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Cyclerion resulting from the First Merger,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2.</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articles of amendment to the restated articles of organization of Cyclerion, as amended (the “Cyclerion Articles”), to increase the number of shares of Cyclerion Common Stock that Cyclerion is authorized to issue from 400,000,000 shares to 700,000,000 shares, in the form attached as </w:t>
            </w:r>
            <w:r>
              <w:rPr>
                <w:rFonts w:ascii="Times New Roman" w:hAnsi="Times New Roman"/>
                <w:i/>
                <w:sz w:val="20"/>
              </w:rPr>
              <w:t>Annex H</w:t>
            </w:r>
            <w:r>
              <w:rPr>
                <w:rFonts w:ascii="Times New Roman" w:hAnsi="Times New Roman"/>
                <w:sz w:val="20"/>
              </w:rPr>
              <w:t xml:space="preserve"> to this proxy statement/prospectus (the “Authorized Share Increase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3.</w:t>
            </w:r>
          </w:p>
        </w:tc>
        <w:tc>
          <w:tcPr>
            <w:tcW w:w="10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Cyclerion Articles to effect a reverse stock split of Cyclerion’s issued and outstanding common stock at a ratio in the range of one new share for every two shares and one new share for every ten shares (or any number in between), in the form attached as </w:t>
            </w:r>
            <w:r>
              <w:rPr>
                <w:rFonts w:ascii="Times New Roman" w:hAnsi="Times New Roman"/>
                <w:i/>
                <w:sz w:val="20"/>
              </w:rPr>
              <w:t>Annex I</w:t>
            </w:r>
            <w:r>
              <w:rPr>
                <w:rFonts w:ascii="Times New Roman" w:hAnsi="Times New Roman"/>
                <w:sz w:val="20"/>
              </w:rPr>
              <w:t xml:space="preserve"> to this proxy statement/prospectus, with the final ratio and effectiveness of such amendment and the abandonment of such amendment to be mutually agreed by the Cyclerion Board and the Korsana Board prior to the First Effective Time or, if the Nasdaq Stock Issuance Proposal is not approved by Cyclerion shareholders, determined solely by the Cyclerion Board (the “Reverse Stock Split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4.</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 the redomestication of Cyclerion from the Commonwealth of Massachusetts to the Cayman Islands by domestication (“Proposal No. 4A”) and (B)(i) the redomestication of Cyclerion from the Commonwealth of Massachusetts to the Cayman Islands by way of continuation and (ii) the adoption of the memorandum and articles of association of the Combined Company (the “Cayman Articles”), substantially in the form attached as </w:t>
            </w:r>
            <w:r>
              <w:rPr>
                <w:rFonts w:ascii="Times New Roman" w:hAnsi="Times New Roman"/>
                <w:i/>
                <w:sz w:val="20"/>
              </w:rPr>
              <w:t>Annex K</w:t>
            </w:r>
            <w:r>
              <w:rPr>
                <w:rFonts w:ascii="Times New Roman" w:hAnsi="Times New Roman"/>
                <w:sz w:val="20"/>
              </w:rPr>
              <w:t xml:space="preserve"> to this proxy statement/prospectus (“Proposal No. 4B” and together with Proposal No. 4A, the “Redomestication Proposal” or “Proposal No.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 Errol B. De Souza, Ph.D., Regina M. Graul, Ph.D., Peter M. Hecht, Ph.D., Michael Higgins, Steven E. Hyman, M.D., and Dina Katabi, Ph.D., to the Cyclerion Board and to hold office until Cyclerion’s annual meeting of shareholders in 2027, and until his or her successor has been duly elected and qualified, or until his or her earlier death, resignation or removal (the “Director Election Proposal” or “Proposal No. 5”), provided that if the Merger is consummated, the composition of the Cyclerion Board will be reconstituted upon completion of the Merger,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6.</w:t>
            </w:r>
          </w:p>
        </w:tc>
        <w:tc>
          <w:tcPr>
            <w:tcW w:w="100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Ratify the appointment of Ernst &amp; Young LLP as Cyclerion’s independent registered public accounting firm for fiscal year ending December 31, 2026 (the “Auditor Ratification Proposal” or “Proposal No. 6”);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215"/>
        <w:gridCol w:w="9335"/>
      </w:tblGrid>
      <w:tr>
        <w:trPr/>
        <w:tc>
          <w:tcPr>
            <w:tcW w:w="215" w:type="dxa"/>
            <w:tcBorders/>
            <w:vAlign w:val="center"/>
          </w:tcPr>
          <w:p>
            <w:pPr>
              <w:pStyle w:val="TableContents"/>
              <w:bidi w:val="0"/>
              <w:spacing w:before="0" w:after="283"/>
              <w:jc w:val="left"/>
              <w:rPr/>
            </w:pPr>
            <w:r>
              <w:rPr/>
              <w:t>7.</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Stock Incentive Plan (the “Stock Plan Proposal” or “Proposal No. 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40" w:type="dxa"/>
        <w:jc w:val="left"/>
        <w:tblInd w:w="0" w:type="dxa"/>
        <w:tblLayout w:type="fixed"/>
        <w:tblCellMar>
          <w:top w:w="0" w:type="dxa"/>
          <w:left w:w="0" w:type="dxa"/>
          <w:bottom w:w="0" w:type="dxa"/>
          <w:right w:w="0" w:type="dxa"/>
        </w:tblCellMar>
      </w:tblPr>
      <w:tblGrid>
        <w:gridCol w:w="215"/>
        <w:gridCol w:w="9725"/>
      </w:tblGrid>
      <w:tr>
        <w:trPr/>
        <w:tc>
          <w:tcPr>
            <w:tcW w:w="215" w:type="dxa"/>
            <w:tcBorders/>
            <w:vAlign w:val="center"/>
          </w:tcPr>
          <w:p>
            <w:pPr>
              <w:pStyle w:val="TableContents"/>
              <w:bidi w:val="0"/>
              <w:spacing w:before="0" w:after="283"/>
              <w:jc w:val="left"/>
              <w:rPr/>
            </w:pPr>
            <w:r>
              <w:rPr/>
              <w:t>8.</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Korsana Biosciences, Inc. 2026 Employee Stock Purchase Plan (the “ESPP Proposal” or “Proposal No. 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9.</w:t>
            </w:r>
          </w:p>
        </w:tc>
        <w:tc>
          <w:tcPr>
            <w:tcW w:w="100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certain compensation arrangements for Cyclerion’s named executive officers that are based on or otherwise relate to the Merger (the “Merger Compensation Proposal” or “Proposal No. 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pPr>
            <w:r>
              <w:rPr/>
              <w:t>10.</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an advisory basis, the compensation of Cyclerion’s named executive officers (the “Say-on-Pay Proposal” or “Proposal No.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Cyclerion Shareholders Meeting, if necessary, to solicit additional proxies if there is not a sufficient number of votes in favor of the Nasdaq Stock Issuance Proposal, the Authorized Share Increase Proposal, and/or the Reverse Stock Split Proposal (the “Adjournment Proposal” or “Proposal No. 11”);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12.</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shareholders at the Cyclerion Shareholders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recommends that you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the issuance of shares of Cyclerion Common Stock, including shares of Cyclerion Common Stock issuable upon conversion of Cyclerion Series B Preferred Stock, pursuant to the Merger Agreement is fair to, in the best interests of, and advisable to, Cyclerion and its shareholders. The Cyclerion Board recommends that Cyclerion shareholders vote “</w:t>
            </w:r>
            <w:r>
              <w:rPr>
                <w:rFonts w:ascii="Times New Roman" w:hAnsi="Times New Roman"/>
                <w:b/>
                <w:sz w:val="20"/>
              </w:rPr>
              <w:t>FOR</w:t>
            </w:r>
            <w:r>
              <w:rPr>
                <w:rFonts w:ascii="Times New Roman" w:hAnsi="Times New Roman"/>
                <w:sz w:val="20"/>
              </w:rPr>
              <w:t xml:space="preserve">” the approval of Nasdaq Stock Issuance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increase in authorized shares. The Cyclerion Board recommends that Cyclerion shareholders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declared that it is advisable and in the best interests of Cyclerion and its shareholders to approve the amendment to the Cyclerion Articles to effect the reverse stock split, if necessary. The Cyclerion Board recommends that Cyclerion shareholders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has determined and believes that it is fair to, in the best interests of, and advisable to, Cyclerion and its shareholders to approve (A) the redomestication of Cyclerion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Commonwealth of Massachusetts to the Cayman Islands by domestication and (B)(i) the redomestication of Cyclerion from the Commonwealth of Massachusetts to the Cayman Islands by way of continuation and (ii) the adoption of the Cayman Articles,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Redomestication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elect Errol B. De Souza, Ph.D., Regina M. Graul, Ph.D., Peter M. Hecht, Ph.D., Michael Higgins, Steven E. Hyman, M.D., and Dina Katabi, Ph.D., to serve on the Cyclerion Board and to hold office until Cyclerion’s annual meeting of shareholders in 2027, provided that if the Merger is consummated, the Cyclerion Board will be reconstituted upon completion of the Merger, in accordance with the Merger Agreement. The Cyclerion Board recommends that Cyclerion shareholders vote “</w:t>
            </w:r>
            <w:r>
              <w:rPr>
                <w:rFonts w:ascii="Times New Roman" w:hAnsi="Times New Roman"/>
                <w:b/>
                <w:sz w:val="20"/>
              </w:rPr>
              <w:t>FOR</w:t>
            </w:r>
            <w:r>
              <w:rPr>
                <w:rFonts w:ascii="Times New Roman" w:hAnsi="Times New Roman"/>
                <w:sz w:val="20"/>
              </w:rPr>
              <w:t xml:space="preserve">” the director nominee named in the Director Election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ratify the selection of Ernst &amp; Young LLP as Cyclerion’s independent registered public accounting firm for the fiscal year ending December 31, 2026. The Cyclerion Board recommends that Cyclerion shareholders vote “</w:t>
            </w:r>
            <w:r>
              <w:rPr>
                <w:rFonts w:ascii="Times New Roman" w:hAnsi="Times New Roman"/>
                <w:b/>
                <w:sz w:val="20"/>
              </w:rPr>
              <w:t>FOR</w:t>
            </w:r>
            <w:r>
              <w:rPr>
                <w:rFonts w:ascii="Times New Roman" w:hAnsi="Times New Roman"/>
                <w:sz w:val="20"/>
              </w:rPr>
              <w:t xml:space="preserve">” the Auditor Ratification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Stock Incentive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Stock Plan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the 2026 Employee Stock Purchase Plan, as described in this proxy statement/prospectus. The Cyclerion Board recommends that Cyclerion shareholders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certain compensation arrangements for Cyclerion’s named executive officers that are based on or otherwise relate to the Merger. The Cyclerion Board recommends that Cyclerion shareholders vote “</w:t>
            </w:r>
            <w:r>
              <w:rPr>
                <w:rFonts w:ascii="Times New Roman" w:hAnsi="Times New Roman"/>
                <w:b/>
                <w:sz w:val="20"/>
              </w:rPr>
              <w:t>FOR</w:t>
            </w:r>
            <w:r>
              <w:rPr>
                <w:rFonts w:ascii="Times New Roman" w:hAnsi="Times New Roman"/>
                <w:sz w:val="20"/>
              </w:rPr>
              <w:t xml:space="preserve">” the Merger Compensation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it is advisable to, and in the best interests of, Cyclerion and its shareholders to approve, on an advisory basis, the compensation of Cyclerion’s named executive officers. The Cyclerion Board recommends that Cyclerion shareholders vote “</w:t>
            </w:r>
            <w:r>
              <w:rPr>
                <w:rFonts w:ascii="Times New Roman" w:hAnsi="Times New Roman"/>
                <w:b/>
                <w:sz w:val="20"/>
              </w:rPr>
              <w:t>FOR</w:t>
            </w:r>
            <w:r>
              <w:rPr>
                <w:rFonts w:ascii="Times New Roman" w:hAnsi="Times New Roman"/>
                <w:sz w:val="20"/>
              </w:rPr>
              <w:t xml:space="preserve">” the Say-on-Pay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Board has determined and believes that adjourning the Cyclerion Shareholders Meeting, if necessary, to solicit additional proxies if there is not a sufficient number of votes in favor of the Nasdaq Stock Issuance Proposal, the Authorized Share Increase Proposal, and/or the Reverse Stock Split Proposal is fair to, in the best interests of, and advisable to, Cyclerion and its shareholders and has approved and adopted the proposal. The Cyclerion Board recommends that Cyclerion shareholders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Cyclerion Common Stock at the close of business on the Record Date of July 17, 2026, are entitled to notice of, and to vote at, the Cyclerion Shareholders Meeting. At the close of business on July 17, 2026, there were 67 registered holders of record of Cyclerion Common Stock and there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4,681,351 shares of Cyclerion Common Stock issued and outstanding. Each share of Cyclerion Common Stock entitles the holder thereof to one vote on each matter submitted for shareholder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Cyclerion Board for use at the Cyclerion Shareholders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Cyclerion Common Stock, Computershare Trust Company, N.A., then you are a shareholder of record. As a shareholder of record, you may vote at the Cyclerion Shareholders Meeting or vote by proxy. Whether or not you plan to attend the Cyclerion Shareholders Meeting, we urge you to vote by proxy over the telephone or on the Internet as instructed below or return the proxy card we may mail to you to ensure your vote is counted, the form of which is attached hereto as </w:t>
      </w:r>
      <w:r>
        <w:rPr>
          <w:rFonts w:ascii="Times New Roman" w:hAnsi="Times New Roman"/>
          <w:i/>
          <w:sz w:val="20"/>
        </w:rPr>
        <w:t>Annex R</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shareholder of record, you may vote at the Cyclerion Shareholders Meeting. Alternatively, you may vote by proxy by using the accompanying proxy card, over the Internet or by telephone. Whether or not you plan to attend the Cyclerion Shareholders Meeting, Cyclerion encourages you to vote by proxy to ensure your vote is counted. Even if you have submitted a proxy before the Cyclerion Shareholders Meeting, you may still attend the Cyclerion Shareholders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we may elect to deliver at a later time and return it promptly in the envelope provided. If you return your signed proxy card to Cyclerion before the annual meeting, we will vote your shares as you direct.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75"/>
        <w:gridCol w:w="110"/>
        <w:gridCol w:w="60"/>
        <w:gridCol w:w="8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telephone by calling the toll-free number found on the proxy card.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Cyclerion. Simply complete and mail the voting instruction card to ensure that your vote is counted. To vote at the Cyclerion Shareholders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Cyclerion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As a result, Cyclerion urges you to direct your broker, bank or other agent how to vote your shares on all proposals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Proposal Nos.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Cyclerion Shareholders Meeting and at any adjournments or postponements of the Cyclerion Shareholders Meeting in accordance with the instructions contained in the proxy. </w:t>
      </w:r>
      <w:r>
        <w:rPr>
          <w:rFonts w:ascii="Times New Roman" w:hAnsi="Times New Roman"/>
          <w:b/>
          <w:sz w:val="20"/>
        </w:rPr>
        <w:t>If a holder of Cyclerion</w:t>
      </w:r>
      <w:r>
        <w:rPr>
          <w:rFonts w:ascii="Times New Roman" w:hAnsi="Times New Roman"/>
          <w:sz w:val="20"/>
        </w:rPr>
        <w:t xml:space="preserve"> </w:t>
      </w:r>
      <w:r>
        <w:rPr>
          <w:rFonts w:ascii="Times New Roman" w:hAnsi="Times New Roman"/>
          <w:b/>
          <w:sz w:val="20"/>
        </w:rPr>
        <w:t>Common Stock</w:t>
      </w:r>
      <w:r>
        <w:rPr>
          <w:rFonts w:ascii="Times New Roman" w:hAnsi="Times New Roman"/>
          <w:sz w:val="20"/>
        </w:rPr>
        <w:t xml:space="preserve"> </w:t>
      </w:r>
      <w:r>
        <w:rPr>
          <w:rFonts w:ascii="Times New Roman" w:hAnsi="Times New Roman"/>
          <w:b/>
          <w:sz w:val="20"/>
        </w:rPr>
        <w:t xml:space="preserve">executes and returns a proxy and does not specify otherwise, the shares represented by that proxy will be voted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all of the proposals in accordance with the recommendation of the Cyclerion</w:t>
      </w:r>
      <w:r>
        <w:rPr>
          <w:rFonts w:ascii="Times New Roman" w:hAnsi="Times New Roman"/>
          <w:sz w:val="20"/>
        </w:rPr>
        <w:t xml:space="preserve"> </w:t>
      </w:r>
      <w:r>
        <w:rPr>
          <w:rFonts w:ascii="Times New Roman" w:hAnsi="Times New Roman"/>
          <w:b/>
          <w:sz w:val="20"/>
        </w:rPr>
        <w:t>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Cyclerion Shareholders Meeting of the holders of a majority of the shares of Cyclerion Common Stock outstanding and entitled to vote at the Cyclerion Shareholders Meeting is necessary to constitute a quorum at the meeting. Abstentions and broker non-votes, if any, will be counted towards the presence of a quorum. The affirmative vote of a majority of the votes properly cast by the holders of Cyclerion Common Stock in person or represented by proxy at the Cyclerion Shareholders Meeting, assuming a quorum is present, is required for approval of Proposal No. 1 and Proposal No. 5. The affirmative vote of a majority of the shares entitled to vote on the subject matter at the Cyclerion Shareholders Meeting is required for approval of Proposal No. 2, and Proposal No. 3. The affirmative vote of not less than two-thirds of the shares entitled to vote on the subject matter at the Cyclerion Shareholders Meeting, assuming a quorum is present, is required for approval of Proposal No. 4A. The affirmative vote of not less than two-thirds of the votes properly cast by the holders of Cyclerion Common Stock in person or represented by proxy at the Cyclerion Shareholders Meeting, assuming a quorum is present, is required for approval of Proposal No. 4B. The number of affirmative votes exceeding the number of votes opposing the matter, assuming a quorum is present, is required for the approval of Proposal No. 6, Proposal No. 7, Proposal No. 8, Proposal No. 9, Proposal No. 10, and Proposal No. 11. </w:t>
      </w:r>
    </w:p>
    <w:p>
      <w:pPr>
        <w:pStyle w:val="TextBody"/>
        <w:bidi w:val="0"/>
        <w:spacing w:before="240" w:after="0"/>
        <w:jc w:val="left"/>
        <w:rPr>
          <w:rFonts w:ascii="Times New Roman" w:hAnsi="Times New Roman"/>
          <w:sz w:val="20"/>
        </w:rPr>
      </w:pPr>
      <w:r>
        <w:rPr>
          <w:rFonts w:ascii="Times New Roman" w:hAnsi="Times New Roman"/>
          <w:sz w:val="20"/>
        </w:rPr>
        <w:t xml:space="preserve">Approval of each of Proposal No. 1, Proposal No. 2, and Proposal No. 3 is a condition to the completion of the Merger. Therefore, the Merger cannot be consummated without the approval of Proposal Nos. 1, 2 and 3, unless, to the extent permitted by applicable law, each of Cyclerion, the Merger Subs, and Korsana waives such conditions. The issuance of Cyclerion Common Stock, including shares of Cyclerion Common Stock issuable upon conversion of Cyclerion Series B Preferred Stock, and Cyclerion Series B Preferred Stock in connection with the Merger and the change of control of Cyclerion resulting from the Merger will not take place unless Proposal Nos. 1, 2, and 3 are approved by Cyclerion shareholders and the Merger is consummated. The amendment to the Cyclerion Articles to increase the number of authorized shares of Cyclerion Common Stock will not take place unless Proposal Nos. 1, 2, and 3 are approved by Cyclerion shareholders and the Merger is consummated. The amendment to the Cyclerion Articles to effect a reverse stock split of Cyclerion’s issued and outstanding common stock, will not take place unless Proposal Nos. 1, 2, and 3 are approved by the requisite Cyclerion shareholders. However, the Cyclerion Board may determine to effect the reverse stock split, if approved by Cyclerion shareholders, following the Shareholders Meeting, even if Proposal Nos. 1 and 2 are not approved or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Proposal Nos. 4A, 4B, 7, 8, and 9 are each conditioned on the consummation of the Merger. Therefore, if Proposal Nos. 1, 2, and 3 are not approved or the Merger is not consummated, Proposal Nos. 4A, 4B, 7, 8, and 9 will each have no effect, even if approved by Cyclerion shareholders.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if any, as applicable to each proposal. Abstentions and broker non-votes, if any, will be treated as shares present for the purpose of determining the presence of a quorum for the transaction of business at the Cyclerion Shareholders Meeting. Abstentions will be counted towards the vote totals for each proposal, will have the same effect as a vote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Nos. 2, 3, and 4A and will have no effect on Proposal Nos. 1, 4B, 5, 6, 7 8, 9, 10, and 11. Broker non-votes, if any, will have no effect on Proposal Nos. 1, 4B, 5, 6, 7, 8, 9, 10, and 11 and will have the same effect as a vote “AGAINST” Proposal Nos. 2, 3, and 4A. </w:t>
      </w:r>
    </w:p>
    <w:p>
      <w:pPr>
        <w:pStyle w:val="TextBody"/>
        <w:bidi w:val="0"/>
        <w:spacing w:before="240" w:after="0"/>
        <w:jc w:val="left"/>
        <w:rPr>
          <w:rFonts w:ascii="Times New Roman" w:hAnsi="Times New Roman"/>
          <w:sz w:val="20"/>
        </w:rPr>
      </w:pPr>
      <w:r>
        <w:rPr>
          <w:rFonts w:ascii="Times New Roman" w:hAnsi="Times New Roman"/>
          <w:sz w:val="20"/>
        </w:rPr>
        <w:t xml:space="preserve">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Proposal No. 1, Proposal No. 2, and Proposal No. 3, subject to the terms of the support agreements. Following the effectiveness of the registration statement on Form S-4 of which the accompanying proxy statement/prospectus is a part and pursuant to the Merger Agreement, Korsana stockholders holding a sufficient number of shares of Korsana capital stock to adopt the Merger Agreement and approve the Merger and related transactions will be asked to execute written consents providing for such adoption and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 of Cyclerion may solicit proxies from Cyclerion shareholders by personal interview, telephone, email, fax or otherwise. Cyclerion and Korsana will share equally the costs of printing and filing this proxy statement/prospectus and proxy card. Arrangements will also be made with brokerage firms and other custodians, nominees and fiduciaries who are record holders of Cyclerion Common Stock for the forwarding of solicitation materials to the beneficial owners of Cyclerion Common Stock. Cyclerion will reimburse these brokers, custodians, nominees and fiduciaries for the reasonable out of pocket expenses they incur in connection with the forwarding of solicitation materials. Cyclerion has retained Laurel Hill as its proxy solicitor.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pay the fees of Laurel Hill, which Cyclerion and Korsana expect to be approximately $25,000, plus reimbursement for certain out-of-pocket expenses. Cyclerion has agreed to indemnify Laurel Hill and related parties against certain liabilities and expenses arising out of its services in connection with the Cyclerion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Cyclerion Board does not know of any business to be presented at the Cyclerion Shareholders Meeting other than as set forth in the notice accompanying this proxy statement/prospectus. If any other matters should properly come before the Cyclerion Shareholders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1069_7"/>
      <w:bookmarkEnd w:id="9"/>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168 of this proxy statement/prospectus describe the material aspects of the Merger and the Merger Agreement. While Cyclerion and Korsana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See the section titled “Where You Can Find More Information” beginning on page 436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is a summary description of the background of the negotiations and the proposed merger and does not purport to document every discussion among representatives of Cyclerion, Korsana or other parties. In addition to formal meetings of the Cyclerion Board, Cyclerion’s management had periodic and other informal discussions with members of the Cyclerion Board throughout the process, and Cyclerion’s management held periodic calls with various advisors, and ultimately with Korsana and its advisors. The terms of the Merger Agreement are the result of extensive arm’s-length negotiations among Cyclerion’s and Korsana’s management and members of the Cyclerion Board and the Korsana Board, as well as with Cyclerion’s and Korsana’s respective financial advisors and legal counsel.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Cyclerion Board, assisted by Cyclerion management and outside advisors, regularly considers and reviews the strategy, performance and prospects of Cyclerion with a view toward maximizing shareholder value. These reviews have included, from time to time, discussions of opportunities and risks associated with Cyclerion’s development programs, its financial condition, strategic relationships and market conditions generally, as well as strategic alternatives, financing opportunities, business collaborations and licensing opportunities potentially available to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was spun out of Ironwood Pharmaceuticals, Inc. in April 2019 as a clinical-stage biopharmaceutical company focused on the development of soluble guanylate cyclase (“sGC”) for treatment of central nervous system diseases. </w:t>
      </w:r>
    </w:p>
    <w:p>
      <w:pPr>
        <w:pStyle w:val="TextBody"/>
        <w:bidi w:val="0"/>
        <w:spacing w:before="240" w:after="0"/>
        <w:jc w:val="left"/>
        <w:rPr>
          <w:rFonts w:ascii="Times New Roman" w:hAnsi="Times New Roman"/>
          <w:sz w:val="20"/>
        </w:rPr>
      </w:pPr>
      <w:r>
        <w:rPr>
          <w:rFonts w:ascii="Times New Roman" w:hAnsi="Times New Roman"/>
          <w:sz w:val="20"/>
        </w:rPr>
        <w:t xml:space="preserve">Between April 2019 and July 2023, Cyclerion conducted multiple clinical trials in connection with the development of its sGC stimulators for treatment of various indications. In order to narrow such efforts, in June 2021, Cyclerion out licensed certain assets pursuant to the Akebia License Agreement. In early 2023, the Cyclerion Board determined to shift Cyclerion’s strategy from developing sGC stimulators to building a new pipeline targeting neuropsychiatric diseases and in July 2023, Cyclerion sold zagociguat and CY3018 to Tisento. In connection with such sale, Cyclerion discontinued clinical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2023 and January 2025, the Cyclerion Board held periodic meetings to review Cyclerion’s financial position, capital requirements and financing strategy and consider opportunities and strategies for obtaining sufficient capital to continue its shift toward building a new therapeutic pipeline including development programs targeting neuropsychiatric diseases. During this time, members of Cyclerion management evaluated assets in multiple therapeutic areas with the goal of identifying products and opportunities directed at addressing patient needs and increasing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at a meeting of the Cyclerion Board, including Dr. Regina Graul, Cyclerion’s President and Chief Executive Officer, Ms. Rhonda Chicko, Cyclerion’s Chief Financial Officer, and Mr. Keith Ouellette, a representative of CFGI, LLC, Cyclerion’s accounting, finance and tax advisor, in attendance, Dr. Graul and Ms. Chicko presented a preliminary operating plan and budget for fiscal year 2025, which included a proposed development plan focused around acquiring rights to a product candidate and pipeline for therapeutic treatments of treatment resistant depression (“TRD”) and an initial financing strategy designed to support such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The Cyclerion Board discussed these initiatives and directed Cyclerion’s management to continue to refine the proposed development plan and to evaluate financing alternatives.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2025, Cyclerion entered into a patent option agreement with the Massachusetts Institute of Technology (“MIT”) (the “MIT Option Agreement”), pursuant to which MIT granted Cyclerion the exclusive right to negotiate an exclusive license agreement with respect to certain patent rights held by MIT related to therapeutic product candidates for the treatment of depression. </w:t>
      </w:r>
    </w:p>
    <w:p>
      <w:pPr>
        <w:pStyle w:val="TextBody"/>
        <w:bidi w:val="0"/>
        <w:spacing w:before="240" w:after="0"/>
        <w:jc w:val="left"/>
        <w:rPr>
          <w:rFonts w:ascii="Times New Roman" w:hAnsi="Times New Roman"/>
          <w:sz w:val="20"/>
        </w:rPr>
      </w:pPr>
      <w:r>
        <w:rPr>
          <w:rFonts w:ascii="Times New Roman" w:hAnsi="Times New Roman"/>
          <w:sz w:val="20"/>
        </w:rPr>
        <w:t xml:space="preserve">On April 3, 2025, at a meeting of the Cyclerion Board, including Dr. Graul, with members of Cyclerion’s management, including Ms. Chicko, and Mr. Ouellette in attendance, members of the Cyclerion Board and Cyclerion’s management reviewed Cyclerion’s financial position and projected cash runway. Dr. Graul and Ms. Chicko then presented a proposed updated financing strategy, which included the establishment of an “at-the-market” equity program to be used for opportunistic equity financing transactions and certain non-dilutive capital sources, including potential asset-related transactions. The Cyclerion Board then directed Cyclerion’s management to continue pursuing multiple financing channels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2025, at a meeting of the Cyclerion Board, including Dr. Graul, with members of Cyclerion’s management, including Ms. Chicko, and Mr. Ouellette in attendance, members of the Cyclerion Board and Cyclerion’s management reviewed updates to Cyclerion’s proposed development program for the product candidate that is the subject of the MIT Option Agreement, including engagement and feedback with regulatory authorities, and reviewed Cyclerion’s financial position and financing activities. Members of the Cyclerion Board, including Dr. Graul, and members of Cyclerion’s management, including Ms. Chicko, and Mr. Ouellette discussed a strategy of identifying intellectual property rights for the development of a medical device development program as a companion to Cyclerion’s proposed drug development program prior to pursuing a larger financing transaction as well as potential asset-related transactions. The Cyclerion Board directed management to continue advancing efforts to identify potential development programs while pursuing financing alternatives and strategic opportunities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following the exercise of its option under the MIT Option Agreement and negotiations with MIT, Cyclerion entered into a patent license agreement (the “MIT License Agreement”) with MIT, pursuant to which MIT granted Cyclerion a license to develop and commercialize certain anesthetic-based investigational therapy products for the treatment of neuropsychiatric disorders, including depression.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at a meeting of the Cyclerion Board, including Dr. Graul, and members of Cyclerion’s management, including Ms. Chicko, and Mr. Ouellette in attendance, members of the Cyclerion Board and Cyclerion’s management reviewed updates to Cyclerion’s financial position and projected cash runway, including the impact of an anticipated Phase 2 proof-of-concept trial and related device development program activities. The Cyclerion Board discussed the juxtaposition between the amount of required capital for the proposed development plan presented by Dr. Graul and Ms. Chicko and the availability of financing to meet these capital requirements. As a result of the potential challenges funding Cyclerion’s development plans, in addition to exploring potential financing transactions, the Cyclerion Board also directed Cyclerion’s management to continue to evaluate strategic alternatives and to determine a process for reviewing and evaluating inbound expressions of interest regarding reverse merger opportunities that Cyclerion may receive as a result of its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3, 2025 and December 11, 2025, members of Cyclerion’s management met with representatives of 16 financial advisors to discuss advising Cyclerion on a potential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16, 2025, Cyclerion’s management received an unsolicited indication of interest from a representative of Company A, a privately held biotech company developing therapies for metabolic disorders, regarding a potential reverse merger transaction (the “Company A Proposal”). The Company A Proposal provided for the acquisition of all of Company A’s outstanding equity securities by Cyclerion in exchange for shares of Cyclerion common stock at a ratio determined by agreed valuations of Cyclerion and Company 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equity financing of at least $25 million. Cyclerion’s valuation in the Company A Proposal was $20 million. The Company A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2025, members of the Cyclerion Board received correspondence from a representative of Company A requesting a response by October 31, 2025 as to whether Cyclerion intended to move forward with Company A’s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26, 2025, Cyclerion engaged a scientific advisor, Tim Surgenor of Red Sky Partners, LLC, to assist with review and evaluation of the Company A Proposal and related diligence. Later that day, Cyclerion’s management notified the full Cyclerion Board of the response deadline received from Company A. </w:t>
      </w:r>
    </w:p>
    <w:p>
      <w:pPr>
        <w:pStyle w:val="TextBody"/>
        <w:bidi w:val="0"/>
        <w:spacing w:before="240" w:after="0"/>
        <w:jc w:val="left"/>
        <w:rPr>
          <w:rFonts w:ascii="Times New Roman" w:hAnsi="Times New Roman"/>
          <w:sz w:val="20"/>
        </w:rPr>
      </w:pPr>
      <w:r>
        <w:rPr>
          <w:rFonts w:ascii="Times New Roman" w:hAnsi="Times New Roman"/>
          <w:sz w:val="20"/>
        </w:rPr>
        <w:t xml:space="preserve">Between October 26, 2025 and October 29, 2025, members of Cyclerion’s management and Mr. Surgenor conducted scientific, regulatory, financial and strategic diligence on Company A.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Dr. Graul and Ms. Chicko met with Mr. Surgenor and Michael Higgins, a member of the Cyclerion Board, to discuss concerns related to the proposed financing terms of the Company A Proposal, which were subsequently communicated to the other members of the Cyclerion Board. Following consideration of the concerns raised by Dr. Graul, Ms. Chicko, Mr. Surgenor and Mr. Higgins, the Cyclerion Board determined that it was not in the best interests of Cyclerion or Cyclerion’s shareholders to move forward with the Company A Proposal, due to their belief that such a transaction would not provide greater value to Cyclerion’s shareholders than continuing operations as an independent company. In coming to this decision, the Cyclerion Board noted that Company A’s development programs, including the underlying technology and science, were early stage and the target indications were both highly competitive. Company A had limited cash resources on hand and the future of the combined company would have been dependent on completion of a concurrent financing of at least $25 million and up to $55 million, which was not secured. The Cyclerion Board directed Cyclerion’s management to notify Company A of Cyclerion’s decision not to move forward.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Company A was notified of Cyclerion’s decision not to proceed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20, 2025, at a meeting of the Cyclerion Board with Dr. Graul, Ms. Chicko and Mr. Ouellette, in attendance, Dr. Graul and Ms. Chicko presented a comprehensive overview of Cyclerion’s capital requirements for its proposed drug and device development programs, indicating that approximately $20 to $25 million in capital would be necessary to fund operations through a key clinical inflection point and approximately $50 million would be necessary to reach full Phase 2 proof-of-concept data. Dr. Graul and Ms. Chicko also presented a few alternatives for obtaining the necessary capital to fund such operations and identified two out of the 16 potential financial advisors with whom Cyclerion had met over the prior two months that had expressed interest in being engaged for such financing transactions. The Cyclerion Board discussed these capital requirements relative to Cyclerion’s recent difficulties in identifying substantial investor interest and directed Cyclerion’s management to move forward with negotiations to engage a financial advisor in connection with pursuing a private placement transaction or transactions to obtain the required capital for the drug and device development programs while also continuing to evaluate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20, 2025, members of Cyclerion’s management received a proposed engagement letter from one of the two prospective financial advisors, which included a proposal for a financing transaction involving the sale of registered equity. Following further discussions with the first prospective financial advisor and the direction of the Cyclerion Board to pursue a private placement transaction, Cyclerion decided not to move forward with engaging the first prospective financial advisor for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November 24, 2025 and December 11, 2025, Cyclerion negotiated an engagement letter with the second prospective financial advisor, Lucid Capital Markets, LLC (“Lucid”). On December 11, 2025, Cyclerion and Lucid entered into an engagement letter pursuant to which Lucid agreed to assist with the evaluation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execution of a potential private placement financing transaction. The engagement letter did not provide for Lucid’s participation in negotiations related to an acquisition transaction, such as the Mergers, and Lucid did not participate in such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at a meeting of the Cyclerion Board with Dr. Graul, Ms. Chicko, representatives of Lucid, and a representative of one of Cyclerion’s legal advisors, Gennari Aronson, LLP in attendance, Lucid provided an overview of the proposed financing transaction process, including target investor profiles, anticipated transaction structure and a potential timeline for execution. The Cyclerion Board discussed the proposed process and timeline and directed Cyclerion’s management to proceed with the financing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January 20, 2026 and March 9, 2026, Cyclerion and Lucid contacted approximately 90 institutional investors and conducted approximately 50 diligence sessions, including 17 formal management presentations. None of the investors contacted agreed to serve as lead investor in the proposed 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Cyclerion’s management received an unsolicited indication of interest from representatives of an advisor to Company B, a privately held biotech company developing therapies for treatment of chronic pain, about a potential reverse merger transaction (the “Company B Proposal”). The Company B Proposal provided for the acquisition of all of Company B’s outstanding equity interests by Cyclerion in exchange for shares of Cyclerion common stock and non-voting preferred stock at a ratio determined by agreed-upon valuations of Cyclerion and Company B and a concurrent private placement of at least $50 million. Cyclerion’s valuation in the Company B Proposal was $8 million. The Company B Proposal did not provide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Cyclerion and Company B entered into a mutual confidentiality agreement that did not include a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3, 2026 and March 1, 2026, members of Cyclerion’s management conducted scientific, regulatory, financial and strategic diligence on Company B.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Cyclerion’s management received an unsolicited indication of interest from an investor in Company C, a privately held biotechnology company, about a potential transaction (the “Company C Proposal”). The Company C Proposal provided for the sale of Cyclerion preferred stock holding voting rights equal to 65% of Cyclerion’s outstanding shares to an investor in Company C for a purchase price of $10 million. The Company C Proposal provided for payments to Cyclerion’s shareholders upon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4, 2026, at a meeting of the Cyclerion Board with Dr. Graul, Ms. Chicko and Mr. Ouellette in attendance, Dr. Graul presented an overview of the Company B Proposal and their initial diligence findings. Following review of diligence findings and discussion with Cyclerion management, the Cyclerion Board determined not to pursue a reverse merger transaction with Company B due to risks related to a potential longer development timeline than the assumed timeline embedded in Company B’s valuation model, limited interaction with and guidance from regulatory agencies, including the FDA, unproven product scalability and substantial anticipated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Dr. Graul contacted a representative of Company D, a public royalty aggregator, to discuss a potential royalty financing transaction on March 5, 2026.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a representative from Wedbush Securities Inc. (“Wedbush”), the financial advisor to Korsana, contacted Dr. Graul to express interest in a reverse merger transaction between Cyclerion and Korsana. The expression of interest from Korsana delivered by Wedbush was unsolicited.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Cyclerion and Company D entered into a mutual confidentiality agreement, which did not include a standstill. Cyclerion began providing diligence materials to Company D to assess interest in assets. Company D did not follow up on a potential transaction following initial diligence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March 9, 2026, representatives of Wedbush and Cyclerion had an introductory meeting by videoconference. Following this meeting, a representative of Wedbush delivered to Dr. Graul an initial draft of a term sheet for a proposed reverse merger transaction between Cyclerion and Korsana (the “Initial Korsana Term Sheet”), which Cyclerion’s management subsequently shared with the Cyclerion Board. The Initial Korsana Term Sheet provided for the acquisition of all outstanding shares of Korsana capital stock by Cyclerion in exchange for shares of Cyclerion common stock at a ratio determined by agreed valuations of Cyclerion and Korsana and a concurrent private placement into Korsana of at least $150 million (the “PIPE financing”). The Initial Korsana Term Sheet also provided for a to be determined valuation of Korsana, noting that Korsana’s latest post-money valuation on the date of the Final Korsana Term Sheet was $240 million and a proposed $8 million valuation of Cyclerion, which would be adjusted upward or downward, dollar-for-dollar, based on the amount of net cash above or below $0, respectively, held by Cyclerion at the closing of the Merger. The Initial Korsana Term Sheet did not provide Cyclerion shareholders the right to receive contingent payments post-closing in connection with the divestiture of Cyclerion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9, 2026, and March 10, 2026, Dr. Graul and Ms. Chicko spoke with the Cyclerion Board about the Initial Korsana Term Sheet and met with representatives from Cyclerion’s legal counsel, Ropes &amp; Gray LLP (“Ropes &amp; Gray”) to discuss the Initial Korsana Term Sheet, including the proposed Cyclerion valuation and potential to add a mechanism for contingent payments to Cyclerion’s shareholders via a contingent value rights (“CVR”) agreement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Cyclerion and Korsana entered into a mutual confidentiality agreement that did not include a standstill and began exchanging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10, 2026, a representative of Cyclerion sent a revised term sheet to Wedbush (the “Revised Korsana Term Sheet”). The Revised Korsana Term Sheet provided for a valuation of Cyclerion of $12 million and the issuance of CVRs to Cyclerion’s shareholders at the closing of the Merger, which would represent the right to receive payments received in connection with the divestiture of Cyclerion Legacy Assets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10, 2026 and March 12, 2026, Cyclerion’s management conducted initial scientific, regulatory, financial and strategic diligence on Korsana through review of materials provided in a virtual data room and discussions with representatives of Korsana’s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members of Cyclerion’s management and Korsana’s management and representatives of Wedbush held a meeting by videoconference to discuss Cyclerion’s asset portfolio, cash runway and other background diligence items.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11, 2026, Cyclerion and Company C entered into a mutual confidentiality agreement that did not include a standstill for the purposes of enabling Cyclerion’s management to review materials and conduct scientific, regulatory, financial and strategic diligence, after which members of Cyclerion’s management were granted access to diligence materials.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11, 2026, and March 12, 2026, members of Cyclerion’s management conducted scientific, regulatory, financial and strategic diligence on Company C. </w:t>
      </w:r>
    </w:p>
    <w:p>
      <w:pPr>
        <w:pStyle w:val="TextBody"/>
        <w:bidi w:val="0"/>
        <w:spacing w:before="240" w:after="0"/>
        <w:jc w:val="left"/>
        <w:rPr>
          <w:rFonts w:ascii="Times New Roman" w:hAnsi="Times New Roman"/>
          <w:sz w:val="20"/>
        </w:rPr>
      </w:pPr>
      <w:r>
        <w:rPr>
          <w:rFonts w:ascii="Times New Roman" w:hAnsi="Times New Roman"/>
          <w:sz w:val="20"/>
        </w:rPr>
        <w:t xml:space="preserve">Following that meeting, also on March 11, 2026, a representative of Wedbush sent Cyclerion’s management a further revised term sheet (the “Final Korsana Term Sheet”). The Final Korsana Term Sheet provided for (i) a to be determined valuation of outstanding Korsana equity, noting that Korsana’s latest post-money valuation on the date of the Final Korsana Term Sheet was $240 million, (ii) a valuation of Cyclerion equal to $10 million, which would be adjusted upward or downward, dollar-for-dollar, based on the amount of net cash above or below $0, respectively, held by Cyclerion at the closing of the Merger, (iii) the issuance of CVRs to Cyclerion’s shareholders at or prior to the Closing for the purpose of distributing payments received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divestiture of Cyclerion Legacy Assets and (iv) a concurrent private placement into Korsana of at least $150 million.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at a meeting of the Cyclerion Board with Dr. Graul, Ms. Chicko and Mr. Ouellette in attendance, Dr. Graul presented initial diligence findings with respect to Company C to the Cyclerion Board. Following review of initial diligence findings, the Cyclerion Board determined not to pursue a transaction with Company C due to concerns regarding the lack of capital and liquidity included in the proposed transaction, which would likely result in a need for additional capital raises in the near term and the dilutive effect the transaction would have on Cyclerion’s shareholders, as well as concerns related to the sufficiency of Company C’s organizational depth to support the complexity of Company C’s proposed development strategy.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13, 2026, the Cyclerion Board convened at a meeting at which Dr. Graul, Ms. Chicko and Mr. Ouellette and representatives from Ropes &amp; Gray were present. Cyclerion’s management presented the Final Korsana Term Sheet and its initial diligence findings on Korsana and provided an overview of Cyclerion’s available strategic alternatives, including limited opportunities for financing transactions. The Cyclerion Board reviewed and assessed the Final Korsana Term Sheet as being a potential alternative to previously discussed alternative financing transactions, as well as the previously proposed transactions with Company A, Company B and Company C. The Cyclerion Board also discussed the relative merits and risks of the transactions contemplated by the Final Korsana Term Sheet, the Company A Proposal, the Company B Proposal, the Company C Proposal and potential alternative financing transactions if Cyclerion were to remain a standalone company, including the respective value to Cyclerion shareholders, financing needs, and risks to completion of a merger and obtaining sufficient financing to get to a critical inflection point in connection with Cyclerion’s proposed drug and device development programs. Following discussion, the Cyclerion Board determined the transactions contemplated by the Final Korsana Term Sheet represented the best available alternative for Cyclerion and its shareholders and directed Cyclerion management to execute the term sheet and negotiate a transaction with Korsana.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Cyclerion and Korsana entered into the Final Korsana Term Sheet.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16, 2026, Dr. Graul informed an investor in Company C that Cyclerion was not interested in moving forward with the Company C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Cyclerion’s management and representatives from Ropes &amp; Gray met with representatives of Korsana’s management and representatives of Wedbush and Gibson, Dunn &amp; Crutcher LLP (“Gibson Dunn”), Korsana’s legal advisor, to discuss the timeline for signing definitive agreements related to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18, 2026 and March 31, 2026, representatives of Cyclerion’s management team conducted further business and financial due diligence with respect to Korsana, its business and the market for its pipeline products, and Korsana’s management and advisors conducted diligence of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Terrence McGuire, a board observer of Tisento and a former director of Cyclerion, on behalf of the board of directors of Tisento, contacted Dr. Graul with an unsolicited offer to purchase all equity securities of Tisento beneficially owned by Cyclerion (the “Tisento Proposal”).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at an executive session of a meeting of the Cyclerion Board in which Dr. Graul, Ms. Chicko and Mr. Ouellette were present and one member of Cyclerion’s Board, Dr. Peter Hecht, recused himself due to a conflict of interest in connection with Dr. Hecht’s position as Chief Executive Officer of Tisento, the Cyclerion Board and members of Cyclerion’s management discussed the Tisento Proposal, including whether the sale transaction contemplated thereby was in the best interests of the Cyclerion shareholders. Following discussion, the Cyclerion Board determined that the purchase price offered in the Tisento Proposal was not an acceptable price for 10% of the equity interests of Tisento and devalued the ownership potential for such an early-stage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 Cyclerion Board directed Dr. Graul to inform Tisento of its decision not to move forward with the sale of Tisento equity and further directed members of Cyclerion’s management to identify potential transactions and interested counterparties for the sale of the equity securities of Tisento beneficially owned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2026, Gibson Dunn delivered an initial draft of the Merger Agreement and the CVR Agreement to Ropes &amp; Gray. Between March 22, 2026, and March 31, 2026, the parties and their respective advisors negotiated the terms and conditions of the transaction documentation. Key points of negotiation on the Merger Agreement included (i) termination provisions and related fees payable upon the occurrence of certain events by Cyclerion and Korsana and (ii) procedures for determining Cyclerion’s net cash position, including deductions for certain fees and expenses. With respect to the CVR Agreement, the key point of negotiation revolved around the length of the post-closing period that Cyclerion shareholders may receive contingent payments, the period of time that dispositions of Cyclerion Legacy Assets could occur, the level of efforts Korsana would need to use to effect such disposition and the ability of a Cyclerion representative to facilitate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2026, Dr. Graul informed Mr. McGuire of Cyclerion’s decision not to move forward with the Tisento Proposal at that time, while asking that representatives of Cyclerion and Tisento keep lines of communication open in the event Tisento is willing to offer a higher price for the Tisento equity held by Cyclerion that better aligns the view of the Cyclerion Board of the Tisento equity’s potential value.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2026, representatives of Gibson Dunn delivered to Ropes &amp; Gray drafts of certain ancillary agreements and documents relating to the Merger, the terms of which the parties negotiated through March 31, 2026, including the Parent Support Agreement, Company Support Agreement, Lock-Up Agreement, Parent Articles of Amendment, which contained the potential terms of the preferred stock to be issued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24, 2026, a representative of Ropes &amp; Gray contacted Gemini Valuation Services, LLC (“Gemini”) regarding a potential engagement of Gemini to serve as a financial advisor in connection with the Contemplated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2026, Cyclerion entered into a confidentiality agreement with Gemini. Following the execution of that agreement, Dr. Graul provided representatives of Gemini with access to certain materials related to the Contemplated Transaction, including the most recent draft of the Merger Agreement and other diligence information requested by Gemini to complete its analysis in connection with the provision of an opinion, if requested by the Cyclerion Board, regarding the fairness, from a financial point of view, of the Exchange Ratio. Representatives of Gemini agreed to complete the work necessary to determine if it would be able to deliver such an opinion. Gemini subsequently provided Cyclerion with an update on any potential conflicts that Gemini might have related to the potential engagement.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the Cyclerion Board held a meeting with Dr. Graul, Ms. Chicko, Mr. Ouellette and representatives of Ropes &amp; Gray to discuss the status of the reverse merger negotiations, including Merger Agreement and CVR Agreement terms, diligence review of Korsana and asset disposition options for Cyclerion Legacy Assets. The Cyclerion Board reviewed the proposed transaction timeline and Cyclerion’s existing cash resources, and the terms of the proposed PIPE financing for the transaction, including the potential dilution to Cyclerion shareholders as a result of the proposed PIPE financing, and provided guidance on the terms being negotiated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2026, Dr. Graul, members of Korsana’s management and representatives of Gemini met via videoconference to provide Gemini with additional information on the Contemplated Transactions and answer questions from Gemini related to its fairness analysis.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2026, the Cyclerion Board held a meeting with Dr. Graul, Ms. Chicko, Mr. Ouellette and representatives from Ropes &amp; Gray in attendance. At the meeting, a representative of Ropes &amp; Gray presented an overview of the key terms of the Merger Agreement, the CVR Agreement and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CVR term, the Exchange Ratio, a mandatory dividend term in the Merger Agreement, and treatment of outstanding Cyclerion equity awards in connection with the Merger. Following discussion of the key issues and alternative approaches to each, the Cyclerion Board directed Cyclerion management and the representatives of Ropes &amp; Gray to seek to finalize negotiations of the transaction documents and provided guidance on how to proceed with negotiations of certain key terms, including eliminating the mandatory dividend and ensuring that the CVR term in the CVR Agreement is sufficiently long to ensure that Cyclerion shareholders have an opportunity to receive payments under the Akebia License Agreement and in connection with the disposition of equity interests of Tisento held by Cyclerion.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Dr. Graul, Ms. Chicko and members of Korsana’s management and representatives of Wedbush, Gibson Dunn and Ropes &amp; Gray had a videoconference to discuss the merger consideration calculation, including an update on the valuation of outstanding Korsana equity, which, based upon Korsana’s latest post-money valuation as determined by conversations with potential investors in the PIPE financing, was agreed to be equal to $268.4 million, and to receive an update on PIPE subscriptions, which were expected to be approximately $380 million to date.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31, 2026, Cyclerion entered into an engagement letter with Gemini in advance of the Cyclerion Board’s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the Cyclerion Board held a meeting by videoconference, at which Dr. Graul, Ms. Chicko, Mr. Ouellette and representatives of Ropes &amp; Gray and Gemini were present. Representatives of Ropes &amp; Gray provided any updates to negotiations of the terms of the Merger Agreement, the CVR Agreement and other ancillary documents associated with the proposed Merger since the previous day’s meeting. Representatives of Ropes &amp; Gray then reminded the Cyclerion Board of its fiduciary duties under Massachusetts law, which had been discussed with the Cyclerion Board throughout the process. Gemini then reviewed its financial analyses with respect to Cyclerion, Korsana and the proposed Merger. Thereafter, at the request of the Cyclerion Board, Gemini orally rendered its opinion to the Cyclerion Board (which was subsequently confirmed in writing by delivery of Gemini’s written opinion dated March 31, 2026, addressed to the Cyclerion Board), as to, as of such date, the fairness, from a financial point of view, to Cyclerion of the Exchange Ratio. Representatives of Cyclerion management and Ropes &amp; Gray responded to questions from the Cyclerion Board and, after further discussion, the Cyclerion Board provided guidance regarding certain key terms that had not been resolved and adjourned the meeting, indicating that it would consider the final terms and conditions following further negotiations.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April 1, 2026, the Cyclerion Board reviewed updates to the transaction documents made subsequent to the Cyclerion Board meeting during the prior day and unanimously: (i) determined that the Contemplated Transactions are fair to, advisable and in the best interests of Cyclerion and its shareholders; (ii) adopted, approved and declared advisable the Merger Agreement, the CVR Agreement, the Cyclerion Support Agreement, the Korsana Support Agreement, the Lock-Up Agreement and the Contemplated Transactions, including the Merger and issuance of shares of Cyclerion common stock, Cyclerion Series B Preferred Stock and the Cyclerion Pre-Funded Warrants pursuant to the terms of the Merger Agreement and the issuance of CVRs pursuant to the CVR Agreement in connection with the merger; and (iii) recommended that Cyclerion’s shareholders vote in favor of the Parent Shareholder Matters, including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Later on April 1, 2026, the parties entered into the Merger Agreement and the related ancillary documents, other than the CVR Agreement which will be entered into in connection with Closing and the private placement investors executed and delivered the Korsana Securities Purchase Agreement for the PIPE financing. Cyclerion and Korsana then issued a joint press release announcing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the parties entered into the amendment to the Merger Agreement to reflect the appropriate voting standard for shareholder approval of the Redomestication Proposal and to remove approval of the Redomestication Proposal from the list of closing conditions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Cyclerion’s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its evaluation of the Merger, the Merger Agreement and the transactions contemplated by the Merger Agreement (the “Contemplated Transactions”), the Cyclerion Board held numerous meetings, consulted with Cyclerion management, its legal counsel and its financial advisor and reviewed and assessed a significant amount of information and, in reaching its decision to approve the Merger, the Merger Agreement and the Contemplated Transactions, the Cyclerion Board considered the following factors, among others and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business, financial performance (both past and prospective) and its financial condition, results of operations (both past and prospective), market capitalization and the need for and inability to raise material amounts of additional capital, business and strategic objectives, including the development of Cyclerion’s lead neuropsychiatric program, as well as the risks and timing of accomplishing those objectives, including if Cyclerion were to remain an independent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alternatives to the Merger and the Contemplated Transactions available to Cyclerion, the range of possible benefits and risks to Cyclerion’s shareholders of those alternatives and the timing and the likelihood of accomplishing the goals of any of such alternatives, and the Cyclerion Board’s assessment that the Merger presented a superior opportunity for Cyclerion’s shareholders to any such alternatives;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comprehensive and thorough process of reviewing and analyzing potential strategic alternatives undertaken by the Cyclerion Board and management, including the exploration of potential licensing or other disposition of key assets and financing transactions, such as a private investment in public equity, an at-the-market equity offering or convertible security financing, and the Cyclerion Board’s belief that no commercially viable alternative financing, strategic investment, merger, asset sale or licensing transaction was reasonably available to Cyclerion that could reasonably be expected to advance Cyclerion’s development program to a meaningful value inflection point within the required timeframe;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assessment of potential candidates for a strategic transaction, and in particular, the Cyclerion Board’s view that Korsana was the most attractive and promising candidate, and the Cyclerion Board’s belief that the Merger would create more value for Cyclerion’s shareholders than any of the other proposals that the Cyclerion Board had received or Cyclerion could create as a standalone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process undertaken by the Cyclerion Board in pursuit of a strategic transaction, including the proposed Merger, in each case considering the current market dynamics;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potential strategic counterparties, including multiple reverse merger candidates, that had made proposals for a strategic transaction with Cyclerion based on the scientific, regulatory, financial and strategic due diligence conducted by Cyclerion’s management and Cyclerion’s advisors;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based in part on the scientific, regulatory, financial and strategic due diligence process conducted by Cyclerion’s management and reviewed with the Cyclerion Board, that Korsana’s assets and development programs present a scientifically credible market opportunity with the potential to create meaningful value for the shareholders of the Combined Company and an opportunity for Cyclerion’s shareholders to participate in the future potential growth of the Combined Company, notwithstanding the risks inherent in early-stage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Cyclerion’s shareholders to receive certain cash payments following the Closing pursuant to the Cyclerion CVR Agreement, which the Cyclerion Board believed preserves for Cyclerion’s shareholders the potential value from a sale, license or other disposition of any Cyclerion Legacy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current market capitalization, potential dilution from future financings and uncertainty regarding the availability of sufficient capital required to support its plans and objectives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70" w:type="dxa"/>
        <w:jc w:val="left"/>
        <w:tblInd w:w="0" w:type="dxa"/>
        <w:tblLayout w:type="fixed"/>
        <w:tblCellMar>
          <w:top w:w="0" w:type="dxa"/>
          <w:left w:w="0" w:type="dxa"/>
          <w:bottom w:w="0" w:type="dxa"/>
          <w:right w:w="0" w:type="dxa"/>
        </w:tblCellMar>
      </w:tblPr>
      <w:tblGrid>
        <w:gridCol w:w="75"/>
        <w:gridCol w:w="9095"/>
      </w:tblGrid>
      <w:tr>
        <w:trPr/>
        <w:tc>
          <w:tcPr>
            <w:tcW w:w="7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meaningful value inflection point on terms acceptable to Cyclerion were it to remain an independent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market conditions at the time of the signing of the Merger Agreement, including Cyclerion’s inability to raise financing in a private investment in public equity financing, market prices, volatility and the then-current trading information with respect to Cyclerion common stock, and the possibility that Cyclerion common stock could be delisted from the Nasdaq and only trade through the over-the-counter markets,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presented by Gemini to the Cyclerion Board on March 31, 2026 and Gemini’s opinion, dated March 31, 2026, to the Cyclerion Board that, as of such date and based upon and subject to the qualifications, limitations, assumptions and other matters set forth therein, the Exchange Ratio was fair, from a financial point of view, to Cyclerion (as more fully described in the section titled “</w:t>
            </w:r>
            <w:r>
              <w:rPr>
                <w:rFonts w:ascii="Times New Roman" w:hAnsi="Times New Roman"/>
                <w:i/>
                <w:sz w:val="20"/>
              </w:rPr>
              <w:t>The Merger—Opinion of Cyclerion’s Financial Advisor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strength of Korsana’s investment base and the potential for the aggregate commitment represented in the Korsana Pre-Closing Financing of approximately $380.0 million to fund the balance sheet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pre-Merger Cyclerion shareholders are anticipated (if Cyclerion’s net cash is equal to $(2.5) million when calculated pursuant to the terms of the Merger Agreement) to own approximately 1.1% of the fully diluted equity interests of the Combined Company as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if completed, the pre-Merger Cyclerion shareholders will continue to own Cyclerion common stock and Cyclerion Series A preferred stock, and the Cyclerion Board’s belief that this continuing equity interest will provide the existing Cyclerion shareholders with an opportunity to participate following the Merger in the potential equity value of the Combined Company, which will focus on Korsana’s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Board’s belief that the terms of the Merger Agreement and the related agreements, including the parties’ respective representations, warranties and covenants, the conditions to their respective obligations to close the Merger and the termination rights of the parties, are reasonable under the circumstances,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as a result of arm’s-length negotiations with Korsana, Cyclerion and its representatives negotiated the most favorable Exchange Ratio to which Korsana was willing to agree, and that the other terms of the Merger Agreement include the most favorable terms to Cyclerion in the aggregate to which Korsana was willing to agree;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Cyclerion net cash at the Closing and the estimated number of shares of Cyclerion common stock, Cyclerion Series B Preferred Stock and Cyclerion pre-funded warrants to purchase shares of Cyclerion common stock to be issued in the Merger (in addition to Cyclerion equity awards to be issued in the Merger), and the fact that the relative valuation of Cyclerion, and thus the relative percentage ownership of Cyclerion’s shareholders immediately following the Closing, is subject to change based on the amount of Cyclerion net cash at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customary nature of the conditions to Cyclerion’s and Korsana’s respective obligations to complete the Merger and the likelihood that the Merger will be completed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Cyclerion under the Merger Agreement to consider unsolicited acquisition proposals under certain circumstances and for the Cyclerion Board to potentially change its recommendation in favor of such a proposal should Cyclerion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$235,000 payable by Cyclerion if the Merger Agreement is terminated in certain circumstances;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by the Cyclerion Board of the reasonableness of the potential termination fee of $10,736,000 payable by Korsana, depending on the circumstances of the termination, which the Cyclerion Board believed would provide deterrence for competing acquisition proposals and provide Cyclerion with compensation for the time, expense and disruption associated with negotiating the transaction if the Merger is not completed under such specified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executive officers, directors and stockholders of Korsana have agreed not to transfer their shares of common stock of the Combined Company for the 180-day period after the effective time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support agreements, pursuant to which certain stockholders of Korsana, solely in their capacities as stockholders, have agreed to execute a written consent or vote all of their shares of Korsana capital stock in favor of the Merger and against any competing proposals;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support agreements, pursuant to which certain stockholders of Cyclerion, solely in their capacities as stockholders, have agreed, to vote all of their shares of Cyclerion common stock in favor of the Proposals and against any competing proposals.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Cyclerion Board also considered, among other things, a variety of risks, uncertainties, and other countervailing factors related to entering into the Merger, the Merger Agreement and the Contemplated Transactions, including: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will not be consummated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adverse effects of the public announcement of the Merger on Cyclerion’s business, including the potential volatility of the trading price of Cyclerion common stock resulting from, among other things, (i) potential impact of matters relating to Korsana and its financial condition, operating results, development programs and prospects and (ii) the fact that Korsana is not currently a public company and, as a result, there is no established trading market or market prices for Korsana common stock and limited information related to Korsana is publicly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any Cyclerion Legacy Assets remaining after the Closing will not be monetized and the consequential potential that Cyclerion shareholders will not receive any consideration under the Cyclerion CVRs and the Cyclerion CVRs may otherwise expire valueless;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Korsana will not be able to complete the Korsana Pre-Closing Financing on the terms or amounts contemplated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could have the effect of discouraging competing proposals involving Cyclerion, including the restrictions on Cyclerion’s ability to solicit alternative acquisition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may be required to pay to Korsana a termination fee of $235,000, and the potential effects of such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challenges to which the ability of the Combined Company to execute on its business plan will be subject, some of which will be beyond the control of the Combined Company, including risks and challenges relating to execution, technology, regulatory matters, funding needs and the fact that the Combined Company is not anticipated to generate any material amount of revenue in the near future, risks relating to the development and/or commercialization of Korsana’s development program, including that such development programs may not generate acceptable clinical data in the future or be successfully developed into products that are marketed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sold, as well as other scientific, regulatory and financial risks and uncertainties as to the extent to which the Combined Company will be able to successfully execute its business plan on a timely basis, if at all, and achieve its projections;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under the Merger Agreement to consider unsolicited acquisition proposals under certain circumstances and for the Korsana Board to potentially change its recommendation in favor of such a proposal should Korsana determine such proposal to constitute, or be reasonably likely to result in, a superior offer or upon the occurrence of any other intervening event;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Cyclerion Board under the Merger Agreement to potentially change its recommendation in the case of an intervening event (subject to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strategic direction of the Combined Company following the completion of the Merger, which will be determined by the Combined Company’s board, which is not expected to include a representative of the current Cyclerion Board, and the Combined Company’s management, which is not expected to include any current Cyclerion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fees and expenses incurred or that may be incurred by Cyclerion or the Combined Company associated with completing the Merger and the Contemplated Transactions, including the costs associated with any potential transaction related litigation;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disruptive shareholder demands or litigation following announcement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parties’ efforts or that the Closing may be unduly delayed and the effects on Cyclerion as a standalone company because of such failure or delay, including that a more limited range of alternative strategic transactions may be available to Cyclerion in such an event and that Cyclerion may experience additional significant challenges associated with its need to raise additional capital through the public or private sale of equity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certain circumstances, Cyclerion will not be entitled to receive a termination fee from Korsana even in the event that the Merger is not consummated as a result of circumstances which are not under Cyclerion’s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existing shareholders of Cyclerion upon the consummation of the Merger and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possibility that the Cyclerion net cash, as more fully described below under the caption “</w:t>
            </w:r>
            <w:r>
              <w:rPr>
                <w:rFonts w:ascii="Times New Roman" w:hAnsi="Times New Roman"/>
                <w:i/>
                <w:sz w:val="20"/>
              </w:rPr>
              <w:t>The Merger Agreement—Calculation of Cyclerion’s Net Cash</w:t>
            </w:r>
            <w:r>
              <w:rPr>
                <w:rFonts w:ascii="Times New Roman" w:hAnsi="Times New Roman"/>
                <w:sz w:val="20"/>
              </w:rPr>
              <w:t xml:space="preserve">” in this proxy statement/prospectus, may be less than $0 at the determination time, which would reduce the relative percentage ownership of Cyclerion’s existing equityholders in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interests that Cyclerion’s directors and executive officers have with respect to the transactions that are or may be different from, or in addition to, the interests of Cyclerion’s shareholders generally, including those interests described in the sections entitled “— </w:t>
            </w:r>
            <w:r>
              <w:rPr>
                <w:rFonts w:ascii="Times New Roman" w:hAnsi="Times New Roman"/>
                <w:i/>
                <w:sz w:val="20"/>
              </w:rPr>
              <w:t>Interests of Cyclerion’s Directors and Executive Officers in the Merger</w:t>
            </w:r>
            <w:r>
              <w:rPr>
                <w:rFonts w:ascii="Times New Roman" w:hAnsi="Times New Roman"/>
                <w:sz w:val="20"/>
              </w:rPr>
              <w:t xml:space="preserve">” beginning on page 155 in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Contemplated Transactions, including those described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33 and 125, respectively,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Cyclerion Board of directors are not intended to be exhaustive but are believed to include all of the material factors considered by the Cyclerion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light of the variety of factors considered in connection with its evaluation of the Merger and the complexity of these matters, the Cyclerion Board did not find it useful or practicable to and did not attempt to, quantify, assign or rank any relative or specific weights to the various factors that it considered in reaching its determination that the Merger, the Merger Agreement and the Contemplated Transactions are advisable and in best interests of Cyclerion and Cyclerion’s shareholders. In considering the factors described above, individual members of the Cyclerion Board may have given different weight to different factors. The Cyclerion Board did not undertake to make any specific determination as to whether any particular factor, or any aspect of any particular factor, was favorable or unfavorable to the ultimate determination of the Cyclerion Board, but rather the Cyclerion Board conducted an overall analysis of the factors described above, including discussions with and questioning of Cyclerion management and representatives of the Cyclerion’s legal and financial advisors. </w:t>
      </w:r>
    </w:p>
    <w:p>
      <w:pPr>
        <w:pStyle w:val="TextBody"/>
        <w:bidi w:val="0"/>
        <w:spacing w:before="240" w:after="0"/>
        <w:jc w:val="left"/>
        <w:rPr>
          <w:rFonts w:ascii="Times New Roman" w:hAnsi="Times New Roman"/>
          <w:sz w:val="20"/>
        </w:rPr>
      </w:pPr>
      <w:r>
        <w:rPr>
          <w:rFonts w:ascii="Times New Roman" w:hAnsi="Times New Roman"/>
          <w:sz w:val="20"/>
        </w:rPr>
        <w:t>This explanation of the reasoning of the Cyclerion Board and all other information presented in this section is forward-looking in nature and, therefore, should be read in light of the factors discussed in the section titled “</w:t>
      </w:r>
      <w:r>
        <w:rPr>
          <w:rFonts w:ascii="Times New Roman" w:hAnsi="Times New Roman"/>
          <w:i/>
          <w:sz w:val="20"/>
        </w:rPr>
        <w:t>Cautionary Note Regarding Forward-Looking Statements</w:t>
      </w:r>
      <w:r>
        <w:rPr>
          <w:rFonts w:ascii="Times New Roman" w:hAnsi="Times New Roman"/>
          <w:sz w:val="20"/>
        </w:rPr>
        <w:t xml:space="preserve">” beginning on page 125.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Korsana Pre-Closing Financing, the Korsana Board held numerous meetings, consulted with Korsana’s senior management, legal counsel and financial advisors, and considered a wide variety of factors. Ultimately, the Korsana Board concluded that a merger with Cyclerion, together with the additional financing committed from the Korsana Pre-Closing Financing, was the best option to generate capital resources to support the advancement of Korsana’s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Korsana Board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preclinical and clinical development of Korsana’s pipeline, compared to the capital and investors Korsana could otherwise gain access to if it continued to operate as a privately-held company;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Pre-Closing Financing will generate capital resources to fund the Combined Company;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Korsana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Korsana’s business, including its financial performance and condition, operations, management and preclinical and clinical data;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Korsana operates;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fiduciary duties to Korsana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belief that no alternatives to the Merger, together with the additional financing committed from the Korsana Pre-Closing Financing, were reasonably likely to create greater value for Korsana stockholders, after considering the various financing and other strategic options to enhance stockholder value that were considered by the Korsana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Board’s expectation that the Merger, together with the additional financing committed from the Korsana Pre-Closing Financing, would be a higher probability and more cost-effective means to access capital than other options considered, including an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95" w:type="dxa"/>
        <w:jc w:val="left"/>
        <w:tblInd w:w="0" w:type="dxa"/>
        <w:tblLayout w:type="fixed"/>
        <w:tblCellMar>
          <w:top w:w="0" w:type="dxa"/>
          <w:left w:w="0" w:type="dxa"/>
          <w:bottom w:w="0" w:type="dxa"/>
          <w:right w:w="0" w:type="dxa"/>
        </w:tblCellMar>
      </w:tblPr>
      <w:tblGrid>
        <w:gridCol w:w="75"/>
        <w:gridCol w:w="110"/>
        <w:gridCol w:w="60"/>
        <w:gridCol w:w="6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and credibility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Korsana capital stock who comply with the required procedures under the DGCL, which allow such holders to seek appraisal of the fair value of their shares of Korsana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Cyclerion shareholders and Korsana stockholders in the combined organization was appropriate, based on the Korsana Board’s judgment and assessment of the approximate valuations of Cyclerion (including the value of the Net Cash Cyclerion is expected to provide to the combined organization) and Korsana (including the value of the amount of proceeds from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for U.S. federal income tax purposes, with the result that the Korsana stockholders will generally not recognize taxable gain or loss for U.S. federal income tax purposes with respect to the Merger;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Cyclerion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consider certain unsolicited acquisition proposals under certain circumstances should Korsana receive a superior offer;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Korsana under the Merger Agreement to effect a change in recommendation in favor of the Merger as a result of a material development or change in circumstances (i.e., applicable Intervening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Korsana Board that the potential termination fees payable by Cyclerion or Korsana to the other party, and the circumstances when such fee may be payable, were reasonable;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Cyclerion Common Stock issued to Korsana stockholders, including shares of Cyclerion Common Stock issued in exchange for shares of Korsana Common Stock sold in the Korsana Pre-Closing Financing, will be registered on a Form S-4 registration statement and will become freely tradable for Korsana stockholders who are not affiliates of Korsana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Korsana and Cyclerion, respectively, have agreed, solely in their capacity as stockholders of Korsana and Cyclerion, respectively, to vote all of their shares of Korsana capital stock or Cyclerion Common Stock in favor of the adoption or approval, respectively,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Korsana Biosciences, Inc. prior to or upon the closing of the Merger;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Korsana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Korsana and the ability of Korsana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financing in the future in the event the Merger is not completed; the possibility that the Korsana Pre-Closing Financing might not be completed or completed in accordance with the terms of the Merger Agreement and the potential adverse effect of the public announcement of the Korsana Pre-Closing Financing on the reputation of Korsana and the ability of Korsana to obtain financing in the future in the event the Korsana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Cyclerion Common Stock to be issued to Korsana stockholders in the Merger is fixed, except for adjustments due to Cyclerion’s net cash balances, the amount of proceeds from the Korsana Pre-Closing Financing and outstanding capital stock at closing, and thus the relative percentage ownership of Cyclerion shareholders and Korsana stockholders in the combined organization immediately following the completion of the Merger is similarly fixed;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Cyclerion’s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Cyclerion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Cyclerion to obtain the required shareholder vote or the failure of Korsana to close the Korsana Pre-Closing Financing, and the potential adverse effect on the reputation of Korsana and the ability of Korsana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Korsana senior management required to complete the Merger, the related disruptions or potential disruptions to Korsana’s business operations and future prospects, including its relationships with its employees, suppliers and partners and others that do business or may do business in the future with Korsana,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Korsana’s business will be subject to following the Merger that Korsana has not previously been subject to, and the operational changes to Korsana’s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Cyclerion shareholders may cause the price of Cyclerion Common Stock to fall, thus reducing the potential value of Cyclerion Common Stock received by Korsana stockholders following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titled “Risk Factors”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Korsana Board in its consideration of the Merger Agreement, the Korsana Pre-Closing Financing, and the transactions contemplated thereby. After conducting an overall analysis of these and other factors, including thorough discussions with, and questioning of, Korsana’s senior management and legal counsel, the Korsana Board concluded that the benefits, advantages and opportunities of a potential transaction outweighed the uncertainties and risks described above. Based on this overall analysis of the factors described above, the Korsana Board unanimously approved the Merger Agreement, the Merger, the Korsana Pre-Closing Financing and the other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Opinion of Gemini, Cyclerion’s Financial Advisor, to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Gemini Valuation Services, LLC (“Gemini”) rendered its opinion to the Cyclerion Board, as to the fairness, from a financial point of view, of the Exchange Ratio pursuant to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The summary of the opinion in this proxy statement/prospectus is qualified in its entirety by reference to the full text of the written opinion, which is included as Annex B to this proxy statement/prospectus and sets forth the procedures followed, assumptions made, qualifications and limitations on the review undertaken and other matters considered by Gemini in preparing its opinion. The opinion was addressed to the Cyclerion Board for the use and benefit of the members of the Cyclerion Board (in their capacities as such) in connection with the Cyclerion Board’s evaluation of the Merger Agreement. Neither the opinion nor the summary of the opinion and related analyses set forth in this proxy statement/prospectus is intended to and they do not constitute advice or a recommendation to any of the shareholders of Cyclerion or any other security holders as to how such holder should vote or act with respect to any matter relating to the Contemplated Transactions or otherwise. Gemini’s opinion should not be construed as creating any fiduciary duty on Gemini’s part to Cyclerion, any other party to the Merger Agreement, any security holder of Cyclerion or such other party, any creditor of Cyclerion or such other party, or any other person. Gemini’s opinion was just one of the several factors the Cyclerion Board took into account in making its determination to approve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only addressed whether, as of the date of the opinion, the Exchange Ratio was fair, from a financial point of view, to Cyclerion. It did not address any other terms, aspects, or implications of the transaction or the Merger Agreement, including, without limitation, (i) any term or aspect of the transaction that was not susceptible to financial analysis, or (ii) fairness to any other security holders of Cyclerion, Korsana or any other person or any creditors or other constituencies of Cyclerion, Korsana or any other person. Gemini expressed no opinion as to (1) what the value of shares of Cyclerion common stock actually would be when issued to the Korsana shareholders in the Merger Agreement, (2) the price at which shares of Korsana common stock or any other security of Korsana may be issued or sold in the Korsana Private Placement, or (3) the prices at which Korsana stock or Cyclerion common stock may trade, be purchased or sold at any time. </w:t>
      </w:r>
    </w:p>
    <w:p>
      <w:pPr>
        <w:pStyle w:val="TextBody"/>
        <w:bidi w:val="0"/>
        <w:spacing w:before="240" w:after="0"/>
        <w:jc w:val="left"/>
        <w:rPr>
          <w:rFonts w:ascii="Times New Roman" w:hAnsi="Times New Roman"/>
          <w:sz w:val="20"/>
        </w:rPr>
      </w:pPr>
      <w:r>
        <w:rPr>
          <w:rFonts w:ascii="Times New Roman" w:hAnsi="Times New Roman"/>
          <w:sz w:val="20"/>
        </w:rPr>
        <w:t xml:space="preserve">Gemini’s opinion did not address the relative merits of the transaction as compared to any alternative transaction or business strategy that might exist for Cyclerion and did not constitute a recommendation to any Cyclerion shareholder as to how such shareholder should vote with respect to any matter. At the direction of the Cyclerion Board, Gemini did not offer any opinion as to (i) the material terms of the Merger Agreement or the form of the Contemplated Transactions or any other contractual arrangement that the parties may enter into in connection with the Contemplated Transactions or (ii) the fairness of the Contemplated Transactions to, or any consideration that may be received in connection therewith by, the individual shareholders, nor did Gemini offer any opinion as to the relative fairness of the consideration to be received by different shareholders or the merits of the underlying decision by the Cyclerion Board or Cyclerion to engage in or consummate the transaction. The financial and other terms of the transaction were determined pursuant to negotiations between the parties to the Merger Agreement and were not determined by or pursuant to any recommendation from Gemini. </w:t>
      </w:r>
    </w:p>
    <w:p>
      <w:pPr>
        <w:pStyle w:val="TextBody"/>
        <w:bidi w:val="0"/>
        <w:spacing w:before="240" w:after="0"/>
        <w:jc w:val="left"/>
        <w:rPr>
          <w:rFonts w:ascii="Times New Roman" w:hAnsi="Times New Roman"/>
          <w:sz w:val="20"/>
        </w:rPr>
      </w:pPr>
      <w:r>
        <w:rPr>
          <w:rFonts w:ascii="Times New Roman" w:hAnsi="Times New Roman"/>
          <w:sz w:val="20"/>
        </w:rPr>
        <w:t xml:space="preserve">Gemini’s analyses and opinion were necessarily based upon market, economic, and other conditions as they existed on, and could be evaluated as of, the date of the opinion. Accordingly, although subsequent developments could arise that would otherwise affect its opinion, Gemini did not assume any obligation to update, review, or reaffirm its opinion to the Cyclerion Board or any other person or otherwise to comment on or consider events occurring or coming to Gemini’s attention after the date of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made such reviews, analyses, and inquiries as Gemini deemed necessary and appropriate under the circumstances. Among other things, Gemini: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statements of Korsana for the fiscal years ended December 31, 2024 and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the business, assets, liabilities, business plan and prospects of Korsana furnished to Gemini by Cyclerion, and the assumptions underlying those;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discussions with members of senior management and representatives of Korsana concerning the foregoing matters, as well as the business and prospects of Korsana generally, and the assumptions underlying those;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publicly available financial and stock market data, including valuation levels, for certain other companies in lines of business of Korsana that Gemini deemed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copy, received by Gemini on March 28, 2026, of the Merger Agreement (the “Draft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and analyses and considered such other information as Gemini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Gemini, with the Cyclerion Board’s consent, relied upon and assumed, without independently verifying, the accuracy and completeness of all of the financial, legal, regulatory, tax, accounting and other information that was supplied to, discussed with, or reviewed by Gemini, and Gemini, with the Cyclerion Board’s consent, further relied upon such information being complete and accurate in all material respects. At the direction of the Cyclerion Board, Gemini did not make or obtain any independent evaluations or appraisals of Cyclerion’s or Korsana’s assets or liabilities (including any contingent, derivative, or off-balance-sheet assets and liabilities) and did not perform or obtain any analysis with respect to the dissolution or liquidation value of such assets or liabilities. At the direction of the Cyclerion Board, Gemini also used the assumptions provided by Cyclerion’s and Korsana’s management for the purposes of its analysis and delivering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Gemini was advised that, given that Cyclerion’s assets and liabilities are comprised of cash (net of liabilities) and Cyclerion Legacy Assets (which currently are contemplated to be disposed) and that Cyclerion is not expected to have any continuing business operations on a standalone basis other than those incidental to Cyclerion’s status as a publicly traded company, the management of Cyclerion has not prepared financial forecasts relating to Cyclerion. Accordingly, Gemini did not perform a financial analysis of Cyclerion, the Cyclerion Legacy Assets or the CVRs, and did not ascribe any value to the Cyclerion Legacy Assets or the CVRs. Based upon the terms underlying the Exchange Ratio set forth in the Draft Merger Agreement, Gemini assumed the equity value of Cyclerion to be $10.0 million, and Cyclerion Net Cash at Closing to be $0.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representations and warranties of all parties to the Merger Agreement were true and correct, that each party to the Merger Agreement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Merger Agreement, without any modifications or amendments thereto or any adjustment to the Exchange Ratio. In rendering its opinion, Gemini also assumed, with the consent of the Cyclerion Board, that the final executed form of the Merger Agreement would not differ in any material respect from the draft that Gemini examined along with the discussion on the draft. Gemini has not been authorized to and has not solicited indications of interest in a possible transaction with Cyclerion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Gemini did not evaluate the solvency or creditworthiness of Cyclerion, Korsana or any other party to the transaction, or whether Cyclerion, Korsana or any other party to the transaction is paying or receiving reasonably equivalent value in the transaction under any applicable foreign, state, or federal laws relating to bankruptcy, insolvency, fraudulent transfer, or similar matters, nor did Gemini evaluate, in any way, the ability of Cyclerion, Korsana or any other party to the transaction to pay its obligations when they come due. Gemini did not physically inspect Cyclerion’s or Korsana’s properties or facilities and did not make or obtain any evaluations or appraisals of Cyclerion’s or Korsana’s assets or liabilities (including any contingent, derivative, or off-balance-sheet assets and liabilities). Gemini did not attempt to confirm whether Cyclerion or Korsana had good title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respective assets. Gemini’s role in reviewing any information was limited solely to performing such reviews as it deemed necessary to support its own advice and analysis and was not on behalf of the Cyclerion Board, Cyclerion,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Gemini assumed, with the Cyclerion Board’s consent, that the Contemplated Transactions, including the Merger, would be consummated in a manner that complies in all respects with applicable foreign, federal, state, and local laws, rules, and regulations and that, in the course of obtaining any regulatory or third party consents, approvals, or agreements in connection with the transaction, no delay, limitation, restriction, or condition would be imposed that would have an adverse effect on Cyclerion, Korsana or the Contemplated Transactions. Gemini also assumed, with the Cyclerion Board’s consent that the transaction would be consummated on the terms set forth in the Merger Agreement, without waiver, modification, or amendment of any term, condition, or agreement thereof material to Gemini’s analyses or opinion. Gemini also assumed that the representations and warranties of the parties to the Merger Agreement contained therein were true and correct and that each such party would perform all of the covenants and agreements to be performed by it under the Merger Agreement. Gemini offered no opinion as to the contractual terms of the Merger Agreement or the likelihood that the conditions to the consummation of the Merger Agreement, set forth in the Merger Agreement, including, without limitation, any of the ancillary transactions, would be satisfied. Gemini further assumed that for U.S. federal tax income purposes, the Merger Agreement would qualify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preparing its opinion, Gemini performed a variety of financial analyses. The following is a summary of the material financial analyses performed by Gemini in connection with the preparation of its opinion. It is not a complete description of all analyses underlying such opinion. The preparation of an opinion is a complex process involving various determinations as to the most appropriate and relevant methods of financial analysis and the application of those methods to the particular circumstances. As a consequence, neither Gemini’s opinion nor the respective analyses underlying its opinion is readily susceptible to partial analysis or summary description. In arriving at its opinion, Gemini assessed as a whole the results of all analyses undertaken by it with respect to the opinion. While it took into account the results of each analysis in reaching its overall conclusions, Gemini did not make separate or quantifiable judgments regarding individual analyses and did not draw, in isolation, conclusions from or with regard to any individual analysis or factor. Therefore, Gemini believes that the analyses underlying the opinion must be considered as a whole and that selecting portions of its analyses or the factors it considered, without considering all analyses and factors underlying the opinion collectively, could create a misleading or incomplete view of the analyses performed by Gemini in preparing the opinion. </w:t>
      </w:r>
    </w:p>
    <w:p>
      <w:pPr>
        <w:pStyle w:val="TextBody"/>
        <w:bidi w:val="0"/>
        <w:spacing w:before="240" w:after="0"/>
        <w:jc w:val="left"/>
        <w:rPr>
          <w:rFonts w:ascii="Times New Roman" w:hAnsi="Times New Roman"/>
          <w:sz w:val="20"/>
        </w:rPr>
      </w:pPr>
      <w:r>
        <w:rPr>
          <w:rFonts w:ascii="Times New Roman" w:hAnsi="Times New Roman"/>
          <w:sz w:val="20"/>
        </w:rPr>
        <w:t xml:space="preserve">The implied multiple ranges and implied value reference ranges indicated by Gemini’s analyses are not necessarily indicative of actual values nor predictive of future results, which may be significantly more or less favorable than those suggested by such analyses. Much of the information used in, and accordingly the results of, Gemini’s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financial analyses performed by Gemini in connection with the preparation of its opinion includes information presented in tabular format. The tables alone do not constitute a complete description of these analyses. Considering the data in the tables below without considering the full narrative description of the analyses, as well as the methodologies and assumptions underlying the analyses, could create a misleading or incomplete view of the financial analyses Gemini performed.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Gemini reviewed a number of financial metrics, including the following: </w:t>
      </w:r>
    </w:p>
    <w:p>
      <w:pPr>
        <w:pStyle w:val="TextBody"/>
        <w:bidi w:val="0"/>
        <w:spacing w:before="120" w:after="0"/>
        <w:jc w:val="left"/>
        <w:rPr>
          <w:rFonts w:ascii="Times New Roman" w:hAnsi="Times New Roman"/>
          <w:sz w:val="20"/>
        </w:rPr>
      </w:pPr>
      <w:r>
        <w:rPr>
          <w:rFonts w:ascii="Times New Roman" w:hAnsi="Times New Roman"/>
          <w:b/>
          <w:sz w:val="20"/>
        </w:rPr>
        <w:t>Equity Value</w:t>
      </w:r>
      <w:r>
        <w:rPr>
          <w:rFonts w:ascii="Times New Roman" w:hAnsi="Times New Roman"/>
          <w:sz w:val="20"/>
        </w:rPr>
        <w:t xml:space="preserve"> — generally the value as of a specified date of the relevant company’s outstanding equity securities (taking into account its options and other outstanding convertible securities) plus the value as of such date of its net debt (the value of its outstanding indebtedness, preferred stock and minority interests less the amount of cash on its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Selected Transactions Analysis </w:t>
      </w:r>
    </w:p>
    <w:p>
      <w:pPr>
        <w:pStyle w:val="TextBody"/>
        <w:bidi w:val="0"/>
        <w:spacing w:before="120" w:after="0"/>
        <w:jc w:val="left"/>
        <w:rPr>
          <w:rFonts w:ascii="Times New Roman" w:hAnsi="Times New Roman"/>
          <w:b/>
          <w:sz w:val="20"/>
        </w:rPr>
      </w:pPr>
      <w:r>
        <w:rPr>
          <w:rFonts w:ascii="Times New Roman" w:hAnsi="Times New Roman"/>
          <w:b/>
          <w:sz w:val="20"/>
        </w:rPr>
        <w:t xml:space="preserve">Merger and Acquisition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target companies within the neurology and other relevant segments of the biotechnology industry. The financial data reviewed included the Equity Value, value of capital raised prior to each selected transaction and the related market value of invested capital multiple (“MVIC Multiples”). The selected transactions were: </w:t>
      </w:r>
    </w:p>
    <w:p>
      <w:pPr>
        <w:pStyle w:val="TextBody"/>
        <w:bidi w:val="0"/>
        <w:spacing w:before="0" w:after="0"/>
        <w:jc w:val="left"/>
        <w:rPr/>
      </w:pPr>
      <w:r>
        <w:rPr/>
        <w:t> </w:t>
      </w:r>
    </w:p>
    <w:tbl>
      <w:tblPr>
        <w:tblW w:w="10250" w:type="dxa"/>
        <w:jc w:val="left"/>
        <w:tblInd w:w="0" w:type="dxa"/>
        <w:tblLayout w:type="fixed"/>
        <w:tblCellMar>
          <w:top w:w="0" w:type="dxa"/>
          <w:left w:w="0" w:type="dxa"/>
          <w:bottom w:w="0" w:type="dxa"/>
          <w:right w:w="0" w:type="dxa"/>
        </w:tblCellMar>
      </w:tblPr>
      <w:tblGrid>
        <w:gridCol w:w="1040"/>
        <w:gridCol w:w="120"/>
        <w:gridCol w:w="2870"/>
        <w:gridCol w:w="120"/>
        <w:gridCol w:w="620"/>
        <w:gridCol w:w="120"/>
        <w:gridCol w:w="2255"/>
        <w:gridCol w:w="120"/>
        <w:gridCol w:w="142"/>
        <w:gridCol w:w="568"/>
        <w:gridCol w:w="60"/>
        <w:gridCol w:w="120"/>
        <w:gridCol w:w="259"/>
        <w:gridCol w:w="706"/>
        <w:gridCol w:w="60"/>
        <w:gridCol w:w="120"/>
        <w:gridCol w:w="105"/>
        <w:gridCol w:w="770"/>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12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b/>
              </w:rPr>
            </w:pPr>
            <w:r>
              <w:rPr>
                <w:b/>
              </w:rPr>
              <w:t>Target</w:t>
            </w:r>
          </w:p>
        </w:tc>
        <w:tc>
          <w:tcPr>
            <w:tcW w:w="12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Clinica1</w:t>
              <w:br/>
              <w:t>Phase</w:t>
            </w:r>
          </w:p>
        </w:tc>
        <w:tc>
          <w:tcPr>
            <w:tcW w:w="120" w:type="dxa"/>
            <w:tcBorders/>
            <w:vAlign w:val="center"/>
          </w:tcPr>
          <w:p>
            <w:pPr>
              <w:pStyle w:val="TableContents"/>
              <w:bidi w:val="0"/>
              <w:spacing w:before="0" w:after="283"/>
              <w:jc w:val="left"/>
              <w:rPr/>
            </w:pPr>
            <w:r>
              <w:rPr/>
              <w:t>  </w:t>
            </w:r>
          </w:p>
        </w:tc>
        <w:tc>
          <w:tcPr>
            <w:tcW w:w="2255" w:type="dxa"/>
            <w:tcBorders>
              <w:bottom w:val="single" w:sz="8" w:space="0" w:color="000000"/>
            </w:tcBorders>
            <w:tcMar>
              <w:bottom w:w="28" w:type="dxa"/>
            </w:tcMar>
            <w:vAlign w:val="center"/>
          </w:tcPr>
          <w:p>
            <w:pPr>
              <w:pStyle w:val="TableContents"/>
              <w:bidi w:val="0"/>
              <w:spacing w:before="0" w:after="283"/>
              <w:jc w:val="left"/>
              <w:rPr>
                <w:b/>
              </w:rPr>
            </w:pPr>
            <w:r>
              <w:rPr>
                <w:b/>
              </w:rPr>
              <w:t>Acquirer</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left"/>
              <w:rPr>
                <w:b/>
              </w:rPr>
            </w:pPr>
            <w:r>
              <w:rPr>
                <w:b/>
              </w:rPr>
              <w:t>Equity</w:t>
              <w:br/>
              <w:t>Value</w:t>
              <w:br/>
              <w:t>($m)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left"/>
              <w:rPr>
                <w:b/>
              </w:rPr>
            </w:pPr>
            <w:r>
              <w:rPr>
                <w:b/>
              </w:rPr>
              <w:t>Raised to</w:t>
              <w:br/>
              <w:t>Date</w:t>
              <w:br/>
              <w:t>($m)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left"/>
              <w:rPr>
                <w:b/>
              </w:rPr>
            </w:pPr>
            <w:r>
              <w:rPr>
                <w:b/>
              </w:rPr>
              <w:t>Market</w:t>
              <w:br/>
              <w:t>Value of</w:t>
              <w:br/>
              <w:t>Invested</w:t>
              <w:br/>
              <w:t>Capital</w:t>
              <w:br/>
              <w:t>Multiple</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January 20, 2026</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RAPT Therapeutics,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xml:space="preserve">II </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GSK plc</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3.0x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December 26, 2023</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Gracell Biotechnologies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AstraZeneca plc</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2.1x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October 14,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Longboard Pharmaceuticals,</w:t>
              <w:br/>
              <w:t>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H. Lundbeck A/S</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6.1x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September 9, 2025</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Tourmaline Bio,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Novartis AG</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3.9x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April 10,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Alpine Immune Sciences,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Vertex Pharmaceuticals</w:t>
              <w:br/>
              <w:t>Incorporated</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4,900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9.7x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January 7, 2026</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Ventyx Biosciences, Inc.</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left"/>
              <w:rPr>
                <w:rFonts w:ascii="Times New Roman" w:hAnsi="Times New Roman"/>
                <w:sz w:val="17"/>
              </w:rPr>
            </w:pPr>
            <w:r>
              <w:rPr>
                <w:rFonts w:ascii="Times New Roman" w:hAnsi="Times New Roman"/>
                <w:sz w:val="17"/>
              </w:rPr>
              <w:t>II</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Eli Lilly and Company</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1.6x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September 17, 2025</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89bio, Inc.</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0"/>
              <w:jc w:val="left"/>
              <w:rPr>
                <w:rFonts w:ascii="Times New Roman" w:hAnsi="Times New Roman"/>
                <w:sz w:val="17"/>
              </w:rPr>
            </w:pPr>
            <w:r>
              <w:rPr>
                <w:rFonts w:ascii="Times New Roman" w:hAnsi="Times New Roman"/>
                <w:sz w:val="17"/>
              </w:rPr>
              <w:t>III</w:t>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pPr>
            <w:r>
              <w:rPr/>
              <w:t>Roche</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981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2.4x</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Average</w:t>
            </w:r>
          </w:p>
        </w:tc>
        <w:tc>
          <w:tcPr>
            <w:tcW w:w="12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2,257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4.1x</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b/>
              </w:rPr>
            </w:pPr>
            <w:r>
              <w:rPr>
                <w:b/>
              </w:rPr>
              <w:t>Median</w:t>
            </w:r>
          </w:p>
        </w:tc>
        <w:tc>
          <w:tcPr>
            <w:tcW w:w="12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526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3.0x</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that Gemini deemed to be relevant based on its professional judgement and experience. Gemini believes that the groups of companies listed above have business models similar to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 above transactions, each of the selected target comparable companies were clinical- stage, whereas Korsana Biosciences remains a preclinical company. Gemini nevertheless viewed these transactions as relevant reference points because all seven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target companies and Korsana share capital-intensive therapeutic areas (CNS and immune-mediated diseases), blue-chip investor syndicates and large pre-transaction/private financings, which are key drivers of public market appetite for development-stage biotechnology companies. However, Gemini recognizes that the clinical-stage target companies had already generated human data and, in some cases, had defined regulatory pathways, whereas Korsana’s program is pre-IND and supported only by preclinical data today; accordingly, the clinical-stage target company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4.1x and 3.0x,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(as discussed above), Korsana’s Equity Value was estimated as follows: </w:t>
      </w:r>
    </w:p>
    <w:p>
      <w:pPr>
        <w:pStyle w:val="TextBody"/>
        <w:bidi w:val="0"/>
        <w:spacing w:before="0" w:after="0"/>
        <w:jc w:val="left"/>
        <w:rPr/>
      </w:pPr>
      <w:r>
        <w:rPr/>
        <w:t> </w:t>
      </w:r>
    </w:p>
    <w:tbl>
      <w:tblPr>
        <w:tblW w:w="4020" w:type="dxa"/>
        <w:jc w:val="left"/>
        <w:tblInd w:w="0" w:type="dxa"/>
        <w:tblLayout w:type="fixed"/>
        <w:tblCellMar>
          <w:top w:w="0" w:type="dxa"/>
          <w:left w:w="0" w:type="dxa"/>
          <w:bottom w:w="0" w:type="dxa"/>
          <w:right w:w="0" w:type="dxa"/>
        </w:tblCellMar>
      </w:tblPr>
      <w:tblGrid>
        <w:gridCol w:w="2075"/>
        <w:gridCol w:w="120"/>
        <w:gridCol w:w="178"/>
        <w:gridCol w:w="562"/>
        <w:gridCol w:w="60"/>
        <w:gridCol w:w="120"/>
        <w:gridCol w:w="200"/>
        <w:gridCol w:w="63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Median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Average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2.0x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3.0x</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525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 w:type="dxa"/>
            <w:tcBorders/>
            <w:vAlign w:val="center"/>
          </w:tcPr>
          <w:p>
            <w:pPr>
              <w:pStyle w:val="TableContents"/>
              <w:bidi w:val="0"/>
              <w:spacing w:before="0" w:after="283"/>
              <w:jc w:val="right"/>
              <w:rPr/>
            </w:pPr>
            <w:r>
              <w:rPr/>
              <w:t>380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905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Public Listing </w:t>
      </w:r>
    </w:p>
    <w:p>
      <w:pPr>
        <w:pStyle w:val="TextBody"/>
        <w:bidi w:val="0"/>
        <w:spacing w:before="120" w:after="0"/>
        <w:jc w:val="left"/>
        <w:rPr>
          <w:rFonts w:ascii="Times New Roman" w:hAnsi="Times New Roman"/>
          <w:sz w:val="20"/>
        </w:rPr>
      </w:pPr>
      <w:r>
        <w:rPr>
          <w:rFonts w:ascii="Times New Roman" w:hAnsi="Times New Roman"/>
          <w:sz w:val="20"/>
        </w:rPr>
        <w:t xml:space="preserve">Gemini considered certain financial data and the financial terms of the following business transactions, each, involving companies undergoing an initial public offering (“IPO”). Each of these four companies is within the neurology and other relevant segments of the biotechnology industry. The financial data reviewed included the total amount of investment raised prior to the public offering, the total amount of investment raised in connection with the public offering, the public offering valuation of the selected company, and the pre-public offering valuation of the selected company, and the resulting MVIC Multiples determined from comparing pre-money valuation of the selected companies to each company’s respective valuation following their respective public offering. The selected transactions were: </w:t>
      </w:r>
    </w:p>
    <w:p>
      <w:pPr>
        <w:pStyle w:val="TextBody"/>
        <w:bidi w:val="0"/>
        <w:spacing w:before="0" w:after="0"/>
        <w:jc w:val="left"/>
        <w:rPr/>
      </w:pPr>
      <w:r>
        <w:rPr/>
        <w:t> </w:t>
      </w:r>
    </w:p>
    <w:tbl>
      <w:tblPr>
        <w:tblW w:w="11140" w:type="dxa"/>
        <w:jc w:val="left"/>
        <w:tblInd w:w="0" w:type="dxa"/>
        <w:tblLayout w:type="fixed"/>
        <w:tblCellMar>
          <w:top w:w="0" w:type="dxa"/>
          <w:left w:w="0" w:type="dxa"/>
          <w:bottom w:w="0" w:type="dxa"/>
          <w:right w:w="0" w:type="dxa"/>
        </w:tblCellMar>
      </w:tblPr>
      <w:tblGrid>
        <w:gridCol w:w="1460"/>
        <w:gridCol w:w="120"/>
        <w:gridCol w:w="2870"/>
        <w:gridCol w:w="120"/>
        <w:gridCol w:w="575"/>
        <w:gridCol w:w="120"/>
        <w:gridCol w:w="179"/>
        <w:gridCol w:w="486"/>
        <w:gridCol w:w="60"/>
        <w:gridCol w:w="120"/>
        <w:gridCol w:w="320"/>
        <w:gridCol w:w="870"/>
        <w:gridCol w:w="60"/>
        <w:gridCol w:w="120"/>
        <w:gridCol w:w="238"/>
        <w:gridCol w:w="952"/>
        <w:gridCol w:w="60"/>
        <w:gridCol w:w="120"/>
        <w:gridCol w:w="232"/>
        <w:gridCol w:w="928"/>
        <w:gridCol w:w="60"/>
        <w:gridCol w:w="120"/>
        <w:gridCol w:w="105"/>
        <w:gridCol w:w="77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120" w:type="dxa"/>
            <w:tcBorders/>
            <w:vAlign w:val="center"/>
          </w:tcPr>
          <w:p>
            <w:pPr>
              <w:pStyle w:val="TableContents"/>
              <w:bidi w:val="0"/>
              <w:spacing w:before="0" w:after="283"/>
              <w:jc w:val="left"/>
              <w:rPr/>
            </w:pPr>
            <w:r>
              <w:rPr/>
              <w:t>  </w:t>
            </w:r>
          </w:p>
        </w:tc>
        <w:tc>
          <w:tcPr>
            <w:tcW w:w="2870" w:type="dxa"/>
            <w:tcBorders>
              <w:bottom w:val="single" w:sz="8" w:space="0" w:color="000000"/>
            </w:tcBorders>
            <w:tcMar>
              <w:bottom w:w="28" w:type="dxa"/>
            </w:tcMar>
            <w:vAlign w:val="center"/>
          </w:tcPr>
          <w:p>
            <w:pPr>
              <w:pStyle w:val="TableContents"/>
              <w:bidi w:val="0"/>
              <w:spacing w:before="0" w:after="283"/>
              <w:jc w:val="left"/>
              <w:rPr>
                <w:b/>
              </w:rPr>
            </w:pPr>
            <w:r>
              <w:rPr>
                <w:b/>
              </w:rPr>
              <w:t>Target</w:t>
            </w:r>
          </w:p>
        </w:tc>
        <w:tc>
          <w:tcPr>
            <w:tcW w:w="12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Clinical</w:t>
              <w:br/>
              <w:t>Phase</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left"/>
              <w:rPr>
                <w:b/>
              </w:rPr>
            </w:pPr>
            <w:r>
              <w:rPr>
                <w:b/>
              </w:rPr>
              <w:t>Total</w:t>
              <w:br/>
              <w:t>Raise</w:t>
              <w:br/>
              <w:t>(Pre-</w:t>
              <w:br/>
              <w:t>Public</w:t>
              <w:br/>
              <w:t>Deal)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b/>
              </w:rPr>
            </w:pPr>
            <w:r>
              <w:rPr>
                <w:b/>
              </w:rPr>
              <w:t>Public Deal</w:t>
              <w:br/>
              <w:t>Raise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left"/>
              <w:rPr>
                <w:b/>
              </w:rPr>
            </w:pPr>
            <w:r>
              <w:rPr>
                <w:b/>
              </w:rPr>
              <w:t>Public Deal</w:t>
              <w:br/>
              <w:t>Valuation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b/>
              </w:rPr>
            </w:pPr>
            <w:r>
              <w:rPr>
                <w:b/>
              </w:rPr>
              <w:t>Pre-Money</w:t>
              <w:br/>
              <w:t>Valuation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left"/>
              <w:rPr>
                <w:b/>
              </w:rPr>
            </w:pPr>
            <w:r>
              <w:rPr>
                <w:b/>
              </w:rPr>
              <w:t>Market</w:t>
              <w:br/>
              <w:t>Value of</w:t>
              <w:br/>
              <w:t>Invested</w:t>
              <w:br/>
              <w:t>Capital</w:t>
              <w:br/>
              <w:t>Multiple</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June 7, 2024</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Rapport Therapeutics, Inc.</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I</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1.9x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September 15, 2023</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Neumora Therapeutics, Inc.</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2580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3.8x</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January 7, 2022</w:t>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Amylyx Pharmaceuticals, Inc.</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1,073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4.4x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June 28, 2024</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Alumis Inc.</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0"/>
              <w:jc w:val="left"/>
              <w:rPr>
                <w:rFonts w:ascii="Times New Roman" w:hAnsi="Times New Roman"/>
                <w:sz w:val="18"/>
              </w:rPr>
            </w:pPr>
            <w:r>
              <w:rPr>
                <w:rFonts w:ascii="Times New Roman" w:hAnsi="Times New Roman"/>
                <w:sz w:val="18"/>
              </w:rPr>
              <w:t>II</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1.0x</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b/>
              </w:rPr>
            </w:pPr>
            <w:r>
              <w:rPr>
                <w:b/>
              </w:rPr>
              <w:t>Average</w:t>
            </w:r>
          </w:p>
        </w:tc>
        <w:tc>
          <w:tcPr>
            <w:tcW w:w="12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w:t>
            </w:r>
          </w:p>
        </w:tc>
        <w:tc>
          <w:tcPr>
            <w:tcW w:w="870" w:type="dxa"/>
            <w:tcBorders/>
            <w:shd w:fill="CCEEFF" w:val="clear"/>
            <w:vAlign w:val="center"/>
          </w:tcPr>
          <w:p>
            <w:pPr>
              <w:pStyle w:val="TableContents"/>
              <w:bidi w:val="0"/>
              <w:spacing w:before="0" w:after="283"/>
              <w:jc w:val="right"/>
              <w:rPr/>
            </w:pPr>
            <w:r>
              <w:rPr/>
              <w:t>206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1,074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2.8x</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Median</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486" w:type="dxa"/>
            <w:tcBorders/>
            <w:vAlign w:val="center"/>
          </w:tcPr>
          <w:p>
            <w:pPr>
              <w:pStyle w:val="TableContents"/>
              <w:bidi w:val="0"/>
              <w:spacing w:before="0" w:after="283"/>
              <w:jc w:val="right"/>
              <w:rPr/>
            </w:pPr>
            <w:r>
              <w:rPr/>
              <w:t>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w:t>
            </w:r>
          </w:p>
        </w:tc>
        <w:tc>
          <w:tcPr>
            <w:tcW w:w="870"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751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2.8x</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Gemini looked at the above transactions within neurology and other relevant segments within the biotechnology industry. Gemini believes that the groups of companies listed above have business models similar to those of Korsana but noted that none of these companies has the same management, composition, size, operations, financial profile or combination of businesses as Korsana. </w:t>
      </w:r>
    </w:p>
    <w:p>
      <w:pPr>
        <w:pStyle w:val="TextBody"/>
        <w:bidi w:val="0"/>
        <w:spacing w:before="240" w:after="0"/>
        <w:jc w:val="left"/>
        <w:rPr>
          <w:rFonts w:ascii="Times New Roman" w:hAnsi="Times New Roman"/>
          <w:sz w:val="20"/>
        </w:rPr>
      </w:pPr>
      <w:r>
        <w:rPr>
          <w:rFonts w:ascii="Times New Roman" w:hAnsi="Times New Roman"/>
          <w:sz w:val="20"/>
        </w:rPr>
        <w:t xml:space="preserve">At the time of their initial public offerings, each of the selected comparable companies were clinical-stage, whereas Korsana Biosciences remains a preclinical company. Gemini nevertheless viewed these IPOs as relevant reference points because all four companies are development-stage biotechnology platforms with no meaningful commercial revenue whose valuations were primarily driven by the quality and differentiation of their pipelines, the magnitude of the unmet medical need and the perceived probability of advancing through later-stage clinical development, rather than by near-term cash flow. In evaluating Korsana, Gemini also considered that the selected IPO issuers and Korsana share capital-intensive therapeutic areas (CNS and immune-mediated diseases), blue-chip investor syndicates and large pre-IPO/private financings, which are key drivers of public market appetite for development-stage biotechnology companies. However, Gemini recognizes that the clinical-stage issuers had already generated human data and, in some cases, had defined regulatory pathways, whereas Korsana’s program is pre-IND and supported only by preclinical data today; accordingly, the clinical-stage IPO multiples represent directional, upper-bound benchmarks and Gemini applied a qualitative discount to Korsana’s valuation to reflect its earlier stage of development, greater technical and regulatory risk, and longer time to potential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transactions had an average and median MVIC Multiple of 2.8x and 2.8x, respectively. Korsana has raised $175 million prior to the Merger and the value of the Korsana Pre-Closing Financing as of March 31, 2026, was expected to be $380 million. Based on the observed MVIC Multiples in the selected transactions, which were further adjusted for comparison with the Cyclerion-Korsana transaction (as discussed above), Korsana’s Equity Value was estimated as follows: </w:t>
      </w:r>
    </w:p>
    <w:p>
      <w:pPr>
        <w:pStyle w:val="TextBody"/>
        <w:bidi w:val="0"/>
        <w:spacing w:before="0" w:after="0"/>
        <w:jc w:val="left"/>
        <w:rPr/>
      </w:pPr>
      <w:r>
        <w:rPr/>
        <w:t> </w:t>
      </w:r>
    </w:p>
    <w:tbl>
      <w:tblPr>
        <w:tblW w:w="4020" w:type="dxa"/>
        <w:jc w:val="left"/>
        <w:tblInd w:w="0" w:type="dxa"/>
        <w:tblLayout w:type="fixed"/>
        <w:tblCellMar>
          <w:top w:w="0" w:type="dxa"/>
          <w:left w:w="0" w:type="dxa"/>
          <w:bottom w:w="0" w:type="dxa"/>
          <w:right w:w="0" w:type="dxa"/>
        </w:tblCellMar>
      </w:tblPr>
      <w:tblGrid>
        <w:gridCol w:w="2075"/>
        <w:gridCol w:w="120"/>
        <w:gridCol w:w="178"/>
        <w:gridCol w:w="562"/>
        <w:gridCol w:w="60"/>
        <w:gridCol w:w="120"/>
        <w:gridCol w:w="200"/>
        <w:gridCol w:w="630"/>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Analysis (in $m)</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Median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Average</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Invested Capital</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MVIC Multiple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2.3x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2.8x</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Pre-Funding Valuation</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496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Impending Financing</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283"/>
              <w:jc w:val="right"/>
              <w:rPr/>
            </w:pPr>
            <w:r>
              <w:rPr/>
              <w:t>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 w:type="dxa"/>
            <w:tcBorders/>
            <w:vAlign w:val="center"/>
          </w:tcPr>
          <w:p>
            <w:pPr>
              <w:pStyle w:val="TableContents"/>
              <w:bidi w:val="0"/>
              <w:spacing w:before="0" w:after="283"/>
              <w:jc w:val="right"/>
              <w:rPr/>
            </w:pPr>
            <w:r>
              <w:rPr/>
              <w:t>380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777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876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Concluded Equity Value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determined equity value ranges for Korsana and averaging the low and high ranges under each valuation method, the enterprise value for Korsana is estimated to range between $753 million and $891 million. </w:t>
      </w:r>
    </w:p>
    <w:p>
      <w:pPr>
        <w:pStyle w:val="TextBody"/>
        <w:bidi w:val="0"/>
        <w:spacing w:before="0" w:after="0"/>
        <w:jc w:val="left"/>
        <w:rPr/>
      </w:pPr>
      <w:r>
        <w:rPr/>
        <w:t> </w:t>
      </w:r>
    </w:p>
    <w:tbl>
      <w:tblPr>
        <w:tblW w:w="4620" w:type="dxa"/>
        <w:jc w:val="left"/>
        <w:tblInd w:w="0" w:type="dxa"/>
        <w:tblLayout w:type="fixed"/>
        <w:tblCellMar>
          <w:top w:w="0" w:type="dxa"/>
          <w:left w:w="0" w:type="dxa"/>
          <w:bottom w:w="0" w:type="dxa"/>
          <w:right w:w="0" w:type="dxa"/>
        </w:tblCellMar>
      </w:tblPr>
      <w:tblGrid>
        <w:gridCol w:w="3365"/>
        <w:gridCol w:w="120"/>
        <w:gridCol w:w="500"/>
        <w:gridCol w:w="120"/>
        <w:gridCol w:w="51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Valuation Range (in $m)</w:t>
            </w:r>
          </w:p>
        </w:tc>
        <w:tc>
          <w:tcPr>
            <w:tcW w:w="12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left"/>
              <w:rPr/>
            </w:pPr>
            <w:r>
              <w:rPr/>
              <w:t>Low</w:t>
            </w:r>
          </w:p>
        </w:tc>
        <w:tc>
          <w:tcPr>
            <w:tcW w:w="12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left"/>
              <w:rPr/>
            </w:pPr>
            <w:r>
              <w:rPr/>
              <w:t>High</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Comparable Transactions: M&amp;A</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$730</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$905</w:t>
            </w:r>
          </w:p>
        </w:tc>
      </w:tr>
      <w:tr>
        <w:trPr/>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Comparable Transactions: Public Listing</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$777</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$876</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Analysis </w:t>
      </w:r>
    </w:p>
    <w:p>
      <w:pPr>
        <w:pStyle w:val="TextBody"/>
        <w:bidi w:val="0"/>
        <w:spacing w:before="120" w:after="0"/>
        <w:jc w:val="left"/>
        <w:rPr>
          <w:rFonts w:ascii="Times New Roman" w:hAnsi="Times New Roman"/>
          <w:sz w:val="20"/>
        </w:rPr>
      </w:pPr>
      <w:r>
        <w:rPr>
          <w:rFonts w:ascii="Times New Roman" w:hAnsi="Times New Roman"/>
          <w:sz w:val="20"/>
        </w:rPr>
        <w:t xml:space="preserve">Gemini compared the above calculated equity value of Korsana against the value of contribution by Cyclerion’s shareholders to the Merger Agreement below. </w:t>
      </w:r>
    </w:p>
    <w:p>
      <w:pPr>
        <w:pStyle w:val="TextBody"/>
        <w:bidi w:val="0"/>
        <w:spacing w:before="240" w:after="0"/>
        <w:jc w:val="left"/>
        <w:rPr>
          <w:rFonts w:ascii="Times New Roman" w:hAnsi="Times New Roman"/>
          <w:sz w:val="20"/>
        </w:rPr>
      </w:pPr>
      <w:r>
        <w:rPr>
          <w:rFonts w:ascii="Times New Roman" w:hAnsi="Times New Roman"/>
          <w:sz w:val="20"/>
        </w:rPr>
        <w:t xml:space="preserve">As of March 30, 2026 and as part of the Merger Agreement, Cyclerion was offering approximately 98.5% of post transaction outstanding common stock to the common stockholders and debt holders of Korsana while Cyclerion shareholders would retain approximately 1.5% of the post transaction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above analyses, Gemini noted that, the implied contribution made by the holders of Cyclerion common stock is lower than the aggregate value of the post-Closing equity position received by the holders of Cyclerion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value of Korsana’s outstanding equity, as set forth in the Merger Agreement, was equal to $268.4 million. The aggregate amount of investor commitments received in connection with the Korsana Pre-Closing Financing was expected to be approximately $380 million as of March 31, 2026, the date on which Gemini delivered its opinion. Based upon these two inputs, the Company Valuation (as defined in the Merger Agreement) was determined to be $648.4 million. Accordingly, based upon the range of Korsana equity values determined by Gemini’s analysis of $730 million to $905 million, the valuation of Korsana determined in accordance with the Merger Agreement, was fair, from a financial point of view, to Cyclerion and as a result, the Exchange Ratio under the Merger Agreement was fair, from a financial point of view, to Cyclerion.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Matters Relating to Gemini’s Opinion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Gemini did not draw, in isolation, conclusions from or with regard to any factor or analysis that it considered. Rather, Gemini made its determination as to fairness on the basis of its experience and professional judgment after considering the results of all of the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Gemini opinion was one of the many factors taken into consideration by the Cyclerion Board in making its determination to approve the Merger Agreement. Consequently, the analyses as described above should not be viewed as determinative of the opinion of the Cyclerion Board with respect to the Exchange Ratio in the Merger Agreement or of whether the Cyclerion Board would have been willing to agree to a different exchange ratio. The Exchange Ratio in the Merger Agreement was determined through arm’s-length negotiations between Cyclerion and Korsana and was approved by the Cyclerion Board. Neither Gemini nor any of its affiliates recommended any specific exchange ratio to Cyclerion or the Cyclerion Board or that any specific exchange ratio constituted the only appropriate exchange ratio for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its financial advisory business, Gemini regularly is engaged in the evaluation of businesses and their securities in connection with mergers, acquisitions, corporate restructurings, private placements and other purposes. Gemini is a recognized advisory firm that has substantial experience in providing financial advice in connection with proposed mergers, acquisitions, sales of companies, businesses and other assets and other transactions. Gemini regularly undertakes valuation engagements in connection with public offerings, private placements, business combinations and similar transactions. Gemini may provide financial advisory and other financial services to Cyclerion and/or Korsana or other participants in the merger in the future, for which Gemini may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two years preceding the date of Gemini’s written opinion, Gemini did not have a commercial or investment banking relationship with Cyclerion or Korsana and has not received any compensation for prior work performed. </w:t>
      </w:r>
    </w:p>
    <w:p>
      <w:pPr>
        <w:pStyle w:val="TextBody"/>
        <w:bidi w:val="0"/>
        <w:spacing w:before="240" w:after="0"/>
        <w:jc w:val="left"/>
        <w:rPr>
          <w:rFonts w:ascii="Times New Roman" w:hAnsi="Times New Roman"/>
          <w:sz w:val="20"/>
        </w:rPr>
      </w:pPr>
      <w:r>
        <w:rPr>
          <w:rFonts w:ascii="Times New Roman" w:hAnsi="Times New Roman"/>
          <w:sz w:val="20"/>
        </w:rPr>
        <w:t xml:space="preserve">For services rendered in connection with the delivery of its opinion, Cyclerion paid Gemini an advisory fee, a portion of which was paid upon the signing of the engagement letter and the balance of which was paid following delivery of Gemini’s opinion. As of the date hereof, Gemini’s fee has been fully paid. No portion of Gemini’s fee was contingent upon the closing of the Merger or upon the conclusions reached in its written opinion. Cyclerion also agreed to reimburse Gemini for its reasonable out-of-pocket expenses incurred in connection with its services and will indemnify Gemini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Cyclerion selected Gemini to render a fairness opinion in connection with the Merger based on Gemini’s professional qualifications, as described above. </w:t>
      </w:r>
    </w:p>
    <w:p>
      <w:pPr>
        <w:pStyle w:val="TextBody"/>
        <w:bidi w:val="0"/>
        <w:spacing w:before="240" w:after="0"/>
        <w:jc w:val="left"/>
        <w:rPr>
          <w:rFonts w:ascii="Times New Roman" w:hAnsi="Times New Roman"/>
          <w:sz w:val="20"/>
        </w:rPr>
      </w:pPr>
      <w:r>
        <w:rPr>
          <w:rFonts w:ascii="Times New Roman" w:hAnsi="Times New Roman"/>
          <w:b/>
          <w:sz w:val="20"/>
        </w:rPr>
        <w:t>The Gemini opinion does not constitute a recommendation to the Cyclerion Board or any Cyclerion</w:t>
      </w:r>
      <w:r>
        <w:rPr>
          <w:rFonts w:ascii="Times New Roman" w:hAnsi="Times New Roman"/>
          <w:sz w:val="20"/>
        </w:rPr>
        <w:t xml:space="preserve"> </w:t>
      </w:r>
      <w:r>
        <w:rPr>
          <w:rFonts w:ascii="Times New Roman" w:hAnsi="Times New Roman"/>
          <w:b/>
          <w:sz w:val="20"/>
        </w:rPr>
        <w:t>shareholder as to how the Cyclerion Board, such shareholder or any other person should vote or otherwise</w:t>
      </w:r>
      <w:r>
        <w:rPr>
          <w:rFonts w:ascii="Times New Roman" w:hAnsi="Times New Roman"/>
          <w:sz w:val="20"/>
        </w:rPr>
        <w:t xml:space="preserve"> </w:t>
      </w:r>
      <w:r>
        <w:rPr>
          <w:rFonts w:ascii="Times New Roman" w:hAnsi="Times New Roman"/>
          <w:b/>
          <w:sz w:val="20"/>
        </w:rPr>
        <w:t>act with respect to the Merger or any other matter, including whether or not any Cyclerion shareholder</w:t>
      </w:r>
      <w:r>
        <w:rPr>
          <w:rFonts w:ascii="Times New Roman" w:hAnsi="Times New Roman"/>
          <w:sz w:val="20"/>
        </w:rPr>
        <w:t xml:space="preserve"> </w:t>
      </w:r>
      <w:r>
        <w:rPr>
          <w:rFonts w:ascii="Times New Roman" w:hAnsi="Times New Roman"/>
          <w:b/>
          <w:sz w:val="20"/>
        </w:rPr>
        <w:t>should enter into any voting, support, stockholder or other agreements, arrangements or understandings in connection with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Cyclerion’s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Cyclerion Board with respect to approving the Merger, shareholders should be aware that Cyclerion’s current directors and officers have interests in the Merger that are different from, or in addition to, the interests of Cyclerion’s shareholders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was aware of these potential conflicts of interest and considered them, among other matters, in reaching its decision to approve the Merger Agreement and the Merger, and to recommend that Cyclerion’s shareholders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Cyclerion Options and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whether requirements for performance-based vesting have been met, and cancel each option to acquire shares of Cyclerion Common Stock with an exercise price per share greater than the Cyclerion Closing Price. At the closing of the First Merger, (i) In-the-Money Cyclerion Options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regarding the Cyclerion stock options held as of June 30, 2026 by each of Cyclerion’s executive officers and non-employee directors. No Cyclerion executive officer or non-employee director holds any restricted stock awards.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2135"/>
        <w:gridCol w:w="120"/>
        <w:gridCol w:w="78"/>
        <w:gridCol w:w="1052"/>
        <w:gridCol w:w="60"/>
        <w:gridCol w:w="120"/>
        <w:gridCol w:w="249"/>
        <w:gridCol w:w="1211"/>
        <w:gridCol w:w="60"/>
        <w:gridCol w:w="120"/>
        <w:gridCol w:w="91"/>
        <w:gridCol w:w="1039"/>
        <w:gridCol w:w="60"/>
        <w:gridCol w:w="120"/>
        <w:gridCol w:w="276"/>
        <w:gridCol w:w="869"/>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Vested</w:t>
              <w:b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Unvested</w:t>
              <w:br/>
              <w:t>Options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sz w:val="4"/>
                <w:szCs w:val="4"/>
              </w:rPr>
            </w:pPr>
            <w:r>
              <w:rPr>
                <w:sz w:val="4"/>
                <w:szCs w:val="4"/>
              </w:rPr>
            </w:r>
          </w:p>
        </w:tc>
        <w:tc>
          <w:tcPr>
            <w:tcW w:w="121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86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26,749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29,100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3.30</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14,514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2.36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De Souza,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21.65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Hecht, Ph.D.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110,984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231.32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Higgins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Hyman, M.D.</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3,887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8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Dr. Graul is subject to an amended and restated offer letter with Cyclerion (the “A&amp;R Graul Offer Letter”), which provides that, in the event Dr. Graul’s employment is terminated by Cyclerion without “cause”, or for “good reason” (each as defined in the A&amp;R Graul Offer Letter and as described in more detail in the section titled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on page 207), subject to Dr. Graul’s execution and non-revocation of a release, the executive is entitled to (i) nine months of salary continuation, (ii) an amount equal to twelve months of health insurance premium contributions at the same monthly rate that Cyclerion provides reimbursement for such health insurance premium contributions immediately prior to the termination date, in the case of (i) and (ii), payable in a lump sum on the first regularly scheduled payroll date following the effectiveness of a release via payroll, and (iii) full acceleration of any unvested Cyclerion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A&amp;R Graul Offer Letter, Dr. Graul will be entitled, at the Cyclerion Board’s discretion, to receive a bonus of up to $150,000 payable upon the consummation of transaction resulting in a change of control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constitute a “change in control” for purposes of the A&amp;R Graul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table below is intended to comply with Item 402(t) of Regulation S-K, which requires disclosure of compensation that each named executive officer could receive that is based on or otherwise relates to the Merger. This compensation is referred to as “golden parachute” compensation by the applicable SEC disclosure rules, and in this section Cyclerion uses such term to describe the Merger-related compensation payable to Cyclerion’s named executive officers. For additional details regarding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payments and benefits described below, see the discussion above. This Merger-related compensation is subject to a non-binding advisory vote of Cyclerion shareholders, as set forth in Proposal No. 9 to this proxy statement/prospectus.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9</w:t>
      </w:r>
      <w:r>
        <w:rPr>
          <w:rFonts w:ascii="Times New Roman" w:hAnsi="Times New Roman"/>
          <w:sz w:val="20"/>
        </w:rPr>
        <w:t> — </w:t>
      </w:r>
      <w:r>
        <w:rPr>
          <w:rFonts w:ascii="Times New Roman" w:hAnsi="Times New Roman"/>
          <w:i/>
          <w:sz w:val="20"/>
        </w:rPr>
        <w:t>The Merger Compensation Proposal</w:t>
      </w:r>
      <w:r>
        <w:rPr>
          <w:rFonts w:ascii="Times New Roman" w:hAnsi="Times New Roman"/>
          <w:sz w:val="20"/>
        </w:rPr>
        <w:t xml:space="preserve">” on page 277. </w:t>
      </w:r>
    </w:p>
    <w:p>
      <w:pPr>
        <w:pStyle w:val="TextBody"/>
        <w:bidi w:val="0"/>
        <w:spacing w:before="240" w:after="0"/>
        <w:jc w:val="left"/>
        <w:rPr>
          <w:rFonts w:ascii="Times New Roman" w:hAnsi="Times New Roman"/>
          <w:sz w:val="20"/>
        </w:rPr>
      </w:pPr>
      <w:r>
        <w:rPr>
          <w:rFonts w:ascii="Times New Roman" w:hAnsi="Times New Roman"/>
          <w:sz w:val="20"/>
        </w:rPr>
        <w:t xml:space="preserve">The amounts indicated below are estimates based on multiple assumptions that may or may not actually occur or be accurate on the relevant date, including assumptions described below, and do not reflect certain compensation actions that may occur before the consummation of the Merger. For purposes of calculating such amounts, the Company has assumed: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Cyclerion Common Stock is $4.61 per share, which is the average closing market price of Cyclerion Common Stock over the first five business days following the first public announcement of the transaction;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is consummated on June 30,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Dr. Graul’s employment by Cyclerion without cause or by Dr. Graul for good reason (in each case, as defined in the A&amp;R Graul Offer Letter) occurred on June 30, 2026.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1640"/>
        <w:gridCol w:w="120"/>
        <w:gridCol w:w="60"/>
        <w:gridCol w:w="800"/>
        <w:gridCol w:w="60"/>
        <w:gridCol w:w="120"/>
        <w:gridCol w:w="60"/>
        <w:gridCol w:w="800"/>
        <w:gridCol w:w="60"/>
        <w:gridCol w:w="120"/>
        <w:gridCol w:w="262"/>
        <w:gridCol w:w="613"/>
        <w:gridCol w:w="60"/>
        <w:gridCol w:w="120"/>
        <w:gridCol w:w="96"/>
        <w:gridCol w:w="1094"/>
        <w:gridCol w:w="60"/>
        <w:gridCol w:w="120"/>
        <w:gridCol w:w="492"/>
        <w:gridCol w:w="1148"/>
        <w:gridCol w:w="60"/>
        <w:gridCol w:w="120"/>
        <w:gridCol w:w="186"/>
        <w:gridCol w:w="434"/>
        <w:gridCol w:w="60"/>
        <w:gridCol w:w="120"/>
        <w:gridCol w:w="60"/>
        <w:gridCol w:w="80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8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Golden Parachute Payments</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Pension/</w:t>
              <w:br/>
              <w:t>NQDC</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Perquisites/</w:t>
              <w:br/>
              <w:t>Benefits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Tax</w:t>
              <w:br/>
              <w:t>Reimbursement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48,000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543,353</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23,646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in the “Cash” column represents a lump sum cash payment of nine months of base salary payable pursuant to the A&amp;R Graul Offer Letter, as discussed in further detail above. This amount is a “double trigger” payment. No amount is included with respect to the potential bonus that Dr. Graul may receive in connection with a change in control (up to $150,000) because this bonus is at the discretion of the Board.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acceleration value of unvested option and restricted stock awards held by the named executive officers. The amounts reported in this column are attributable to single-trigger arrangements (i.e., the amounts are triggered by the change in control alone) and represent, as they relate to option awards, the difference between $4.61 and the exercise price of the applicable option, multiplied by the number of shares of Cyclerion Common Stock subject to unvested options as of June 30, 2026, and, as they relate to restricted stock awards, $4.61 multiplied by each share of restricted Cyclerion Common Stock outstanding as of June 30,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reported represents the estimated cost of 12 months of health insurance premiums contributions payable pursuant to the A&amp;R Graul Offer Letter, as discussed in further detail above. This amount is a “double trigger” payment.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Korsana’s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Korsana Board with respect to approving the Merger, stockholders should be aware that Korsana’s directors and executive officers have interests in the Merger that are different from, or in addition to, the interests of Korsana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was aware of these potential conflicts of interest and considered them, among other matters, in reaching its decision to approve the Merger Agreement and the Merger, and to recommend that the Korsana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Ownership Interests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Korsana’s current non-employee directors and executive officers beneficially owned, in the aggregate approximately 44.5% of the shares of Korsana capital stock, which for purposes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subsection excludes any Korsana shares issuable upon exercise or settlement of Korsana Options and Korsana RSUs held by such individual. Each of Korsana’s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 Merger — Support Agreements</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As noted above, Fairmount Fund II, Venrock Healthcare Capital Partners, and Jonathan Violin currently hold shares of Korsana capital stock.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The table below sets forth the ownership of Korsana capital stock by Fairmount Fund II, Venrock Healthcare Capital Partners, and Jonathan Violin as of June 30, 2026. Fairmount Fund II and Venrock Healthcare Capital Partners have also agreed to purchase Korsana Common Stock and Korsana Pre-Funded Warrants in the Korsana Pre-Closing Financing. For a more detailed discussion of these relationships, please see the section titled “</w:t>
      </w:r>
      <w:r>
        <w:rPr>
          <w:rFonts w:ascii="Times New Roman" w:hAnsi="Times New Roman"/>
          <w:i/>
          <w:sz w:val="20"/>
        </w:rPr>
        <w:t>Certain Relationships and Related Party Transactions of the Combined Company — Korsana</w:t>
      </w:r>
      <w:r>
        <w:rPr>
          <w:rFonts w:ascii="Times New Roman" w:hAnsi="Times New Roman"/>
          <w:sz w:val="20"/>
        </w:rPr>
        <w:t xml:space="preserve"> </w:t>
      </w:r>
      <w:r>
        <w:rPr>
          <w:rFonts w:ascii="Times New Roman" w:hAnsi="Times New Roman"/>
          <w:i/>
          <w:sz w:val="20"/>
        </w:rPr>
        <w:t>Transactions — Korsana</w:t>
      </w:r>
      <w:r>
        <w:rPr>
          <w:rFonts w:ascii="Times New Roman" w:hAnsi="Times New Roman"/>
          <w:sz w:val="20"/>
        </w:rPr>
        <w:t xml:space="preserve"> </w:t>
      </w:r>
      <w:r>
        <w:rPr>
          <w:rFonts w:ascii="Times New Roman" w:hAnsi="Times New Roman"/>
          <w:i/>
          <w:sz w:val="20"/>
        </w:rPr>
        <w:t>Pre-Closing Financing</w:t>
      </w:r>
      <w:r>
        <w:rPr>
          <w:rFonts w:ascii="Times New Roman" w:hAnsi="Times New Roman"/>
          <w:sz w:val="20"/>
        </w:rPr>
        <w:t xml:space="preserve">” beginning on page 386 of this proxy statement/prospectus. </w:t>
      </w:r>
    </w:p>
    <w:p>
      <w:pPr>
        <w:pStyle w:val="TextBody"/>
        <w:bidi w:val="0"/>
        <w:spacing w:before="0" w:after="0"/>
        <w:jc w:val="left"/>
        <w:rPr/>
      </w:pPr>
      <w:r>
        <w:rPr/>
        <w:t> </w:t>
      </w:r>
    </w:p>
    <w:tbl>
      <w:tblPr>
        <w:tblW w:w="8265" w:type="dxa"/>
        <w:jc w:val="left"/>
        <w:tblInd w:w="0" w:type="dxa"/>
        <w:tblLayout w:type="fixed"/>
        <w:tblCellMar>
          <w:top w:w="0" w:type="dxa"/>
          <w:left w:w="0" w:type="dxa"/>
          <w:bottom w:w="0" w:type="dxa"/>
          <w:right w:w="0" w:type="dxa"/>
        </w:tblCellMar>
      </w:tblPr>
      <w:tblGrid>
        <w:gridCol w:w="4880"/>
        <w:gridCol w:w="120"/>
        <w:gridCol w:w="150"/>
        <w:gridCol w:w="2750"/>
        <w:gridCol w:w="36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2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Capital Stock held</w:t>
            </w:r>
          </w:p>
        </w:tc>
        <w:tc>
          <w:tcPr>
            <w:tcW w:w="36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50" w:type="dxa"/>
            <w:tcBorders/>
            <w:shd w:fill="CCEEFF" w:val="clear"/>
            <w:vAlign w:val="center"/>
          </w:tcPr>
          <w:p>
            <w:pPr>
              <w:pStyle w:val="TableContents"/>
              <w:bidi w:val="0"/>
              <w:spacing w:before="0" w:after="283"/>
              <w:jc w:val="right"/>
              <w:rPr/>
            </w:pPr>
            <w:r>
              <w:rPr/>
              <w:t>22,500,000</w:t>
            </w:r>
          </w:p>
        </w:tc>
        <w:tc>
          <w:tcPr>
            <w:tcW w:w="365" w:type="dxa"/>
            <w:tcBorders/>
            <w:shd w:fill="CCEEFF" w:val="clear"/>
            <w:vAlign w:val="center"/>
          </w:tcPr>
          <w:p>
            <w:pPr>
              <w:pStyle w:val="TableContents"/>
              <w:bidi w:val="0"/>
              <w:spacing w:before="0" w:after="283"/>
              <w:jc w:val="left"/>
              <w:rPr/>
            </w:pPr>
            <w:r>
              <w:rPr/>
              <w:t>(1)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right"/>
              <w:rPr/>
            </w:pPr>
            <w:r>
              <w:rPr/>
              <w:t>21,700,000</w:t>
            </w:r>
          </w:p>
        </w:tc>
        <w:tc>
          <w:tcPr>
            <w:tcW w:w="365" w:type="dxa"/>
            <w:tcBorders/>
            <w:vAlign w:val="center"/>
          </w:tcPr>
          <w:p>
            <w:pPr>
              <w:pStyle w:val="TableContents"/>
              <w:bidi w:val="0"/>
              <w:spacing w:before="0" w:after="283"/>
              <w:jc w:val="left"/>
              <w:rPr/>
            </w:pPr>
            <w:r>
              <w:rPr/>
              <w:t>(2)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50" w:type="dxa"/>
            <w:tcBorders/>
            <w:shd w:fill="CCEEFF" w:val="clear"/>
            <w:vAlign w:val="center"/>
          </w:tcPr>
          <w:p>
            <w:pPr>
              <w:pStyle w:val="TableContents"/>
              <w:bidi w:val="0"/>
              <w:spacing w:before="0" w:after="283"/>
              <w:jc w:val="right"/>
              <w:rPr/>
            </w:pPr>
            <w:r>
              <w:rPr/>
              <w:t>1,000,000</w:t>
            </w:r>
          </w:p>
        </w:tc>
        <w:tc>
          <w:tcPr>
            <w:tcW w:w="365" w:type="dxa"/>
            <w:tcBorders/>
            <w:shd w:fill="CCEEFF" w:val="clear"/>
            <w:vAlign w:val="center"/>
          </w:tcPr>
          <w:p>
            <w:pPr>
              <w:pStyle w:val="TableContents"/>
              <w:bidi w:val="0"/>
              <w:spacing w:before="0" w:after="283"/>
              <w:jc w:val="left"/>
              <w:rPr/>
            </w:pPr>
            <w:r>
              <w:rPr/>
              <w:t>(3)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21,700,000 shares of Korsana Common Stock issuable upon conversion of 9,200,000 shares of Korsana Series Seed Preferred Stock and 12,500,000 shares of Korsana Series A Preferred Stock.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Violin Anti-Dilution Provision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consulting agreement and offer letter between Korsana and Dr. Violin, Korsana is obligated to issue additional options to purchase shares of Korsana Common Stock in order to maintain Dr. Violin’s ownership in Korsana at approximately 5% on a fully-diluted basis until Korsana has raised an aggregate of $200 million in financing following the effective date of his consulting agreement. The options granted to Dr. Violin on October 27, 2025 were in partial satisfaction (with respect to $151 million in financing) of such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Korsana Common Stock that is outstanding and unexercised immediately prior to the First Effective Time under Korsana’s 2025 Equity Incentive Plan and that, following assumption by Cyclerion at the First Effective Time, will be eligible to be registered on Form S-8, whether or not vested, will be converted into an option to purchase shares of Cyclerion Common Stock. Cyclerion will assume Korsana’s 2025 Equity Incentive Plan and each such outstanding option to purchase shares of Korsana Common Stock in accordance with the terms (as in effect as of the date of the Merger Agreement) of Korsana’s 2025 Equity Incentive Plan and the terms of the stock option agreement by which such option to purchase shares of Korsana Common Stock is evidenced.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Korsana stock options held as of June 30, 2026 by each of Korsana’s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135"/>
        <w:gridCol w:w="120"/>
        <w:gridCol w:w="65"/>
        <w:gridCol w:w="1065"/>
        <w:gridCol w:w="60"/>
        <w:gridCol w:w="120"/>
        <w:gridCol w:w="175"/>
        <w:gridCol w:w="1285"/>
        <w:gridCol w:w="60"/>
        <w:gridCol w:w="120"/>
        <w:gridCol w:w="60"/>
        <w:gridCol w:w="1100"/>
        <w:gridCol w:w="60"/>
        <w:gridCol w:w="120"/>
        <w:gridCol w:w="137"/>
        <w:gridCol w:w="1008"/>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br/>
              <w:t>of Vested</w:t>
              <w:br/>
              <w:t>Options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w:t>
              <w:br/>
              <w:t>Held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Unvested</w:t>
              <w:br/>
              <w:t>Options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1,474,146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13,146,884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1.45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3,123,094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1.35</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1,873,856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486,957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1.67</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60,763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0.86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Korsana Management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captioned “Management Following the Merger” beginning on page 379 of this proxy statement/prospectus certain of Korsana’s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Korsana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182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and DLLCA, (i) at the First Effective Time, First Merger Sub will merge with and into Korsana, with Korsana continuing as a wholly owned subsidiary of Cyclerion and the surviving corporation of the First Merger and (ii) immediately following the First Merger and as part of the same overall transaction as the First Merger (the “Second Effective Time”), Korsana will merge with and into Second Merger Sub, with Second Merger Sub being the surviving entity.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Korsana Common Stock and Korsana Series A Preferred Stock (including shares of Korsana Common Stock issued in the Korsana Pre-Closing Financing and excluding shares to be cancelled pursuant to the Merger Agreement and dissenting shares) will be automatically converted solely into the right to receive a number of shares of Cyclerion Common Stock or Cyclerion Pre-Funded Warrants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169 of this proxy statement/prospectus),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(iii) each then-outstanding Korsana Option will be converted into and become an option to purchase shares of Cyclerion Common Stock on the existing terms and conditions (including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vesting and accelerated vesting), subject to adjustment as set forth in the Merger Agreement, (iv) each then-outstanding Korsana RSU will be converted into and become a Cyclerion RSU on the existing terms and conditions (including with respect to vesting and accelerated vesting), subject to adjustment as set forth in the Merger Agreement, and (v) each then-outstanding and unexercised Korsana Warrant (including Korsana Pre-Funded Warrants issued in the Korsana Pre-Closing Financing) will be converted into a Cyclerion Warrant,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Cyclerion Common Stock will be issued in connection with the Merger, and no certificates or scrip for any such fractional shares will be issued. Any fractional shares of Cyclerion Common Stock resulting from the conversion of shares of Korsana Common Stock (including shares of Korsana Common Stock issued in the Korsana Pre-Closing Financing) shall be issued as follows: (i) one share of Cyclerion Common Stock if the aggregate amount of fractional shares of Cyclerion Common Stock of any individual holder of Korsana capital stock if upon conversion is equal to or exceeds 0.50 or (ii) no shares of Cyclerion Common Stock if the aggregate amount of fractional shares of Cyclerion Common Stock of any individual holder of Korsana capital stock if upon conversion is less than 0.50, with no cash being paid for any fractional share eliminated by such rounding. Any fractional shares of Cyclerion Series B Preferred Stock that a holder of Korsana Series Seed Preferred Stock would otherwise be entitled to receive will be aggregated with all fractional shares of Cyclerion Series B Preferred Stock issuable to such holder and rounded up to the nearest whole share of Cyclerion’s Series B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Cyclerion will deposit with the Exchange Agent evidence of book-entry shares representing the shares of Cyclerion Common Stock issuable pursuant to the terms of the Merger Agreement in exchange for shares of Korsana Common Stock (including shares of Korsana Common Stock issued in the Korsana Pre-Closing Financing) and Korsana Series A Preferred Stock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Korsana Series A Preferred Stock and Korsana Series A Preferred Stock (including shares of Korsana Common Stock issued in the Korsana Pre-Closing Financing) (excluding shares to be cancelled pursuant to the Merger Agreement and excluding dissenting shares)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and the declaration for tax withholding purposes, the surrender of the record holder’s stock certificates and identification of book-entry shares,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or Korsana Series Seed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HOLDERS OF KORSANA CAPITAL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First Effective Time and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Korsana stockholders and the approval by the Cyclerion shareholders of the issuance of Cyclerion Common Stock, including shares of Cyclerion Common Stock issuable upon conversion of Cyclerion Series B Preferred Stock, and the other transactions proposed under the Merger Agreement, other than those conditions that by their nature are to be satisfied at the closing of the Merger. The First Merger will become effective upon the filing of a certificate of merger (the “First Certificate of Merger”) with the Secretary of State of the State of Delaware or at such later time as is agreed by Cyclerion and Korsana and specified in the First Certificate of Merger. The Second Merger will become effective upon the filing of a certificate of merger (the “Second Certificate of Merger”) with the Secretary of State of the State of Delaware or at such later time as is agreed by Cyclerion and Korsana and specified in the Second Certificate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Cyclerion must comply with applicable federal and state securities laws and the rules and regulations of Nasdaq in connection with the issuance of shares of Cyclerion Common Stock, including shares of Cyclerion Common Stock issuable upon conversion of Cyclerion Series B Preferred Stock, to Korsana’s stockholders in connection with the transactions contemplated by the Merger Agreement and the filing of this proxy statement/prospectus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subject to the requirements of the HSR Act and the related rules and regulations, which provide that certain transactions may not be completed until notification and report forms have been furnished to the DOJ and the FTC and until certain waiting periods have been terminated or have expired. The HSR Act requires Cyclerion and Korsana to observe a 30-calendar-day waiting period after the submission of their respective HSR notification and report forms before consummating the Merger. The waiting period may be shortened if the reviewing agency grants “early termination” of the waiting period or lengthened if the acquiring person (here Cyclerion) voluntarily withdraws and refiles to allow a second 30-calendar-day waiting period, or if the reviewing agency issues a request for additional information or documentary material (a “Second Request”) prior to the expiration of the initial waiting period, the parties must observe a second 30-calendar-day waiting period, which begins to run only after each of the parties has substantially complied with the Second Request.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Cyclerion and Korsana each filed a notification and report form under the HSR Act with the DOJ and the FTC. The applicable waiting period required under the HSR Act expired at 11:59 p.m., Eastern Time, on May 22, 2026.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Korsana Common Stock and of Korsana Preferred Stock (collectively, “Korsana stock”)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in effect as of the date hereof. These authorities may change or be subject to differing interpretations. Any such change or differing interpretation may be applied retroactively in a manner that could adversely affect a U.S. Holder. Korsana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Korsana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Korsana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Korsana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Korsana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Korsana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Korsana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Korsana stock, the tax treatment of a partner in the partnership will depend on the status of the partner, the activities of the partnership, and certain determinations made at the partner level. Accordingly, a partnership holding Korsana stock and each partner in such partnership is urged to consult its tax advisor regarding the U.S. federal income tax considerations to it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Korsana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Korsana and Cyclerion intends that the Merger qualifies as a “reorganization” within the meaning of Section 368(a) of the Code. Assuming the Merger so qualifies, a U.S. Holder will not recognize gain or loss upon the exchange of its Korsana stock for Cyclerion Common Stock or Cyclerion Series B Preferred Stock (collectively, “Cyclerion stock”). A U.S. Holder will have the same aggregate basis in its Cyclerion stock after the Merger as such U.S. Holder had in the corresponding Korsana stock immediately prior to the Merger. A U.S. Holder’s holding period in the Cyclerion stock immediately following the Merger will include such U.S. Holder’s holding period in the corresponding Korsana stock immediately prior to the Merger. If a U.S. Holder holds different blocks of Korsana stock (generally, Korsana stock acquired on different dates or at different prices), such U.S. Holder is urged to consult its tax advisor with respect to the determination of the tax bases and/or holding periods of the shares of Cyclerion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who receives Cyclerion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immediately before the Merger at least one percent (by vote or value) of the total outstanding stock of Korsana or who owned securities in Korsana with a basis of $1,000,000 or more is required to attach a statement to its tax return for the year in which the Merger is consummated that contains the information listed in Treasury Regulation Section 1.368-3(b). Such statement must include the U.S. Holder’s tax basis in such U.S. Holder’s Korsana stock surrendered in the Merger, the fair market value of such Korsana stock, the date of the Merger, and the name and employer identification number of each of Korsana and Cyclerion. Each U.S. Holder is urged to consult with its tax advisor to comply with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Cyclerion Common Stock are currently listed on Nasdaq under the symbol “CYCN.” Cyclerion has agreed to use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Cyclerion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Cyclerion Articles effecting the proposed reverse stock split, certified by the Secretary of the Commonwealth of Massachusetts, to Nasdaq on the closing date of the Merger; and (d) to the extent required by Nasdaq Marketplace Rule 5110, assist Korsana in preparing and filing an initial listing application for the Cyclerion Common Stock issued to Korsana stockholders (including any common stock issuable upon conversion of the Cyclerion Series B Preferred Stock) (the “Nasdaq Listing Application”) and to cause such Nasdaq Listing Application to be conditionally approved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Cyclerion’s and Korsana’s obligation to complete the Merger is subject to the satisfaction or waiver by each of the parties, at or prior to the closing of the Merger, of various conditions, including that the Nasdaq Listing Application shall have been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Nasdaq Listing Application is approved, Cyclerion anticipates that the common stock of the Combined Company will be listed on Nasdaq following the closing of the Merger under the trading symbol “KRSA.”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treated by Cyclerion as a reverse merger and is expected to be accounted for as an in-substance reverse recapitalization of Cyclerion by Korsana in accordance with U.S. GAAP as, at close, the transaction is, in essence, the issuance of equity for Cyclerion’s net assets, consisting of nominal assets and liabilities before the Merger. For accounting purposes, Korsana is considered to be acquiring the assets and liabilities of Cyclerion in this transaction based on the terms of the Merger Agreement and other factors, including: (i) Korsana’s equity holders will own a substantial majority of the voting rights in the Combined Company; (ii) Korsana’s largest stockholder will retain the largest interest in the Combined Company; (iii) Korsana will designate all of the initial members of the board of directors of the Combined Company; and (iv) Korsana’s executive management team will become the management of the Combined Company. The Combined Company will be named Korsana Biosciences, Inc. Accordingly, the Merger is expected to be treated as the equivalent of Korsana issuing stock to acquire the net assets of Cyclerion. As a result of the Merger, the net assets of Cyclerion will be stated at fair value, with no goodwill or other intangible assets recorded, and the historical results of operations prior to the Merger will be those of Korsana. The direct and incremental costs related to the transaction will be treated as a reduction of the net proceeds received within additional paid-in-capital.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Cyclerion shareholders are not entitled to appraisal rights in connection with the Merger. Korsana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Korsana’s stockholders’ appraisal rights under Delaware law and is qualified in its entirety by reference to the text of the relevant provisions of Delaware law, which are attached as </w:t>
      </w:r>
      <w:r>
        <w:rPr>
          <w:rFonts w:ascii="Times New Roman" w:hAnsi="Times New Roman"/>
          <w:i/>
          <w:sz w:val="20"/>
        </w:rPr>
        <w:t>Annex L</w:t>
      </w:r>
      <w:r>
        <w:rPr>
          <w:rFonts w:ascii="Times New Roman" w:hAnsi="Times New Roman"/>
          <w:sz w:val="20"/>
        </w:rPr>
        <w:t xml:space="preserve"> in this proxy statement/prospectus. Stockholders intending to exercise appraisal rights should carefully review </w:t>
      </w:r>
      <w:r>
        <w:rPr>
          <w:rFonts w:ascii="Times New Roman" w:hAnsi="Times New Roman"/>
          <w:i/>
          <w:sz w:val="20"/>
        </w:rPr>
        <w:t>Annex L</w:t>
      </w:r>
      <w:r>
        <w:rPr>
          <w:rFonts w:ascii="Times New Roman" w:hAnsi="Times New Roman"/>
          <w:sz w:val="20"/>
        </w:rPr>
        <w:t xml:space="preserve">. Failure to follow precisely any of the statutory procedures set forth in </w:t>
      </w:r>
      <w:r>
        <w:rPr>
          <w:rFonts w:ascii="Times New Roman" w:hAnsi="Times New Roman"/>
          <w:i/>
          <w:sz w:val="20"/>
        </w:rPr>
        <w:t>Annex L</w:t>
      </w:r>
      <w:r>
        <w:rPr>
          <w:rFonts w:ascii="Times New Roman" w:hAnsi="Times New Roman"/>
          <w:sz w:val="20"/>
        </w:rPr>
        <w:t xml:space="preserve"> may result in a termination or waiver of these rights. This summary does not constitute legal or other advice, nor does it constitute a recommendation that Korsana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Korsana will notify its stockholders that the Merger has been approved, the effective date of the Merger and that appraisal rights are available to any stockholder who has not approved the Merger. Holders of shares of Korsana capital stock who desire to exercise their appraisal rights must deliver a written demand for appraisal to Korsana within 20 days after the date of mailing of that notice, and that stockholder must not have delivered a written consent approving the Merger. A demand for appraisal must reasonably inform Korsana of the identity of the stockholder and that such stockholder intends thereby to demand appraisal of the shares of Korsana capital stock held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Failure to deliver a written consent approving the Merger will not in and of itself constitute a written demand for appraisal satisfying the requirements of Section 262. All demands for appraisal should be addressed to c/o Korsana Biosciences, Inc., 203 Crescent Street, Bldgs. #3/3A/4, Suite 503, Waltham, MA 02453, and should be executed by, or on behalf of, the record holder of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KORSANA WITHIN 20 DAYS AFTER THE DATE KORSANA MAILS A NOTICE TO ITS STOCKHOLDERS NOTIFYING THEM THAT THE MERGER HAS BEEN APPROVED, THE EFFECTIVE DATE OF THE MERGER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Korsana capital stock as provided for in the Merger Agreement, but you will have no appraisal rights with respect to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Korsana capital stock must be made by, or in the name of, the registered stockholder, fully and correctly, as the stockholder’s name appears on the stockholder’s stock certificate(s). Beneficial owners who do not also hold the shares of record may not directly make appraisal demands to Korsana.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Korsana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First Effective Time, any stockholder who has demanded an appraisal, but has neither commenced an appraisal proceeding nor joined an appraisal proceeding as a named party, has the right to withdraw such stockholder’s demand and accept the terms of the Merger by delivering a written withdrawal to Korsana. If, following a demand for appraisal, you have withdrawn your demand for appraisal in accordance with Section 262, you will have the right to receive the merger consideration for your shares of 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of a copy of the petition must be made upon the surviving corporation. The surviving corporation has no obligation to file a petition in the Delaware Court of Chancery in the event there are dissenting stockholders, and Cyclerion,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First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First Effective Time, or if the stockholder delivers a written withdrawal of his or her demand for appraisal and an acceptance of the terms of the Merger within 60 days after the First Effective Time, then the right of that stockholder to appraisal will cease and that stockholder will be entitled to receive the merger consideration for shares of his or her Korsana capital stock pursuant to the Merger Agreement. Any withdrawal of a demand for appraisal made more than 60 days after the First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1069_8"/>
      <w:bookmarkEnd w:id="10"/>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including the amendment thereto,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Cyclerion, Korsana,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Cyclerion, First Merger Sub, and Second Merger Sub, on the one hand, and Korsana,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Cyclerion and Korsana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Cyclerion or Korsana, because they were made as of specific dates, may be intended merely as a risk allocation mechanism between Cyclerion, First Merger Sub, Second Merger Sub and Korsana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the DLLCA, and the MBCA, at the Closing, First Merger Sub, a wholly owned subsidiary of Cyclerion, will merge with and into Korsana, with Korsana surviving the First Merger as a wholly owned subsidiary of Cyclerion (the “First Merger”). Immediately following the First Merger, and as part of the same overall transaction, Korsana will merge with and into Second Merger Sub, a wholly owned subsidiary of Cyclerion, with Second Merger Sub surviving the Second Merger as the surviving entity (the “Second Merger”). Upon completion of the Second Merger, Second Merger Sub will be renamed “Korsana Biosciences Operating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Korsana stockholders and the approval by Cyclerion shareholders of the issuance of Cyclerion Common Stock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Cyclerion and Korsana and specified in the certificates of Merger. Neither Cyclerion nor Korsana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Korsana Common Stock and Korsana Series A Preferred Stock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Korsana Common Stock issued in the Korsana Pre-Closing Financing), excluding shares of Korsana capital stock to be cancelled pursuant to the Merger Agreement and any dissenting shares, will be converted into the right to receive a number of shares of Cyclerion Common Stock and/or, in the event that they would receive, pursuant to the Exchange Ratio, a number of shares of Cyclerion Common Stock, that (when aggregated with all securities then beneficially owned by such person and its affiliates (as calculated pursuant to Section 13(d) of the Exchange Act and Rule 13d-3 promulgated thereunder)) would be in excess of a set beneficial ownership limitation applicable to such holder, Cyclerion Pre-Funded Warrants, equal to the Exchange Ratio (described in more detail below), and (ii) each then-outstanding share of Korsana Series Seed Preferred Stock, excluding any shares of Korsana Series Seed Preferred Stock to be cancelled pursuant to the Merger Agreement and any dissenting shares, will be converted into the right to receive a number of shares of Cyclerion Series B Preferred Stock equal to the Exchange Ratio divided by 1,000, in accordance with the terms of the Merger Agreement. No fractional shares of Cyclerion Common Stock will be issued in connection with the Merger, and no certificates or scrip for any such fractional shares will be issued. Any fractional shares of Cyclerion Common Stock resulting from the conversion of shares of Korsana capital stock (including shares of Korsana Common Stock issued in the Korsana Pre-Closing Financing) shall be issued as follows: (i) one share of Cyclerion Common Stock if the aggregate amount of fractional shares of Cyclerion Common Stock such holder of Korsana capital stock would otherwise be entitled to is equal to or exceeds 0.50; or (ii) no shares of Cyclerion Common Stock if the aggregate amount of fractional shares of Cyclerion Common Stock such holder of Company Capital Stock would otherwise be entitled to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Cyclerion and Korsana securityholders a percentage of the Combined Company. Based on Cyclerion’s and Korsana’s capitalization as of June 30, 2026, the Exchange Ratio was estimated to be equal to approximately 1.4735 shares of Cyclerion Common Stock for each share of Korsana Common Stock. This estimate is subject to adjustment prior to the closing of the Merger for Cyclerion’s Net Cash as of 11:59 p.m. on the business day prior to the anticipated closing date (the “Cash Determination Time”) (and as a result, Cyclerion securityholders could own less, and Korsana securityholders (including, for this purpose, investors in the Korsana Pre-Closing Financing) could own more, or vice versa, of the Combined Company).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Korsana Pre-Closing Financing, and certain other assumptions, immediately following the completion of the Merger, Cyclerion securityholders would own approximately 1.1% of the capital stock of the Combined Company post-Merger on a fully-diluted basis, and Korsana securityholders, including shares of Korsana Common Stock and Korsana Pre-Funded Warrants purchased in the Korsana Pre-Closing Financing, would own approximately 98.9% of the capital stock of the Combined Company post-Merger on a fully-diluted basis. Under certain circumstances further described in the Merger Agreement, the ownership percentages may be adjusted up or down including, but not limited to, if Cyclerion’s Net Cash as of Closing is less than or greater than $0. Cyclerion currently estimates that its Net Cash as of closing will be approximately $(2.5) million, and the currently estimated ownership percentages reflect this projection. There can be no assurance that any of these assumptions will be accurate at Closing when the final Exchange Ratio is determined. For more information on the Korsana Pre-Closing Financing,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188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number of Korsana Merger Shares by the Korsana Outstanding Shares, in which: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Korsana Valuation and (ii) the Cyclerion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Cyclerion Shares” means the quotient determined by dividing (i) the Cyclerion Outstanding Shares by (ii) the Cyclerion Allocation Percentage. The estimated Exchange Ratio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purposes of the unaudited pro forma condensed combined financial information was derived on a fully-diluted basis as of December 31, 2025 for Cyclerion and March 31, 2026 for Korsana, using a stipulated value of Korsana of $268.4 million (excluding the Korsana Pre-Closing Financing) and of Cyclerion of $10 million. For more information, see “Unaudited Pro Forma Condensed Combined Financial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Allocation Percentage” means the quotient (expressed as a percentage and rounded to four decimal places) determined by dividing (i) the Cyclerion Valuation by (ii) the Aggregate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Outstanding Shares” means, without duplication, (including, without limitation, the effects of the Nasdaq Reverse Split, if completed, prior to the First Effective Time) the total number of shares of Cyclerion capital stock outstanding immediately prior to the First Effective Time expressed on a fully-diluted basis and as converted to Cyclerion Common Stock basis and assuming, without limitation or duplication, (i) the issuance of shares of Cyclerion Common Stock in respect of all In-the-Money Cyclerion Options, warrants or other rights or commitments to receive shares of Cyclerion Common Stock or Cyclerion preferred stock (or securities convertible or exercisable into shares of Cyclerion Common Stock or Cyclerion preferred stock, but excluding any Cyclerion capital stock issued as Merger Consideration), whether conditional or unconditional, that are outstanding as of immediately prior to the First Effective Time, and (ii) the settlement in shares of Cyclerion Common Stock of Cyclerion RSAs outstanding as of immediately prior to the First Effective Time on a net settlement basis. Notwithstanding any of the foregoing, no Out-of-the-Money Cyclerion Options shall be included in the total number of shares of Cyclerion Common Stock outstanding for purposes of determining the Cyclerion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Cyclerion Valuation” means (i) $10,000,000, minus (ii) the amount by which Net Cash is less than $0, plus (iii) the amount by which Cyclerion’s Net Cash exceeds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Allocation Percentage” means the percentage (rounded to four decimal places) determined by subtracting the Cyclerion Allocation Percentage from 100%.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pPr>
            <w:r>
              <w:rPr/>
              <w:t>“</w:t>
            </w:r>
            <w:r>
              <w:rPr>
                <w:rFonts w:ascii="Times New Roman" w:hAnsi="Times New Roman"/>
                <w:sz w:val="20"/>
              </w:rPr>
              <w:t xml:space="preserve">Korsana Equity Value” means $268,400,000.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Merger Shares” means the product determined by multiplying (i) the Post-Closing Cyclerion Shares by (ii) the Korsana Allocation Percentage.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Outstanding Shares” means, without duplication, the total number of shares of Korsana capital stock outstanding immediately prior to the First Effective Time (including any shares of Korsana Common Stock or Korsana Preferred Stock that are issued in, or issuable upon the exercise or conversion of securities issued in, the Korsana Pre-Closing Financing), expressed on a fully diluted and as-converted-to-Korsana Common Stock basis assuming, without limitation or duplication, the exercise of all Korsana Options, Korsana RSUs, Korsana Warrants or other rights or commitments to receive shares of Korsana Common Stock or Korsana Preferred Stock (or securities convertible or exercisable into shares of Korsana Common Stock or Korsana Preferred Stock), whether conditional or unconditional or vested or unvested, that are outstanding as of immediately prior to the First Effective Time; provided that “Korsana Outstanding Shares” shall exclude any Korsana Options, Korsana RSUs, Korsana Warrants and any other equity awards issued under the Korsana 2025 Equity Incentive Plan (including any shares of Korsana Common Stock issuable upon the exercise of such Korsana Options, Korsana Pre-Funded Warrants or other equity awards) issued to directors, employees, consultants or other service providers following the date of the Merger Agreement but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Korsana Valuation” means (i) the Korsana Equity Value, plus (ii) the amount of proceeds actually received by the Korsana from the Korsana Pre-Closing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Calculation of Cyclerion’s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Cyclerion’s “Net Cash” means,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unrestricted cash,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Cyclerion’s SEC filings or Cyclerion’s balance sheet (including any proceeds actually received from the sale, license, transfer, disposition, divestiture or other monetization transaction or winding down of Cyclerion’s legacy business) (each, a “Cyclerion Legacy Transaction”);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(b)</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Cyclerion prepaid expenses set forth in Cyclerion’s disclosure letter, if any; minus the sum (without duplication)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unpaid consolidated short-term and long-term contractual obligations and liabilities accrued at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Cyclerion’s SEC filings and its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(without duplication) of all fees and expenses incurred by Cyclerion prior to the First Effective Time in connection with the negotiation, execution and delivery of the Merger Agreement and the contemplated transactions or any Cyclerion Legacy Transaction, including: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fees and expenses of legal counsel, accountants, financial advisors, investment bankers, brokers, consultants, tax advisors, and other professional advisors of Cyclerion in connection with the transactions contemplated by the Merger Agreement or any Cyclerion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paid to the SEC in connection with filing this registration statement and any amendments and supplements thereto,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the fees and expenses incurred in connection with the printing, mailing and distribution of this proxy statement and any amendments and supplements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 of any Nasdaq fees related to the continued listing of Cyclerion, the listing transactions contemplated by the Merger Agreement;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costs and fees associated with making the distribution of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bonus, retention payments, severance, change-in-control payments or similar payment obligations (including payments with “single-trigger” provisions triggered at and as of the consummation of the transactions contemplated hereby) that are due or payable to any director, officer, employee or consultant as a result of the consummation of the contemplated transactions or any Cyclerion Legacy Transaction, together with any payroll taxes associated therewith;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obtaining the “D&amp;O tail policy” pursuant to Section 6.7 of the Merger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associated with the Pre-Closing Cash Dividend, to the extent declared and unpaid as of the First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(e)</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accrued and unpaid taxes of Cyclerion and its subsidiaries for tax periods (or portions thereof) ending on or before the closing date, in accordance with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(f)</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costs and expenses relating to the winding down of the Cyclerion legacy business, including any Cyclerion Legacy Transaction, and further including any costs incurred by the Combined Company following the Closing;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290"/>
        <w:gridCol w:w="96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paid to holders of In-the-Money Cyclerion Options pursuant to Section 6.6(d) of the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(h)</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Cash Dividend amount, to the extent not declared and paid prior to the delivery of the Cyclerion’s Net Cash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before the date of the Cyclerion Shareholders Meeting set forth in the Proxy Statement, Cyclerion will deliver to Korsana a Net Cash schedule setting forth, in reasonable detail, Cyclerion’s good faith estimated calculation of its Net Cash as of 11:59 p.m. on the business day prior to the anticipated closing date, prepared and certified, via certificate in the form reasonably acceptable to Korsana, by Cyclerion’s chief financial officer (or if there is no chief financial officer, the principal financial and accounting officer), as the case may be, and, if requested, the relevant work papers and back-up materials used or useful in preparing the Net Cash schedule. No later than three business days after delivery of such Net Cash schedule (the last day of such period referred to as the response date), Korsana will have the right to dispute any part of the Net Cash schedule by delivering a written notice to that effect to Cyclerion (referred to herein as a “dispute notice”). Any dispute notice will identify, in reasonable detail and, to the extent known, the nature and amounts of any proposed revisions to Cyclerion’s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disputes the Net Cash schedule, the parties shall attempt in good faith to resolve the disputed items and negotiate an agreed-upon determination of Net Cash. If the parties are unable to negotiate an agreed-upon determination of the disputed items or component thereof within three days after the delivery of the dispute notice, any remaining disagreements will be referred to an independent auditor of recognized national standing mutually agreed upon by Cyclerion and Korsana. The determination of the amount of Net Cash made by such auditor shall be final and binding on Cyclerion and Korsana. </w:t>
      </w:r>
    </w:p>
    <w:p>
      <w:pPr>
        <w:pStyle w:val="TextBody"/>
        <w:bidi w:val="0"/>
        <w:spacing w:before="240" w:after="0"/>
        <w:jc w:val="left"/>
        <w:rPr>
          <w:rFonts w:ascii="Times New Roman" w:hAnsi="Times New Roman"/>
          <w:sz w:val="20"/>
        </w:rPr>
      </w:pPr>
      <w:r>
        <w:rPr>
          <w:rFonts w:ascii="Times New Roman" w:hAnsi="Times New Roman"/>
          <w:sz w:val="20"/>
        </w:rPr>
        <w:t xml:space="preserve">Cyclerion’s Net Cash balance is subject to numerous factors, some of which are outside of Cyclerion’s control. The actual amount of Net Cash will depend significantly on the timing of the Closing. In addition, the Closing could be delayed if Cyclerion and Korsana are not able to agree upon the amount of Cyclerion’s Net Cash as of the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Option that is outstanding and unexercised immediately prior to the First Effective Time, whether or not vested, will be assumed and converted into an option to purchase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Option assumed by Cyclerion may be exercised solely for shares of Cyclerion Common Stock; (ii) the number of shares of Cyclerion Common Stock subject to each outstanding Korsana Option assumed by Cyclerion will be determined by multiplying (A) the number of shares of Korsana Common Stock that were subject to such Korsana Option assumed by Cyclerion, as in effect immediately prior to the First Effective Time, by (B) the Exchange Ratio, and rounding the resulting number down to the nearest whole number of shares of Cyclerion Common Stock; and (iii) the per share exercise price of each Korsana Option assumed by Cyclerion will be determined by dividing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per share exercise price of such Korsana Option, as in effect immediately prior to the First Effective Time, by (B) the Exchange Ratio, and rounding the resulting exercise price up to the nearest whole cent. Each Korsana Option assumed by Cyclerion will otherwise continue in full force and effect and the term, exercisability, vesting schedule, acceleration rights and other terms and conditions of such Korsana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Korsana Option assumed by Cyclerion in accordance with the terms of the Merger Agreement, such Korsana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Korsana Common Stock subsequent to the First Effective Time. Following the completion of the Merger, the Combined Company’s board of directors or a committee thereof will succeed to the authority and responsibility of the Korsana Board or any committee thereof with respect to each Korsana Option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Cyclerion will assume Korsana’s 2025 Equity Incentive Plan and each Korsana RSU that is outstanding immediately prior to the First Effective Time, whether or not vested, will be assumed and converted into a Cyclerion RSU.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RSU assumed by Cyclerion may be settled solely for shares of Cyclerion Common Stock; and (ii) the number of shares of Cyclerion Common Stock subject to each outstanding Korsana RSU assumed by Cyclerion will be determined by multiplying (A) the number of shares of Korsana Common Stock that were subject to such Korsana RSU assumed by Cyclerion, as in effect immediately prior to the First Effective Time, by (B) the Exchange Ratio, and rounding the resulting number up to the next whole number of shares of Cyclerion Common Stock to the extent the aggregate amount of fractional shares of Cyclerion Common Stock such holder of the assumed restricted stock unit would otherwise be entitled to is equal to or exceeds 0.50, and otherwise rounded down. Each Korsana RSU assumed by Cyclerion will otherwise continue in full force and effect and the term, settlement, vesting schedule, acceleration rights and other terms and conditions of such Korsana RSU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Each Korsana RSU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Korsana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Korsana Warrant that is outstanding and unexercised immediately prior to the First Effective Time, whether or not vested, will be converted into a Cyclerion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Korsana Warrant assumed by Cyclerion may be exercised solely for shares of Cyclerion Common Stock; (ii) the number of shares of Cyclerion Common Stock subject to each outstanding Korsana Warrant assumed by Cyclerion will be determined by multiplying (A) the number of shares of Korsana Common Stock issuable upon exercise of the Korsana Warrant that were subject to such Korsana Warrant, as in effect immediately prior to the First Effective Time, by (B) the Exchange Ratio, and rounded up to the next whole share of Cyclerion Common Stock to the extent the aggregate amount of fractional shares of Cyclerion Common Stock such holder would otherwise be entitled to is equal to or exceeds 0.50; and (iii) the per share exercise price for the Cyclerion Common Stock issuable upon exercise of each Korsana Warrant assumed by Cyclerion will be determined by dividing (A) the per share exercise price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Cyclerion Common Stock subject to such Korsana Warrant as in effect immediately prior to the First Effective Time, by (B) the Exchange Ratio, and rounding the resulting exercise price up to the nearest whole cent. Each Korsana Warrant assumed by Cyclerion will otherwise continue in full force and effect and the term, any restriction on the exercise and other provisions of such Korsana Warrant will otherwise remain unchanged. To the extent provided under the terms of a Korsana Warrant assumed by Cyclerion in accordance with the terms of the Merger Agreement, such Korsana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Cyclerion Common Stock subsequent to the First Effective Time. In addition, the Cyclerion Board or a committee thereof will succeed to the authority and responsibility of the Korsana Board or any committee thereof with respect to each Korsana Warrant assumed by Cyclerion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Common Stock, Cyclerion Preferred Stock, Cyclerion Options and Cyclerion 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Cyclerion Common Stock described in Proposal No. 2 of this proxy statement/prospectus and the proposed reverse stock split of issued and outstanding Cyclerion Common Stock described in Proposal No. 3 of this proxy statement/prospectus, Cyclerion Common Stock will remain unaffected by the Merger. Cyclerion Series A Preferred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of the Merger, the Cyclerion Board will accelerate the vesting of all equity awards of Cyclerion then outstanding but not then vested or exercisable, and cancel each Cyclerion option that is not an In-the-Money Cyclerion Option. At the closing of the First Merger, (i) each In-the-Money Cyclerion Option will be cancelled and converted into the right to receive an amount in cash without interest, less applicable tax withholding, equal to the product obtained by multiplying (A) the excess of the Cyclerion Closing Price over the exercise price per share of the Cyclerion Common Stock underlying such option by (B) the number of shares of Cyclerion Common Stock underlying such option and (ii) each other option to acquire shares of Cyclerion Common Stock will be cancelled for no consideration. The vesting of each Cyclerion RSA will be accelerated in full.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Korsana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Cyclerion and Korsana will select an exchange agent (the “Exchange Agent”) and, at the First Effective Time (as defined herein), Cyclerion will deposit with the Exchange Agent evidence of book-entry shares representing the shares of Cyclerion Common Stock issuable pursuant to the terms of the Merger Agreement in exchange for shares of Korsana Common Stock and Korsana Series A Preferred Stock (including shares of Korsana Common Stock issued in the Korsana Pre-Closing Financing) (excluding shares to be cancelled pursuant to the Merger Agreement and excluding dissenting shares) and the shares of Cyclerion Series B Preferred Stock issuable pursuant to the terms of the Merger Agreement in exchange for shares of Korsana Series Seed Preferred Stock calculated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First Effective Time, the Exchange Agent will mail to each record holder of Korsana Common Stock and Korsana Series A Preferred Stock (including shares of Korsana Common Stock issued in the Korsana Pre-Closing Financing) (excluding shares to be cancelled pursuant to the Merger Agreement and excluding dissenting shares) and each record holder of Korsana Series Seed Preferred Stock who will receive Cyclerion Series B Preferred Stock issuable in exchange for such Korsana Series Seed Preferred Stock pursuant to the terms, and calculated in accordance with, the Merger Agreement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if applicable, and delivery to the Exchange Agent of such other documents as may be reasonably required by the Exchange Agent or Cyclerion, the record holder of such stock certificates or book-entry shares, as applicable, will be entitled to receive in exchange therefor book-entry shares representing the number of whole shares of Cyclerion Common Stock or Cyclerion Series B Preferred Stock issuable to such holder pursuant to the Merger Agreement. The surrendered certificates representing shares of Korsana Common Stock, Korsana Series Seed Preferred Stock, or Korsana Series A Preferred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representing Korsana Common Stock, Korsana Series Seed Preferred Stock, or Korsana Series A Preferred Stock that has not been surrendered will represent only the right to receive shares of Cyclerion Common Stock or Cyclerion Series B Preferred Stock, as applicable,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KORSANA COMMON STOCK, KORSANA SERIES SEED PREFERRED STOCK, OR KORSANA SERIES A PREFERRED STOCK SHOULD NOT SEND IN THEIR KORSANA STOCK CERTIFICATES UNTIL THEY RECEIVE A LETTER OF TRANSMITTAL FROM THE EXCHANGE AGENT WITH INSTRUCTIONS FOR THE SURRENDER OF KORSANA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Cyclerion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Cyclerion will resign effective as of the First Effective Time and the Cyclerion Board will thereafter consist of a total of six new directors designated by Korsana. Korsana has designated Andrew Gottesdiener, Heidi Henson, Tomas Kiselak, Michelle Pernice, Nimish Shah, and Dr. Jonathan Violin to serve as members of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Jonathan Violin, Ph.D. will serve as Chief Executive Officer and President of the Combined Company, Mark Vignola, Ph.D. will serve as Chief Financial Officer of the Combined Company, and Madelyn Zeylikman will serve as General Counsel and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Cyclerion Articles </w:t>
      </w:r>
    </w:p>
    <w:p>
      <w:pPr>
        <w:pStyle w:val="TextBody"/>
        <w:bidi w:val="0"/>
        <w:spacing w:before="120" w:after="0"/>
        <w:jc w:val="left"/>
        <w:rPr>
          <w:rFonts w:ascii="Times New Roman" w:hAnsi="Times New Roman"/>
          <w:sz w:val="20"/>
        </w:rPr>
      </w:pPr>
      <w:r>
        <w:rPr>
          <w:rFonts w:ascii="Times New Roman" w:hAnsi="Times New Roman"/>
          <w:sz w:val="20"/>
        </w:rPr>
        <w:t xml:space="preserve">Cyclerion agreed to amend the Cyclerion Articles to (i) change Cyclerion’s name to “Korsana Biosciences, Inc.”, (ii) effect the proposed reverse stock split, if needed, (iii) increase the number of shares of Cyclerion Common Stock that Cyclerion is authorized to the amount proposed in this proxy statement/prospectus, such amount determined by Korsana as being sufficient to allow for consummation of the Contemplated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Cyclerion, First Merger Sub and Second Merger Sub, on one hand, and Korsana, on the other hand, for a transaction of this type relating to, among other things: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subsidiaries and similar corporate matters;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Cyclerion Shareholders Meeting and that will be the subject of the Korsana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Cyclerion,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the validity of material contracts to which the parties or their subsidiaries are a party and any default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owed to financial advisors and similar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control laws;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 ownership of Cyclerion capital stock; and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 the valid issuance in the Merger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Cyclerion and Korsana form the basis of certain of the conditions to the obligations of Cyclerion and Korsana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Cyclerion has agreed that,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Cyclerion will, and will cause its subsidiaries to, use commercially reasonable efforts to conduct their business and operations in the ordinary course consistent with past practices and in material compliance with all applicable laws, regulations and certain material contracts and continue to pay material outstanding accounts payable and other material current liabilities (including payroll) when due and payable. Cyclerion has also agreed that, subject to certain limited exceptions and except as contemplated or permitted by the Merger Agreement, as required by law, or unless Korsana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(other than the Pre-Closing Cash Dividend, if any, and the Closing Distribution, as defined in the Merger Agreement) or make any other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any shares of its capital stock; or repurchase, redeem or otherwise reacquire any shares of capital stock or other securities (except for shares of Cyclerion Common Stock from terminated employees, directors or consultants of Cyclerion or in connection with the payment of the exercise price or withholding taxes incurred upon the exercise, settlement or vesting of any award or purchase rights granted under any Cyclerion equity incentive plan in accordance with the terms of such award in effect on the date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Cyclerion Common Stock issued upon the valid exercise of outstanding Cyclerion Options or Cyclerion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(except for the advancement of reasonable and customary expenses to employees, directors and consultants in the Ordinary Course of Business); incur or guarantee any indebtedness for borrowed money; guarantee any debt securities of others; or, other than the incurrence or payment of expenses pursuant to the terms of the Merger Agreement, make any capital expenditure or commitment in excess of 100,000;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employees, directors or consultants; increase the severance or change of control benefits offered to any current or new employees, directors or consultants; or hire or terminate any officer, employee or consultant;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intellectual property of Cyclerion (other than pursuant to non-exclusive licenses in the ordinary course of business or pursuant to the consummation of any Parent Legacy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or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or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Cyclerion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Cyclerion or its subsidiaries, taken as a whole, or any equitable relief on, or the admission of wrongdoing by Cyclerion or any of its subsidiaries;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Cyclerion or any of subsidiaries to its customers or licensees; or agree to materially change pricing or royalties or other payments set or charged by persons who have licensed intellectual property to Cyclerion or any of subsidiaries;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Cyclerion or terminate any Cyclerion material contract outside of the ordinary course of business;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does not give Korsana the right, directly or indirectly, to control or direct the operations of Cyclerion prior to the First Effective Time. Prior to the First Effective Time, Cyclerion shall exercise, consistent with the terms and conditions of the Merger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Cyclerion is expressly permitted to engage in a Parent Legacy Transaction and is expressly permitted to declare and pay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Korsana has agreed that, except as contemplated or permitted by the Merger Agreement or the Securities Purchase Agreement, as required by law, or unless Cyclerion shall have provided its written consent, during the period commencing on the date of the Merger Agreement and continuing until the earlier to occur of the First Effective Time and the termination of the Merger Agreement, Korsana will use commercially reasonable efforts to conduct its business and operations in the ordinary course consistent with past practices and in material compliance with all applicable laws, regulations and certain contracts. Korsana has also agreed that, subject to certain limited exceptions without the consent of Cyclerion, during the period commencing on the date of the Merger Agreement and continuing until the earlier to occur of the First Effective Time and the termination of the Merger Agreement, it will not: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Korsana Common Stock from terminated employees, directors or consultants of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sell, issue, grant, or authorize any of the foregoing actions with respect to the shares of Korsana capital stock outstanding as of the date of the Merger Agreement: any capital stock or other security of Korsana (except for shares of outstanding Korsana Common Stock issued upon the valid exercise or settlement of Korsana Options); any option, warrant or right to acquire any capital stock or any other security; or any instrument convertible into or exchangeable for any capital stock or other security of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ordinary course of business, acquire any equity interest or other interest in any other entity or enter into a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or guarantee any debt securities of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irrevocably dispose of any of its assets or properties, or grant any lien with respect to such assets or properties, except in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Korsana, other than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Korsana, other than waivers, settlements or agreements (A) for an amount not in excess of $100,000 in the aggregate (excluding amounts to be paid under existing insurance policies or renewals thereof) and (B) that do not impose any material restrictions on the operations or businesses of Korsana or any equitable relief on, or the admission of wrongdoing by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in a manner adverse to Korsana or terminate any Korsana material contract, outside of the ordinary course of business;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that, except as described below, Cyclerion and Korsana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(as defined below) or Acquisition Inquiry (as defined below) or take any action that could reasonably be expected to lead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execute or enter into any letter of intent or any contract contemplating or otherwise relating to an Acquisition Transaction;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non-public information (other than an inquiry, indication of interest or request for information made or submitted by Korsana, on the one hand, or Cyclerion, on the other hand, to the other Party) that could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any Cyclerion Legacy Transaction, any Interim Financing, or the Korsana Pre-Closing Financing) involving: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a Party and its Subsidiaries,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Cyclerion shareholders or Korsana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110"/>
        <w:gridCol w:w="60"/>
        <w:gridCol w:w="9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Acquisition Proposal was not obtained or made as a direct or indirect result of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Cyclerion and Korsana;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Cyclerion Board or Korsana Board, as applicable, determines in good faith, based on such matters that it deems relevant (including the likelihood of consummation thereof and the financing terms thereof), as well as any written offer by the other party to amend the terms of the Merger Agreement, and following consultation with its outside legal counsel and financial advisors, if any, are more favorable, from a financial point of view, to Cyclerion’s shareholders or Korsana’s stockholders, as applicable, than the terms of the Merger, (c) is not subject to any financing conditions (and if financing is required, such financing is then fully committed to the third party) and (d) is reasonably capable of being completed on the terms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receives any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Korsana and Cyclerion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 any Acquisition Proposal, Acquisition Inquiry, Acquisition Transaction or the consequences thereof, or (B) the fact, in and of itself, that such party meets or exceeds internal budgets, plans or forecasts of its revenues, earnings or other financial performance or results of operations or (C), solely with respect to Cyclerion, a Cyclerion Legacy Transaction) that affects the business, assets or operations of such party and occurs or arises after the date the Merger Agreement was executed (each, an “Intervening Event”), such party’s board of directors may amend, withdraw, or modify its recommendation in a manner adverse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 Superior Offer, such party’s board of directors must first: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of its recommendation due to an Intervening Event,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Cyclerion’s Shareholders and Written Consent of Korsana’s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Cyclerion is obligated under the Merger Agreement to take all action necessary under applicable law to call, give notice of and hold a meeting of the holders of Cyclerion Common Stock for the purpose of considering and voting to approve the Merger Agreement and the transactions contemplated thereby (including the Merger) and amendments to the Cyclerion Articles as further described herein (the “Required Cyclerion Shareholder Vote”). The Cyclerion Shareholders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Korsana is required to obtain the approval by written consent from the holders of a majority of the outstanding shares of Korsana capital stock, voting together as a single class on an as-converted basis, and the holders of a majority of the outstanding shares of Korsana Preferred Stock, voting as a separate class,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(the “Required Korsana Stockholder Vote”). Reasonably promptly following receipt of such consents, Korsana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Cyclerion and the surviving entity in the Merger agreed to indemnify and hold harmless each person who is now, or has been at any time prior to the date of the Merger Agreement, or who becomes prior to the First Effective Time, a director or officer of Cyclerion or Korsana,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Cyclerion or of Korsana, whether asserted or claimed prior to, at or after the First Effective Time, in each case, to the fullest extent permitted under the DGCL or the MBCA, as applicable. From and after the First Effective Time, Cyclerion and the surviving corporation in the Merger will also fulfill Cyclerion’s and Korsana’s indemnity obligations, respectively, to each person who is, has been, or who becomes prior to the First Effective Time, a director or officer of Cyclerion or Korsana.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the Cyclerion Articles and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Cyclerion will maintain director and officers’ liability insurance policies, with an effective date as of the Closing Date, on commercially available terms and conditions and with coverage limits customary for U.S. public companies similarly situated to Cyclerion. In addition, Cyclerion will secure and purchase a six year “tail policy” on Cyclerion’s existing directors’ and officers’ liability insurance policy with an effective date as of the date of the closing of the First Merger.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Cyclerion is required if and to the extent it reasonably expects Cyclerion’s Net Cash to exceed $5,000,000, and it may otherwise elect to, in each case, prior to the First Effective Time, declare and pay a dividend on the shares of Cyclerion Common Stock and Cyclerion Preferred Stock outstanding (excluding for the avoidance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doubt any shares of Cyclerion capital stock issuable pursuant to the Merger) up to an amount by which Cyclerion’s Net Cash will exceed $0. Cyclerion does not expect to pay a Pre-Closing Cash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Cyclerion and Korsana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Cyclerion and Korsana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use its commercially reasonable efforts to maintain its listing on Nasdaq and cause the shares of Cyclerion Common Stock being issued in the Merger to be approved for listing on Nasdaq at or prior to the First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will keep Korsana reasonably informed regarding any shareholder litigation against Cyclerion or any of its directors relating to the Merger Agreement or the transactions contemplated thereby. Cyclerion will (i) give Korsana the opportunity to participate in the defense, settlement or prosecution of any such litigation (ii) consult with Korsana with respect to the defense, settlement and prosecution of any such litigation and (iii) consider in good faith Korsana’s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periods (or any extensions thereof) under the U.S. Hart Scott-Rodino Antitrust Improvements Act of 1976, as amended, (if applicable) and any applicable foreign law relating to antitrust or competition matters shall have expired or otherwise been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shall have obtained the Required Korsana Stockholder Vote;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shall have obtained the Required Cyclerion Shareholder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Cyclerion Common Stock on Nasdaq shall have been approved by Nasdaq;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lock-up agreements executed by certain securityholders of Korsana continuing to be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Cyclerion’s obligation to complete the Merger, the Securities Purchase Agreement being in full force and effect and proceeds of not less than $150,000,000 having been received by Korsana or will be received by Korsana substantially concurrently with the Closing;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certain Cyclerion agreements have been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Cyclerion must have filed articles of amendment with the Secretary of the Commonwealth of Massachusetts, containing at least such amendments as are necessary to consummate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Korsana’s obligation to complete the Merger, if Cyclerion declares the Pre-Closing Cash Dividend, the Pre-Closing Cash Dividend amount having been deposited by Cyclerion with Cyclerion’s transfer agent for distribution to holders of Cyclerion Common Stock as of the record date of the Pre-Closing Cash Dividend.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275"/>
        <w:gridCol w:w="43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Cyclerion and Korsana;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Merger has not been consummated by October 1, 2026 (the “End Date”) (subject to possible extension as provided in the Merger Agreement); provided, however,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provided, further, that if (i) the SEC has not declared this registration statement on Form S-4 effective, or (ii) the waiting periods (and extensions thereof) applicable to the Merger under the HSR Act have not expired or otherwise been terminated, by the date that is 90 days prior to the End Date, then either party may extend the End Date for an additional 90 days by notice to the other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the Korsana Required Stockholder Vote has not been obtained within two business days of the registration statement on Form S-4, of which this proxy statement/prospectus is a part, becoming effective; provided further, however, that this right to terminate the Merger Agreement will not be available to Cyclerion once Korsana obtains such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(e)</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Cyclerion or Korsana, if the Cyclerion Shareholders Meeting has been held and completed and Cyclerion shareholders have taken a final vote on the Merger Proposals set forth herein to be considered at the Cyclerion Shareholders Meeting, and the Merger Proposals have not been approved by Cyclerion shareholders; provided that this right to terminate the Merger Agreement will not be available to Cyclerion where Cyclerion’s action or failure to act has been a principal cause of the failure to obtain the Cyclerion shareholder approval at the Cyclerion Shareholders Meeting and such action or failure to act constitutes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(f)</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at any time prior to obtaining the approval by Cyclerion shareholders of the Merger Proposals set forth herein to be considered at the Cyclerion Shareholders Meeting,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fails to include in this proxy statement/prospectus the Cyclerion Board’s recommendation that Cyclerion shareholders vote to approve the Merger Proposals set forth herein to be considered at the Cyclerion Shareholders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or any committee thereof, makes a Cyclerion board recommendation change in a manner adverse to Korsana (or publicly proposes to do so), or adopts, approves or recommends any Acquisition Proposal (or publicly proposes to do so);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(g)</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Korsana Required Stockholder Vote, if any of the following circumstances shall occur: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makes a board recommendation change in a manner adverse to Cyclerion;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Korsana Board or any committee thereof publicly approves, endorses or recommends any Acquisition Proposal; or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enters into any letter of intent or similar document or any contract relating to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(h)</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if a Form 25 has been filed with respect to the Cyclerion Common Stock by Cyclerion or Nasdaq or any other cessation of listing of the Cyclerion Common Stock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Korsana, if Cyclerion, First Merger Sub or Second Merger Sub have breached any of their representations, warranties, covenants or agreements contained in the Merger Agreement or if any representation or warranty of Cyclerion, First Merger Sub or Second Merger Sub has become inaccurate, in either case such that the conditions to the Closing would not be satisfied as of time of such breach or inaccuracy; provided that Korsana is not then in material breach of any representation, warranty covenant or agreement under the Merger Agreement; provided, further, if such breach or inaccuracy is curable, then Korsana shall not be permitted to terminate the Merger Agreement pursuant to this paragraph as a result of a particular breach or inaccuracy until the earlier of (i) the expiration of a 30-day period after delivery of written notice of such breach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inaccuracy from Korsana to Cyclerion, First Merger Sub or Second Merger Sub and Korsana’s intention to terminate pursuant to this paragraph and (ii) Cyclerion, First Merger Sub and Second Merger Sub (as applicable) ceasing to exercise commercially reasonable efforts to cure such breach following delivery of such written notice (it being understood that Korsana shall not be permitted to terminate the Merger Agreement pursuant to this paragraph as a result of such particular breach or inaccuracy if such breach by Cyclerion, First Merger Sub or Second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(j)</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if Korsana has breached any of its representations, warranties, covenants or agreements contained in the Merger Agreement or if any representation or warranty of Korsana has become inaccurate, in either case such that the conditions to the Closing would not be satisfied as of time of such breach or inaccuracy; provided that Cyclerion is not then in material breach of any representation, warranty covenant or agreement under the Merger Agreement; provided, further, if such breach or inaccuracy is curable, then Cyclerion shall not be permitted to terminate the Merger Agreement pursuant to this paragraph as a result of a particular breach or inaccuracy until the earlier of (i) the expiration of a 30-day period after delivery of written notice of such breach or inaccuracy from Cyclerion to Korsana and Cyclerion’s intention to terminate pursuant to this paragraph and (ii) Korsana ceasing to exercise commercially reasonable efforts to cure such breach following delivery of such written notice (it being understood that the Merger Agreement will not terminate pursuant to this paragraph as a result of such particular breach or inaccuracy if such breach by Korsana is cured prior to such termination becoming effective);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(k)</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Cyclerion (at any time prior to obtaining the Cyclerion Required Shareholder Vote), concurrently with Cyclerion’s entering into a definitive agreement for a Superior Offer, subject to certain conditions.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Cyclerion </w:t>
      </w:r>
    </w:p>
    <w:p>
      <w:pPr>
        <w:pStyle w:val="TextBody"/>
        <w:bidi w:val="0"/>
        <w:spacing w:before="120" w:after="0"/>
        <w:jc w:val="left"/>
        <w:rPr>
          <w:rFonts w:ascii="Times New Roman" w:hAnsi="Times New Roman"/>
          <w:sz w:val="20"/>
        </w:rPr>
      </w:pPr>
      <w:r>
        <w:rPr>
          <w:rFonts w:ascii="Times New Roman" w:hAnsi="Times New Roman"/>
          <w:sz w:val="20"/>
        </w:rPr>
        <w:t xml:space="preserve">Cyclerion must pay Korsana a termination fee of $235,000 if (i) the Merger Agreement is terminated by Cyclerion or Korsana pursuant to clause (e) above or by Korsana pursuant to clause (f) above, (ii) at any time after the date of the Merger Agreement and prior to the Cyclerion Shareholders Meeting, an Acquisition Proposal with respect to Cyclerion will have been publicly announced, disclosed or otherwise communicated to the Cyclerion Board (and will not have been withdrawn), and (iii) within 12 months after the date of such termination, Cyclerion enters into a definitive agreement with respect to a subsequent transaction or consummates a subsequent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Korsana </w:t>
      </w:r>
    </w:p>
    <w:p>
      <w:pPr>
        <w:pStyle w:val="TextBody"/>
        <w:bidi w:val="0"/>
        <w:spacing w:before="120" w:after="0"/>
        <w:jc w:val="left"/>
        <w:rPr>
          <w:rFonts w:ascii="Times New Roman" w:hAnsi="Times New Roman"/>
          <w:sz w:val="20"/>
        </w:rPr>
      </w:pPr>
      <w:r>
        <w:rPr>
          <w:rFonts w:ascii="Times New Roman" w:hAnsi="Times New Roman"/>
          <w:sz w:val="20"/>
        </w:rPr>
        <w:t xml:space="preserve">Korsana must pay Cyclerion a termination fee of $10.736 million if (i) the Merger Agreement is terminated by Cyclerion pursuant to clause (d) or (g) above (ii) at any time after the date of the Merger Agreement and before obtaining the Korsana Required Stockholder Vote, an Acquisition Proposal with respect to Korsana will have been publicly announced, disclosed or otherwise communicated to the Korsana Board (and will not have been withdrawn), and (iii) within 12 months after the date of such termination, Korsana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184 of this proxy statement/prospectus, and except that Cyclerion and Korsana will share equally in any fees and expenses incurred in relation to (i) the filings with the SEC of the registration statement on Form S-4 (including any financial statements and exhibits) and any related amendments or supplements and paid to a financial printer or the SEC and (ii) the printing, mailing and distribution of the proxy statement/prospectus and any amendments and supplements.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1069_9"/>
      <w:bookmarkEnd w:id="11"/>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Korsana stockholders beneficially holding approximately 43.9% of the outstanding shares of Korsana capital stock have entered into Korsana Support Agreements with Cyclerion and Korsana to vote all of their shares of Korsana capital stock in favor of the adoption and approval of the Merger Agreement and the transactions contemplated thereby and against any alternative Acquisition Proposals. Cyclerion directors and officers beneficially holding approximately 24.2% of the outstanding shares of Cyclerion Common Stock as of June 30, 2026 have entered into Cyclerion Support Agreements with Cyclerion and Korsana to vote all of their shares of Cyclerion Common Stock in favor of the adoption and approval of the Merger Agreement and the transactions contemplated thereby and the reverse stock split and against any alternative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support agreements does not purport to be complete and is qualified in its entirety by the full text of the form of Cyclerion Support Agreement and the form of Korsana Support Agreement, which are attached to this proxy statement/prospectus as </w:t>
      </w:r>
      <w:r>
        <w:rPr>
          <w:rFonts w:ascii="Times New Roman" w:hAnsi="Times New Roman"/>
          <w:i/>
          <w:sz w:val="20"/>
        </w:rPr>
        <w:t xml:space="preserve">Annex C </w:t>
      </w:r>
      <w:r>
        <w:rPr>
          <w:rFonts w:ascii="Times New Roman" w:hAnsi="Times New Roman"/>
          <w:sz w:val="20"/>
        </w:rPr>
        <w:t xml:space="preserve">and </w:t>
      </w:r>
      <w:r>
        <w:rPr>
          <w:rFonts w:ascii="Times New Roman" w:hAnsi="Times New Roman"/>
          <w:i/>
          <w:sz w:val="20"/>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directors and stockholders of Korsana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lend or otherwise transfer or dispose of, directly or indirectly, any shares of Cyclerion Common Stock or any securities convertible into or exercisable or exchangeable for Cyclerion Common Stock, currently or thereafter owned, but excluding, as applicable, shares purchased by existing Korsana stockholders in the Korsana Pre-Closing Financing (including any shares of Cyclerion Common Stock issuable upon exercise of Cyclerion Pre-Funded Warrants issued in exchange for Korsana Pre-Funded Warrants sold in the Korsana Pre-Closing Financing), until 180 days after the First Effective Time. Approximately 98.5 million shares of Cyclerion Common Stock (or approximately 152.3 million shares of Cyclerion Common Stock, if the Cyclerion Series B Preferred Stock is converted and the Korsana Pre-Funded Warrants held by such executive officers, directors and stockholders of Korsana are exercised) are expected to be subject to such lock-up agreements following the closing of the Merger, subject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Korsana stockholders who have executed lock-up agreements beneficially owned, in the aggregate, approximately 43.9% of the outstanding shares of Korsana capital stock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to this proxy statement/prospectus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Investors entered into the Securities Purchase Agreement with Korsana, pursuant to which such investors have agreed to purchase, immediately prior to the Merger, shares of Korsana Common Stock or, in lieu thereof, Korsana Pre-Funded Warrants, representing an aggregate commitment of approximately $380.0 million in the Korsana Pre-Closing Financing. Under the Securities Purchase Agreement, the number of shares of Korsana Common Stock or Korsana Pre-Funded Warrants, as applicable, shall be determined at a purchase price per share or pre-funded warrant equal to (i) a valuation for Korsana equal to $268.4 million, divided by (ii) the number of fully diluted shares of Korsana Common Stock outstanding immediately prior to the First Effective Time (including the securities being issued under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Korsana Pre-Funded Warrants will have an exercise price per share equal to $0.0001 (as adjusted from time to time as provided in the form of Korsana Pre-Funded Warrant) and may be exercised at any time and from time to time after the original issue date. The Korsana Pre-Funded Warrants do not expire. The foregoing description of the form of Korsana Pre-Funded Warrant does not purport to be complete and is qualified in its entirety by the full text of the form of Korsana Pre-Funded Warrant, which is filed as Exhibit 4.2 to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Korsana Common Stock and Korsana Pre-Funded Warrants that are issued in the Korsana Pre-Closing Financing will be or will have the right to be, respectively, converted into shares of Cyclerion Common Stock in the Merger. Accordingly, by approving Proposal No. 1 relating to the Merger, Cyclerion shareholders will also be approving the issuance of shares of Cyclerion Common Stock to be issued in exchange for all shares of Korsana Common Stock and upon exercise of Korsana Pre-Funded Warrants that are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Korsana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Korsana Common Stock and/or Korsana Pre-Funded Warrants from Korsana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representations and warranties in the Securities Purchase Agreement being true and correct in all respects as of the effective date of the Securities Purchase Agreement and true and correct in all material respects as of the closing date for the Korsana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performed and complied in all material respects with the obligations and conditions required to be performed or complied with by it;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furnished all required materials to Cyclerion’s transfer agent;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Korsana;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Korsana;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delivered the Registration Rights Agreement required by the Securities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been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Korsana Pre-Closing Financing and other than those conditions which, by their nature, are to be satisfied at the Closing of the transactions contemplated by the Merger) and the Closing being set to occur substantially concurrently with the closing of the Korsana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obligation to sell shares of Korsana Common Stock or Korsana Pre-Funded Warrants, as applicable, to each purchaser pursuant to the Securities Purchase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closing date of the Korsana Pre-Closing Financing,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obligations and conditions required to be performed or complied with by each purchaser;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Korsana Pre-Closing Financing;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having received payment in full from each investor as required by the Securities Purchase Agreement,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form of Securities Purchase Agreement is filed as Exhibit 10.3 to this registration statement on Form S-4 of which this proxy statement/prospectus is a part, and the foregoing description of the Securities Purchase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contemplates Korsana and the investors participating in the Korsana Pre-Closing Financing entering into the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including the shares of Cyclerion Common Stock issued in exchange for shares of Korsana Common Stock sold in the Korsana Pre-Closing Financing or underlying Cyclerion Pre-Funded Warrants issued upon conversion of the Korsana Pre-Funded Warrants sold in the Korsana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the Combined Company will agree to prepare and file a resale registration statement covering the resale of the Cyclerion Common Stock within 30 calendar days of the Closing pursuant to Rule 415 and to use its commercially reasonable efforts to keep such registration statement continuously effective under the Securities Act until the earlier of the date that all registrable securities covered by such registration statement (i) have been sold thereunder or pursuant to Rule 144 of the Securities Act (“Rule 144”), (ii) may be sold without volume or manner-of-sale restrictions pursuant to Rule 144 and without the requirement for the Combined Company to be in compliance with the current public information requirement under Rule 144, (iii) have been exchanged for unrestricted shares of Cyclerion Common Stock under an effective registration statement on Form S-4, if available, or if unavailable, another appropriate form filed with the SEC, subject to certain exceptions, and (iv)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10.4 to this registration statement on Form S-4 of which this proxy statement/prospectus is a part, and the foregoing description of the Registration Rights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First Effective Time, Cyclerion and the Rights Agent are expected to enter into the Cyclerion CVR Agreement, pursuant to which holders of Cyclerion Common Stock and Cyclerion Series A Preferred Stock as of the close of business on the last business day prior to the day on which the First Effective Time occurs will receive one Cyclerion CVR for each outstanding share of Cyclerion Common Stock or Cyclerion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Cyclerion CVR will represent the contractual right to receive certain net proceeds, if any, derived from any consideration that is paid to Cyclerion as a result of the disposition of Cyclerion’s pre-Merger legacy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Cyclerion CVR Agreement and (B) the expiration pursuant to its terms or earlier termination by Akebia. of the Akebia License Agreement,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During the Legacy Assets Transaction Period (as defined in the Cyclerion CVR Agreement), the Combined Company shall expend up to the CVR Expense Cap for costs and expenses associated with the retention of an employee or consultant of Combined Company for the purpose of business development efforts related to Cyclerion’s legacy assets and related activities, including seeking and negotiating and, with the prior written consent of the Combined Company (not to be unreasonably withheld, conditioned or delayed), executing agreements with respect to legacy assets, which amount shall be included as a deduction in the determination of Cyclerion’s net cash in accordance with the Merger Agreement. At the end of the Legacy Assets Transaction Period, the amount, if any, by which the CVR Expense Cap exceeds the aggregate amount of costs and expenses associated with the retention of an employee or consultant of Cyclerion will constitute net proceeds under the Cyclerion CVR Agreement and will be payable as CVR proceeds to the CVR holders in accordance with the terms of the Cyclerion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Cyclerion CVR Agreement, if they become payable, will become payable to the Rights Agent for subsequent distribution to the holders of the Cyclerion CVRs. In the event that no such proceeds are received, holders of the Cyclerion CVRs will not receive any payment pursuant to the Cyclerion CVR Agreement. There can be no assurance that any holders of Cyclerion CVRs will receive any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Cyclerion CVR Agreement is a contractual right only and will not be transferable, except in the limited circumstances specified in the Cyclerion CVR Agreement. The Cyclerion CVRs will not be evidenced by a certificate or any other instrument and will not be registered with the SEC. The Cyclerion CVRs will not have any voting or dividend rights and will not represent any equity or ownership interest in Cyclerion or any of its affiliates. No interest will accrue on any amounts payable in respect of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Cyclerion CVR Agreement does not purport to be complete and is qualified in its entirety by the full text of the form of Cyclerion CVR Agreement, which is attached hereto as </w:t>
      </w:r>
      <w:r>
        <w:rPr>
          <w:rFonts w:ascii="Times New Roman" w:hAnsi="Times New Roman"/>
          <w:i/>
          <w:sz w:val="20"/>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Cyclerion CVRs to Holders of Cyclerion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receipt of the CVRs by Cyclerion shareholders pursuant to the Cyclerion CVR Agreement. This section applies only to persons that hold their Cyclerion capital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Cyclerion voting shares or five percent or more of the total value of all classes of shares of Cyclerion;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Cyclerion capital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Cyclerion capital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Cyclerion as part of a straddle, constructive sale, hedging, conversion or other integrated or similar transaction;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capital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Cyclerion capital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Cyclerion capital stock, the tax treatment of such partnership and any person treated as a partner of such partnership will generally depend on the status and activities of the partner and the activities of the partnership. If you are a partner of a partnership or other pass-through entity holding Cyclerion capital stock, you should consult your tax advisors regarding the tax consequences of the receipt of the Cyclerion CVRs and distributions of Cyclerion capital stock pursuant to the Cyclerion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transactions effectuated before, after or at the same time as the receipt of the Cyclerion CVRs, whether or not they are in connection with the receipt of the Cyclerion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generally may not be transferred or assigned except for certain permitted transfers; accordingly, this discussion assumes the Cyclerion CVRs are not transferable or assignable and does not address any consequences of transferring, assigning or otherwise disposing of the Cyclerion CVRs or any interest therein. No ruling from the IRS has been or will be requested in connection with the distribution of the Cyclerion CVRs. Cyclerion shareholders should be aware that the IRS could adopt a position contrary to that set forth in this discussion and which could be sustained by a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RECEIPT OF THE CYCLERION CVRS ARISING UNDER THE U.S. FEDERAL ESTATE OR GIFT TAX LAWS OR UNDER THE LAWS OF ANY STATE, LOCAL OR NON-U.S. TAXING JURISDICTION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Cyclerion capital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have the authority to control all substantial decisions of the trust or (2) it has a valid election in place to be treated as a U.S. person.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U.S. Holders </w:t>
      </w:r>
    </w:p>
    <w:p>
      <w:pPr>
        <w:pStyle w:val="TextBody"/>
        <w:bidi w:val="0"/>
        <w:spacing w:before="120" w:after="0"/>
        <w:jc w:val="left"/>
        <w:rPr>
          <w:rFonts w:ascii="Times New Roman" w:hAnsi="Times New Roman"/>
          <w:sz w:val="20"/>
        </w:rPr>
      </w:pPr>
      <w:r>
        <w:rPr>
          <w:rFonts w:ascii="Times New Roman" w:hAnsi="Times New Roman"/>
          <w:sz w:val="20"/>
        </w:rPr>
        <w:t xml:space="preserve">Although the matter is not free from doubt, the Combined Company intends to treat the receipt of Cyclerion CVRs and the Cyclerion reverse stock split as separate transactions for U.S. federal income tax purposes, and the following discussion assumes this treatment will be respected. </w:t>
      </w:r>
    </w:p>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Cyclerion CVRs. Specifically, there is no authority directly addressing whether contingent value rights with characteristics similar to the Cyclerion CVRs should be treated as a distribution of property with respect to the corporation’s stock, a distribution of equity, a “debt instrument” or an “open transaction” for U.S. federal income tax purposes. Under applicable U.S. tax principles, such questions are inherently factual in nature. As a result, it is not possible to express a definitive conclusion as to the U.S. federal income tax treatment of the receipt of the Cyclerion CVRs or receipt of payments (if any) pursuant to the Cyclerion CVRs. Based on the specific characteristics of the Cyclerion CVRs, Cyclerion intends to report the issuance of the Cyclerion CVRs as a distribution of property with respect to its stock. Cyclerion U.S. Holders are urged to consult their tax advisors regarding the tax consequences to them of the receipt of Cyclerion CVRs. </w:t>
      </w:r>
    </w:p>
    <w:p>
      <w:pPr>
        <w:pStyle w:val="TextBody"/>
        <w:bidi w:val="0"/>
        <w:spacing w:before="240" w:after="0"/>
        <w:jc w:val="left"/>
        <w:rPr>
          <w:rFonts w:ascii="Times New Roman" w:hAnsi="Times New Roman"/>
          <w:sz w:val="20"/>
        </w:rPr>
      </w:pPr>
      <w:r>
        <w:rPr>
          <w:rFonts w:ascii="Times New Roman" w:hAnsi="Times New Roman"/>
          <w:sz w:val="20"/>
        </w:rPr>
        <w:t>Specifically, Cyclerion intends to report the issuance of the Cyclerion CVRs to Cyclerion U.S. Holders as a distribution of property with respect to its stock. Each Cyclerion U.S. Holder will be treated as receiving a distribution in an amount equal to the fair market value of the Cyclerion CVR issued to such Cyclerion U.S. Holder on the date of the issuance. This distribution generally should be treated first as a taxable dividend to the extent of the Cyclerion 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return of capital to the extent of the Cyclerion U.S. Holder’s basis in its Cyclerion capital stock, and finally as capital gain from the sale or exchange of Cyclerion capital stock with respect to any remaining value. Cyclerion U.S. Holders will receive a Form 1099-DIV notifying them of the portion of the Cyclerion CVR value that is treated as a dividend for U.S. federal income tax purposes. Although Cyclerion will estimate the value of the Cyclerion CVRs for purposes of reporting on Form 1099-DIV to Cyclerion U.S. Holders, the value of the Cyclerion CVRs is uncertain and the IRS or a court could determine that the value of the Cyclerion CVRs at the time of issuance was higher. In such case, the Cyclerion U.S. Holders could be treated as having additional income or gain upon receipt of the Cyclerion CVRs as described above. A Cyclerion U.S. Holder’s initial tax basis in such holder’s Cyclerion CVR should equal the fair market value of such Cyclerion CVR on the date of their issuance. The holding period of such Cyclerion CVR should begin on the day after the date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above treatment, the Combined Company intends to treat any future payments received by a Cyclerion U.S. Holder on a Cyclerion CVR as a non-taxable return of such Cyclerion U.S. Holder’s adjusted tax basis in the Cyclerion CVR to the extent thereof, and payments in excess of such amount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However, the treatment of such future payments is uncertain and alternative treatments are possible. One such possible treatment is that a Cyclerion CVR could be treated as one or more “debt instruments.” If that were to be the case, then payments received with respect to the Cyclerion CVRs could be treated as payments in repayment of a “debt instrument,” except to the extent interest is imputed under the Code. If those rules were to apply, interest generally should be imputed under complex rules. In such a case, a Cyclerion U.S. Holder would be required to include any such interest in income on an annual basis, whether or not currently paid.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a distribution of equity for U.S. federal income tax purposes, in which case Cyclerion U.S. Holders should not recognize gain or loss as a result of the issuance of the Cyclerion CVRs. Depending on the fair market value of the Cyclerion CVRs on the date of their issuance, each Cyclerion U.S. Holder’s tax basis in such holder’s Cyclerion capital stock would be allocated between such holder’s Cyclerion capital stock and such holder’s Cyclerion CVRs. The holding period of such Cyclerion CVRs should include the Cyclerion U.S. Holder’s holding period of such holder’s Cyclerion capital stock. Future payments on a Cyclerion CVR received by a Cyclerion U.S. Holder could be treated as dividends to the extent of the Cyclerion U.S. Holder’s pro rata share of Cyclerion’s current or accumulated earnings and profits (as determined for U.S. federal income tax purposes), then as a non-taxable return of capital to the extent of the Cyclerion U.S. Holder’s basis in the Cyclerion CVR, and finally as capital gain from the sale or exchange of the Cyclerion CVR with respect to any remaining value. As discussed above, Cyclerion does not intend to report the issuance of the Cyclerion CVRs as a distribution of equity and the IRS may disagree with any Cyclerion U.S. Holder reporting the Cyclerion CVR issuance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issuance of the Cyclerion CVRs could be treated as subject to the “open transaction” doctrine if the value of the Cyclerion CVRs on the closing date cannot be “reasonably ascertained.” If the receipt of Cyclerion CVRs were treated as an “open transaction” for U.S. federal income tax purposes, each Cyclerion U.S. Holder should not immediately take the Cyclerion CVRs into account in determining whether such holder must recognize income, if any, on the receipt of the Cyclerion CVRs and such holder would take no tax basis in the Cyclerion CVRs. Rather, the Cyclerion U.S. Holder’s U.S. federal income tax consequences would be determined at the time future payments, if any, with respect to the Cyclerion CVRs are received or deemed received, based on whether the Cyclerion CVRs are treated as a distribution of property or of equity, in accordance with the Cyclerion U.S. Holder’s regular method of accounting. As discussed above, Cyclerion does not intend to report the issuance of the Cyclerion CVRs as an open transaction and the IRS may disagree with any Cyclerion U.S. Holder reporting the Cyclerion CVR issuance as an open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Cyclerion CVRs should generally be treated as capital assets for U.S. federal income tax purposes once issued.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Cyclerion CVRs by Cyclerion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Cyclerion capital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As described above, there is substantial uncertainty as to the tax treatment of Cyclerion CVRs and payments made thereunder. Cyclerion intends to report the issuance of the Cyclerion CVRs to Cyclerion Non-U.S. Holders as a distribution of property with respect to its stock. Each Cyclerion Non-U.S. Holder will be treated as receiving a distribution in an amount equal to the fair market value of the Cyclerion CVR issued to such Cyclerion Non-U.S. Holder on the date of the issuance. This distribution generally should be treated first as a taxable dividend to the extent of the Cyclerion Non-U.S. Holder’s </w:t>
      </w:r>
      <w:r>
        <w:rPr>
          <w:rFonts w:ascii="Times New Roman" w:hAnsi="Times New Roman"/>
          <w:i/>
          <w:sz w:val="20"/>
        </w:rPr>
        <w:t>pro rata</w:t>
      </w:r>
      <w:r>
        <w:rPr>
          <w:rFonts w:ascii="Times New Roman" w:hAnsi="Times New Roman"/>
          <w:sz w:val="20"/>
        </w:rPr>
        <w:t xml:space="preserve"> share of Cyclerion’s current or accumulated earnings and profits (as determined for U.S. federal income tax purposes), then as a non-taxable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return of capital to the extent of the Cyclerion Non-U.S. Holder’s basis in its Cyclerion capital stock, and finally as capital gain from the sale or exchange of Cyclerion capital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Generally, if any portion of the distribution of Cyclerion CVRs made to Non-U.S. Holders is treated as a dividend for U.S. federal income tax purposes (as described above), such dividend will be subject to withholding at a rate of 30% (or at a lower rate under an applicable income tax treaty). Under the terms of the Cyclerion CVR Agreement, Cyclerion and the rights agent are permitted to deduct all applicable withholding taxes from the distribution of a Cyclerion CVR to a Non-U.S. Holder and from any payments under the Cyclerion CVR to a Non-U.S. Holder. Non-U.S. Holders should be aware that the U.S. federal income tax treatment of payments on the Cyclerion CVR is unclear, as described in more detail above, but Cyclerion intends to take the position that such payments will be treated as U.S. source income subject to U.S. withholding tax at a 30% rate, or at a lesser treaty rate. Under the Cyclerion CVR Agreement, Cyclerion and the rights agent are authorized to withhold this tax from payments to Non-U.S. Holders. To the extent that any payments made to a Non-U.S. Holder on a Cyclerion CVR are treated as interest (subject to certain exemptions for amounts treated as “portfolio interest” under the Code) or dividends, such amounts will be subject to U.S. federal withholding tax at a 30% rate, or at a lesser treaty rate.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regarding backup withholding, if the issuance of the Cyclerion CVRs is effectively connected with a Cyclerion Non-U.S. Holder’s conduct of a trade or business within the United States (and, if required by an applicable income tax treaty, the Cyclerion Non-U.S. Holder maintains a permanent establishment in the United States to which the distribution of the Cyclerion CVRs is attributable), the Cyclerion Non-U.S. Holder will be exempt from U.S. federal withholding tax and the distribution of the Cyclerion CVRs generally will be subject to U.S. federal income tax on a net income basis in the same manner as if such Cyclerion Non-U.S. Holder were a U.S. Holder. To claim the exemption, the Cyclerion Non-U.S. Holder must furnish to the applicable withholding agent a valid IRS Form W-8ECI (or applicable successor form), certifying that the distribution is effectively connected with the Cyclerion Non-U.S. Holder’s conduct of a trade or business within the United States. A Cyclerion Non-U.S. Holder that is a corporation also may be subject to a branch profits tax at a rate of 30% (or such lower rate specified by an applicable income tax treaty) of all or a portion of its effectively connected earnings and profits for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portion of the issuance of the Cyclerion CVRs is treated as capital gain from the sale or exchange of Cyclerion capital stock, such gain generally will not be subject to U.S. federal income tax unless (i) such gain is effectively connected with the conduct by a Cyclerion Non-U.S. Holder of a trade or business in the United States (and, if an income tax treaty applies, the gain is generally attributable to a U.S. permanent establishment maintained by such Cyclerion Non-U.S. Holder), (ii) in the case of gain realized by a Cyclerion Non-U.S. Holder that is an individual, such Cyclerion Non-U.S. Holder is present in the United States for 183 days or more in the taxable year of the sale and certain other conditions are met or (iii) Cyclerion is or has been a USRPHC for U.S. federal income tax purposes and, if the shares are “regularly traded on an established securities market,” such Cyclerion Non-U.S. Holder owned, directly or indirectly, at any time during the five-year period ending on the date of the distribution, more than 5% of the shares of Cyclerion capital stock and such Cyclerion Non-U.S. Holder is not eligible for any treaty exemption. The shares will be considered “regularly traded” if they are traded on an established securities market located in the United States and are regularly quoted by brokers or dealers making a market in the shares. Cyclerion believes it is not, and has not been, a USRPHC for U.S. federal income tax purposes. In addition, although not free from doubt, Cyclerion believes that Cyclerion common shares currently should be considered to be regularly traded.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Cyclerion CVRs. Non-U.S. Holders are urged to consult their own tax advisors to determine the U.S. federal, state, local and non-U.S. income and other tax considerations that may be relevant to them in light of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Alternative Treatment of the Receipt of Cyclerion CVRs and the Cyclerion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Cyclerion’s position that the receipt of Cyclerion CVRs and the Cyclerion reverse stock split are appropriately treated as separate transactions, it is possible that the IRS or a court could determine that the receipt of the Cyclerion CVRs and the Cyclerion reverse stock split constitute a single “recapitalization” for U.S. federal income tax purposes. In such case, the tax consequences of the receipt of Cyclerion CVRs and the Cyclerion reverse stock split would differ from those described above and would depend in part on many of the same considerations described above, including whether the Cyclerion CVRs should be treated as property, equity or debt instruments or should be subject to the “open transaction” doctrine. In general, if the Cyclerion CVRs are treated as property and are not subject to the “open transaction” doctrine, then a Cyclerion U.S. Holder should recognize gain (but not loss) equal to the lesser of (i) the fair market value of the Cyclerion CVRs received, and (ii) the excess (if any) of (A) the sum of (1) the fair market value of the Cyclerion CVRs received and (2) the fair market value of the Cyclerion shares received in the Cyclerion reverse stock split (treating fractional shares as received for this purpose), over (B) the Cyclerion U.S. Holder’s adjusted tax basis in the Cyclerion capital stock surrendered in the Cyclerion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RECEIPT OF THE CYCLERION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1069_10"/>
      <w:bookmarkEnd w:id="12"/>
      <w:r>
        <w:rPr>
          <w:rFonts w:ascii="Times New Roman" w:hAnsi="Times New Roman"/>
          <w:b/>
          <w:sz w:val="20"/>
        </w:rPr>
        <w:t xml:space="preserve">CYCLERION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June 30, 2026, concerning Cyclerion’s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Cyclerion’s directors and executive officers as of June 30, 2026 are as follows: </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3125"/>
        <w:gridCol w:w="120"/>
        <w:gridCol w:w="425"/>
        <w:gridCol w:w="120"/>
        <w:gridCol w:w="453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Position</w:t>
            </w:r>
          </w:p>
        </w:tc>
      </w:tr>
      <w:tr>
        <w:trPr/>
        <w:tc>
          <w:tcPr>
            <w:tcW w:w="3125" w:type="dxa"/>
            <w:tcBorders/>
            <w:vAlign w:val="center"/>
          </w:tcPr>
          <w:p>
            <w:pPr>
              <w:pStyle w:val="TableContents"/>
              <w:bidi w:val="0"/>
              <w:spacing w:before="0" w:after="283"/>
              <w:jc w:val="left"/>
              <w:rPr/>
            </w:pPr>
            <w:r>
              <w:rPr/>
              <w:t>Regina M. Graul,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President, Chief Executive Officer and Director</w:t>
            </w:r>
          </w:p>
        </w:tc>
      </w:tr>
      <w:tr>
        <w:trPr/>
        <w:tc>
          <w:tcPr>
            <w:tcW w:w="3125" w:type="dxa"/>
            <w:tcBorders/>
            <w:vAlign w:val="center"/>
          </w:tcPr>
          <w:p>
            <w:pPr>
              <w:pStyle w:val="TableContents"/>
              <w:bidi w:val="0"/>
              <w:spacing w:before="0" w:after="283"/>
              <w:jc w:val="left"/>
              <w:rPr/>
            </w:pPr>
            <w:r>
              <w:rPr/>
              <w:t>Rhonda Chicko</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Chief Financial Officer and Secretary</w:t>
            </w:r>
          </w:p>
        </w:tc>
      </w:tr>
      <w:tr>
        <w:trPr/>
        <w:tc>
          <w:tcPr>
            <w:tcW w:w="3125" w:type="dxa"/>
            <w:tcBorders/>
            <w:vAlign w:val="center"/>
          </w:tcPr>
          <w:p>
            <w:pPr>
              <w:pStyle w:val="TableContents"/>
              <w:bidi w:val="0"/>
              <w:spacing w:before="0" w:after="283"/>
              <w:jc w:val="left"/>
              <w:rPr/>
            </w:pPr>
            <w:r>
              <w:rPr/>
              <w:t>Errol B. De Souza, Ph.D. (1) (2)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Chairman of the Board of Directors</w:t>
            </w:r>
          </w:p>
        </w:tc>
      </w:tr>
      <w:tr>
        <w:trPr/>
        <w:tc>
          <w:tcPr>
            <w:tcW w:w="3125" w:type="dxa"/>
            <w:tcBorders/>
            <w:vAlign w:val="center"/>
          </w:tcPr>
          <w:p>
            <w:pPr>
              <w:pStyle w:val="TableContents"/>
              <w:bidi w:val="0"/>
              <w:spacing w:before="0" w:after="283"/>
              <w:jc w:val="left"/>
              <w:rPr/>
            </w:pPr>
            <w:r>
              <w:rPr/>
              <w:t>Peter M. Hecht, Ph.D.</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Michael J. Higgins(1)(2)</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63</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Steven E. Hyman, M.D.(1)(3)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73</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r>
        <w:trPr/>
        <w:tc>
          <w:tcPr>
            <w:tcW w:w="3125" w:type="dxa"/>
            <w:tcBorders/>
            <w:vAlign w:val="center"/>
          </w:tcPr>
          <w:p>
            <w:pPr>
              <w:pStyle w:val="TableContents"/>
              <w:bidi w:val="0"/>
              <w:spacing w:before="0" w:after="283"/>
              <w:jc w:val="left"/>
              <w:rPr/>
            </w:pPr>
            <w:r>
              <w:rPr/>
              <w:t>Dina Katabi, Ph.D.(3)</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center"/>
              <w:rPr/>
            </w:pPr>
            <w:r>
              <w:rPr/>
              <w:t>Director</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(1)</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45" w:type="dxa"/>
        <w:jc w:val="left"/>
        <w:tblInd w:w="0" w:type="dxa"/>
        <w:tblLayout w:type="fixed"/>
        <w:tblCellMar>
          <w:top w:w="0" w:type="dxa"/>
          <w:left w:w="0" w:type="dxa"/>
          <w:bottom w:w="0" w:type="dxa"/>
          <w:right w:w="0" w:type="dxa"/>
        </w:tblCellMar>
      </w:tblPr>
      <w:tblGrid>
        <w:gridCol w:w="305"/>
        <w:gridCol w:w="3440"/>
      </w:tblGrid>
      <w:tr>
        <w:trPr/>
        <w:tc>
          <w:tcPr>
            <w:tcW w:w="305" w:type="dxa"/>
            <w:tcBorders/>
            <w:vAlign w:val="center"/>
          </w:tcPr>
          <w:p>
            <w:pPr>
              <w:pStyle w:val="TableContents"/>
              <w:bidi w:val="0"/>
              <w:spacing w:before="0" w:after="283"/>
              <w:jc w:val="left"/>
              <w:rPr/>
            </w:pPr>
            <w:r>
              <w:rPr/>
              <w:t>(2)</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pPr>
            <w:r>
              <w:rPr/>
              <w:t>(3)</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Regina Graul, Ph.D.</w:t>
      </w:r>
      <w:r>
        <w:rPr>
          <w:rFonts w:ascii="Times New Roman" w:hAnsi="Times New Roman"/>
          <w:sz w:val="20"/>
        </w:rPr>
        <w:t xml:space="preserve"> has served on the Cyclerion Board since August 2024, as Cyclerion’s President since December 2023 and as Cyclerion’s President and Chief Executive Officer since August 2024. Before joining Cyclerion as President, Dr. Graul served as vice president, program executive at EQRx Therapeutics, Inc. from February 2021 where she led multiple portfolios and cross-functional research and development teams in oncology. From April 2019 through February 2021, Dr. Graul served as senior director, global development leader at Cyclerion and lead the olinciguat franchise. From 2004 through February 2021, Dr. Graul served in numerous roles of increasing responsibility across the organization at Ironwood Pharmaceuticals, Inc., most recently as the head of internal innovation and senior director of research and development. Dr. Graul did her post-doctoral work at MIT, received her Ph.D. in synthetic organic chemistry from Rice University and a B.A. in chemistry from Saint Anselm College. Dr. Graul brings extensive drug research and development experience in the bio-pharmaceutical industry over the past 22 years, which makes her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Rhonda M. Chicko, C.P.A.</w:t>
      </w:r>
      <w:r>
        <w:rPr>
          <w:rFonts w:ascii="Times New Roman" w:hAnsi="Times New Roman"/>
          <w:sz w:val="20"/>
        </w:rPr>
        <w:t xml:space="preserve"> is a consultant to Cyclerion and has served as its Chief Financial Officer since January 2024. Ms. Chicko has been consulting as a chief financial officer to various life science companies since October 2019. Ms. Chicko previously served as chief financial officer of Scholar Rock from April 2018 through October 2019 and vice president of finance at Editas Medicine from September 2015 through March 2018. From 2005 to 2015, Ms. Chicko worked at Ironwood Pharmaceuticals, Inc. in financial roles of increasing responsibility, culminating as senior director, finance and tax. Earlier in her career, Ms. Chicko held a range of positions at investment management and accounting firms, including Wellington Management Company, LLP and PricewaterhouseCoopers, LLP. Ms. Chicko holds a M.S.T. from Bentley University and a B.S. in accounting from Le Moyne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Errol B. De Souza, Ph.D</w:t>
      </w:r>
      <w:r>
        <w:rPr>
          <w:rFonts w:ascii="Times New Roman" w:hAnsi="Times New Roman"/>
          <w:b/>
          <w:i/>
          <w:sz w:val="20"/>
        </w:rPr>
        <w:t>.</w:t>
      </w:r>
      <w:r>
        <w:rPr>
          <w:rFonts w:ascii="Times New Roman" w:hAnsi="Times New Roman"/>
          <w:sz w:val="20"/>
        </w:rPr>
        <w:t xml:space="preserve"> has served as a member of the Cyclerion Board since April 2021 and is the current Chairman of the Cyclerion Board. Dr. De Souza was the executive chairman of Neuphoria Therapeutics Inc. (formerly known as Bionomics Limited) from November 2018 to December 2022, non-executive chairman from January 2023 to June 2023 and a member of its board of directors until November 2023. Previously, Dr. De Souza served as president, chief executive officer, and member of the board of directors of several companies, including Neuropore Therapies, Inc. from January 2017 to December 2019, Biodel, Inc. from March 2010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January 2016, Archemix Corp from April 2003 to March 2009 and Synaptic Pharmaceutical Corporation from September 2002 to March 2003. From September 1998 to September 2002, Dr. De Souza held senior vice president roles at Hoechst Marion Roussel Pharmaceuticals, Inc. and Aventis Pharmaceuticals, Inc. He was also founder, chief scientific officer and member of the board of directors at Neurocrine Biosciences, Inc. from October 1992 to August 1998 and head of CNS Diseases Research at DuPont Merck from May 1990 to October 1992. Dr. De Souza is currently a member of the board of directors of Alector Inc. and Royalty Pharma, Inc. He has previously served on the board of directors of Catalyst Biosciences, Inc., Targacept, Inc., IDEXX Laboratories, Palatin Technologies, Inc. and a number of private company boards. Dr. De Souza received a B.A. in physiology and a Ph.D. in endocrinology from the University of Toronto. Dr. De Souza brings extensive strategic and CNS experience as an executive in the bio-pharmaceutical industry, having founded companies and served as executive chairman, president, and chief executive officer of several private and public bio-pharmaceutical companies,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Peter M. Hecht, Ph.D.</w:t>
      </w:r>
      <w:r>
        <w:rPr>
          <w:rFonts w:ascii="Times New Roman" w:hAnsi="Times New Roman"/>
          <w:sz w:val="20"/>
        </w:rPr>
        <w:t xml:space="preserve"> has been a member of the Cyclerion Board since Cyclerion commenced operations as an independent company in April 2019 and was Cyclerion’s Chief Executive Officer from April 2019 to November 2023. Dr. Hecht presently serves as the chief executive officer of Tisento Therapeutics, Inc., a privately-held biotechnology company and as a member of its board of directors. Previously, he served as the chief executive officer of Ironwood Pharmaceuticals, Inc. and as a member of its board of directors from its founding in 1998 to March 2019. Under Dr. Hecht’s leadership, the Ironwood Pharmaceuticals, Inc. team built a robust pipeline and grew it into a commercial biotechnology company that discovered, developed, and is now commercializing LINZESS® - the blockbuster branded prescription market leader in its class. Prior to co-founding Ironwood Pharmaceuticals Inc, Dr. Hecht was a research fellow at Whitehead Institute for Biomedical Research. Dr. Hecht also serves on the boards of directors of Kallyope Inc. and Mythic Therapeutics, both privately held biotechnology companies. Dr. Hecht earned a B.S. in Mathematics and an M.S. in Biology from Stanford University, and a Ph.D. in molecular biology from the University of California at Berkeley. Dr. Hecht’s experiences as the founder of several innovative biotechnology companies, his tenure as the chief executive officer and a board member of each of Microbia, Ironwood Pharmaceuticals, Inc., Cyclerion and Tisento Therapeutics, Inc., and his extensive scientific background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Michael J. Higgins</w:t>
      </w:r>
      <w:r>
        <w:rPr>
          <w:rFonts w:ascii="Times New Roman" w:hAnsi="Times New Roman"/>
          <w:sz w:val="20"/>
        </w:rPr>
        <w:t xml:space="preserve"> has been a member of the Cyclerion Board since November 2023. Mr. Higgins was appointed chairman of the board of directors of Voyager Therapeutics, Inc., in June 2019 and also served as Voyager Therapeutics, Inc.’s interim president and chief executive officer from June 2021 to March 2022. Mr. Higgins has served as chairman of the board of directors of Pulmatrix, Inc., since April 2020, and has served as a member of the boards of directors of Nocion Therapeutics, Inc., a privately held biopharmaceutical company, since September 2020; Camp4 Therapeutics Corporation, since October 2017; Sea Pharmaceuticals, LLC, a privately held pharmaceutical company, since October 2016; and KinDex Pharmaceuticals, Inc., a privately held biotechnology company, since March 2016. Mr. Higgins previously served as a member of the board of directors of Genocea Biosciences Inc. from February 2015 to May 2022. Mr. Higgins is a serial entrepreneur who has helped launch and build numerous companies during his career. He served as entrepreneur-in-residence at Polaris Partners, an investment company, from 2015 to 2020. From 2003 to 2014 he served as senior vice president, chief operating officer at Ironwood Pharmaceuticals, Inc.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Mr. Higgins’ financial and business expertise, including his diversified background as an executive officer in public pharmaceuticals companies, qualifies him to serve as a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Steven E. Hyman, M.D.</w:t>
      </w:r>
      <w:r>
        <w:rPr>
          <w:rFonts w:ascii="Times New Roman" w:hAnsi="Times New Roman"/>
          <w:sz w:val="20"/>
        </w:rPr>
        <w:t xml:space="preserve"> has served as a member of the Cyclerion Board since July 2022. Dr. Hyman is a Distinguished Service Professor and Harald McPike Professor of Stem Cell and Regenerative Biology at Harvard University and a Core Institute Member of the Broad Institute of MIT and Harvard where he directs the Broad Program in Brain Health. Dr. Hyman also serves as chairman of the board of directors of the Charles A. Dana Foundation (NY). In the private sector, Dr. Hyman is founder of Emugen Therapeutics, a director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Voyager Therapeutics, Q-State Biosciences and Vesalius, and serves on the scientific advisory boards of Janssen and F-Prime Capital. From 2001 to 2011, Dr. Hyman served as Provost (Chief Academic Officer) of Harvard University, and from 1996 to 2001, as Director of the National Institute of Mental Health (NIMH), a component of the US National Institutes of Health. Dr. Hyman has served as Editor of the Annual Review of Neuroscience (2002-2016), founding President of the International Neuroethics Society (2008-2013), President of the Society for Neuroscience (2015), and President of the American College of Neuropsychopharmacology (2018). Dr. Hyman is a fellow of the American Academy of Arts and Sciences, a fellow of the American Association for the Advancement of Science, and a member of the National Academy of Medicine. Dr. Hyman received his B.A. from Yale College, an M.A. from the University of Cambridge, which Dr. Hyman attended as a Mellon fellow studying history and philosophy of science, and an M.D. from Harvard Medical School. Dr. Hyman brings a deep expertise as a world-renowned leader in neuroscience leading large-scale, collaborative research programs aimed to discover and develop novel biomarkers and therapeutics for neuropsychiatric diseases, each of which make him a valuable member of the Cyclerion Board. </w:t>
      </w:r>
    </w:p>
    <w:p>
      <w:pPr>
        <w:pStyle w:val="TextBody"/>
        <w:bidi w:val="0"/>
        <w:spacing w:before="240" w:after="0"/>
        <w:jc w:val="left"/>
        <w:rPr>
          <w:rFonts w:ascii="Times New Roman" w:hAnsi="Times New Roman"/>
          <w:sz w:val="20"/>
        </w:rPr>
      </w:pPr>
      <w:r>
        <w:rPr>
          <w:rFonts w:ascii="Times New Roman" w:hAnsi="Times New Roman"/>
          <w:b/>
          <w:sz w:val="20"/>
        </w:rPr>
        <w:t>Dina Katabi, Ph.D.</w:t>
      </w:r>
      <w:r>
        <w:rPr>
          <w:rFonts w:ascii="Times New Roman" w:hAnsi="Times New Roman"/>
          <w:sz w:val="20"/>
        </w:rPr>
        <w:t xml:space="preserve"> has been a member of the Cyclerion Board since November 2023. Dr. Katabi is the co-founder and president of Emerald Innovations, a health analytics company that specializes in digital health solutions for passive, contactless in-home monitoring. Dr. Katabi is also the inaugural Thuan and Nicole Pham Professor of Electrical Engineering and Computer Science and the Director of the Massachusetts Institute of Technology’s Center for Wireless Networks and Mobile Computing. Dr. Katabi is a MacArthur Fellow and a member of the National Academy of Engineering (NAE), the National Academy of Sciences (NAS), and the American Association of Arts and Sciences (AAAS). Dr. Katabi’s research focuses on advanced wireless sensing, applied machine learning, and digital health. Several startups have been spun out of Dr. Katabi’s lab. Dr. Katabi has received three honorary degrees from the American University of Beirut, the American University of Cairo, and the Catholic University of America. Dr. Katabi received her Ph.D. and M.S. in computer science from MIT and her B.S. from Damascus University. Dr. Katabi’s scientific background and experiences make her a valuable member of the Cyclerion Board.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required under the listing standards of the Nasdaq Capital Market, a majority of the members of a listed company’s Board of Directors must qualify as “independent,” as affirmatively determined by the Board of Directors. The Cyclerion Board consults with Cyclerion’s counsel to ensure that the Cyclerion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identified transactions or relationships between each director, or any of his or her family members, and Cyclerion, its senior management and its independent auditors, the Cyclerion Board has affirmatively determined that the following four directors satisfy the independence standard established by the Nasdaq listing standards, as well as the Corporate Governance Guidelines adopted by the Cyclerion Board: Drs. Hyman, Katabi and De Souza and Mr. Higgins. In making this determination, the Cyclerion Board found that none of these individuals had a material or other disqualifying relationship with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Cyclerion 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an independent Chairman, Dr. De Souza, who has authority, among other things, to call and preside over Cyclerion Board meetings, including meetings of the independent directors, to set meeting agendas and to determine materials to be distributed to the Cyclerion Board. Accordingly, the Cyclerion Board Chairman has substantial ability to shape the work of the Cyclerion Board. Cyclerion believes that separation of the positions of Board Chairman and Chief Executive Officer or President reinforces the independence of the Cyclerion Board in its oversight of the business and affairs of Cyclerion. In addition, Cyclerion believes that having an independent Board Chairman creates an environment that is more conducive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 evaluation and oversight of management’s performance, increasing management accountability and improving the ability of the Cyclerion Board to monitor whether management’s actions are in the best interests of Cyclerion and its shareholders. As a result, Cyclerion believes that having an independent Board Chairman can enhance the effectiveness of the Cyclerion Board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Cyclerion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One of the Cyclerion Board’s functions is informed, tailored oversight of Cyclerion’s risk management process. The Cyclerion Board oversees risk directly through the Cyclerion Board as a whole, as well as through various Cyclerion Board standing committees that address risks specific to their respective areas of oversight. In particular, the Cyclerion Board is responsible for monitoring and assessing strategic risk exposure, including a determination of the nature and level of risk appropriate for Cyclerion. </w:t>
      </w:r>
    </w:p>
    <w:p>
      <w:pPr>
        <w:pStyle w:val="TextBody"/>
        <w:bidi w:val="0"/>
        <w:spacing w:before="240" w:after="0"/>
        <w:jc w:val="left"/>
        <w:rPr>
          <w:rFonts w:ascii="Times New Roman" w:hAnsi="Times New Roman"/>
          <w:sz w:val="20"/>
        </w:rPr>
      </w:pPr>
      <w:r>
        <w:rPr>
          <w:rFonts w:ascii="Times New Roman" w:hAnsi="Times New Roman"/>
          <w:sz w:val="20"/>
        </w:rPr>
        <w:t xml:space="preserve">Cyclerion has implemented and continues to refine an enterprise risk management process. On an ongoing basis, Cyclerion identifies key risks, assess their potential impact and likelihood, and, where appropriate, implement operational measures and controls or purchase insurance coverage in order to help ensure adequate risk mitigation. Periodically, key risks, status of mitigation activities, and potential new or emerging risks are reported to and discussed with senior management and further addressed with the Cyclerion Board, as necessary. On at least an annual basis, a long-term comprehensive enterprise risk management update is provided to the Cyclerion Board. </w:t>
      </w:r>
    </w:p>
    <w:p>
      <w:pPr>
        <w:pStyle w:val="TextBody"/>
        <w:bidi w:val="0"/>
        <w:spacing w:before="240" w:after="0"/>
        <w:jc w:val="left"/>
        <w:rPr>
          <w:rFonts w:ascii="Times New Roman" w:hAnsi="Times New Roman"/>
          <w:sz w:val="20"/>
        </w:rPr>
      </w:pPr>
      <w:r>
        <w:rPr>
          <w:rFonts w:ascii="Times New Roman" w:hAnsi="Times New Roman"/>
          <w:sz w:val="20"/>
        </w:rPr>
        <w:t xml:space="preserve">Cyclerion’s Audit Committee has the responsibility to consider and discuss Cyclerion’s major financial and IT risk exposure and the approach management uses to monitor and control this exposure, including guidelines and policies to govern the risk management processes. The Audit Committee also monitors compliance with legal and regulatory requirements, in addition to oversight of the performance of our internal audit function. </w:t>
      </w:r>
    </w:p>
    <w:p>
      <w:pPr>
        <w:pStyle w:val="TextBody"/>
        <w:bidi w:val="0"/>
        <w:spacing w:before="240" w:after="0"/>
        <w:jc w:val="left"/>
        <w:rPr>
          <w:rFonts w:ascii="Times New Roman" w:hAnsi="Times New Roman"/>
          <w:sz w:val="20"/>
        </w:rPr>
      </w:pPr>
      <w:r>
        <w:rPr>
          <w:rFonts w:ascii="Times New Roman" w:hAnsi="Times New Roman"/>
          <w:sz w:val="20"/>
        </w:rPr>
        <w:t xml:space="preserve">Cyclerion’s Nominating and Corporate Governance Committee monitors the effectiveness of Cyclerion’s Corporate Governance Guidelines, including whether they are successful in preventing illegal or improper liability-creating conduct.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Committee oversees and reviews Cyclerion’s compensation policies and programs to ensure that they encourage an appropriate balance of risk and reward, and that they align management’s incentives with those of Cyclerion’s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of the Board of Directors, Attendance and Overboarding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met eight times and acted by written consent on several occasions in 2025. No director attended less than 75% of the meetings of the Cyclerion Board and its committees on which he or she served.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provided in Cyclerion’s Corporate Governance Guidelines, all directors are expected to be able to dedicate sufficient time to ensure the diligent performance of his or her duties on Cyclerion’s behalf, including attending Cyclerion Board and applicable committee meetings as well as the annual meetings of shareholders. All of Cyclerion’s directors attended the 2025 annual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Cyclerion’s Corporate Governance Guidelines also provide that directors should not serve on more than a total of four public company boards of directors and that directors who hold the position of Chief Executive Officer of a public company should not serve on more than a total of two public company boards of directors (including the board of his or her own company). Cyclerion also expects that each director will avoid circumstances that create an actual or perceived conflict of interest and has a process in place to appropriately evaluate any perceived conflict of interest. Cyclerion’s Nominating and Corporate Governance Committee and the Cyclerion Board regularly evaluate its directors’ commitments at other public companies to confirm compliance with Cyclerion’s overboarding policy, discussed above, and to ensure that they are able to devote sufficient time to their duties at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Regarding Committees of the Cyclerion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three committees: (a) an Audit Committee, (b) a Compensation Committee and (c) a Nominating and Corporate Governance Committee, each of which operates pursuant to a charter adopted by the Cyclerion Board. The following table provides membership of each Cyclerion Board committee. </w:t>
      </w:r>
    </w:p>
    <w:p>
      <w:pPr>
        <w:pStyle w:val="TextBody"/>
        <w:bidi w:val="0"/>
        <w:spacing w:before="0" w:after="0"/>
        <w:jc w:val="left"/>
        <w:rPr/>
      </w:pPr>
      <w:r>
        <w:rPr/>
        <w:t> </w:t>
      </w:r>
    </w:p>
    <w:tbl>
      <w:tblPr>
        <w:tblW w:w="6710" w:type="dxa"/>
        <w:jc w:val="left"/>
        <w:tblInd w:w="0" w:type="dxa"/>
        <w:tblLayout w:type="fixed"/>
        <w:tblCellMar>
          <w:top w:w="0" w:type="dxa"/>
          <w:left w:w="0" w:type="dxa"/>
          <w:bottom w:w="0" w:type="dxa"/>
          <w:right w:w="0" w:type="dxa"/>
        </w:tblCellMar>
      </w:tblPr>
      <w:tblGrid>
        <w:gridCol w:w="2000"/>
        <w:gridCol w:w="120"/>
        <w:gridCol w:w="1130"/>
        <w:gridCol w:w="120"/>
        <w:gridCol w:w="1490"/>
        <w:gridCol w:w="120"/>
        <w:gridCol w:w="173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pPr>
            <w:r>
              <w:rPr>
                <w:b/>
              </w:rPr>
              <w:t>Audit</w:t>
            </w:r>
            <w:r>
              <w:rPr/>
              <w:br/>
            </w:r>
            <w:r>
              <w:rPr>
                <w:b/>
              </w:rPr>
              <w:t>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pPr>
            <w:r>
              <w:rPr>
                <w:b/>
              </w:rPr>
              <w:t>Compensation</w:t>
            </w:r>
            <w:r>
              <w:rPr/>
              <w:br/>
            </w:r>
            <w:r>
              <w:rPr>
                <w:b/>
              </w:rPr>
              <w:t>Committee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Nominating and</w:t>
            </w:r>
          </w:p>
          <w:p>
            <w:pPr>
              <w:pStyle w:val="TableContents"/>
              <w:bidi w:val="0"/>
              <w:spacing w:before="0" w:after="0"/>
              <w:jc w:val="center"/>
              <w:rPr>
                <w:rFonts w:ascii="Times New Roman" w:hAnsi="Times New Roman"/>
                <w:b/>
                <w:sz w:val="16"/>
              </w:rPr>
            </w:pPr>
            <w:r>
              <w:rPr>
                <w:rFonts w:ascii="Times New Roman" w:hAnsi="Times New Roman"/>
                <w:b/>
                <w:sz w:val="16"/>
              </w:rPr>
              <w:t>Corporate Governance</w:t>
            </w:r>
          </w:p>
          <w:p>
            <w:pPr>
              <w:pStyle w:val="TableContents"/>
              <w:bidi w:val="0"/>
              <w:spacing w:before="0" w:after="20"/>
              <w:jc w:val="center"/>
              <w:rPr>
                <w:rFonts w:ascii="Times New Roman" w:hAnsi="Times New Roman"/>
                <w:b/>
                <w:sz w:val="16"/>
              </w:rPr>
            </w:pPr>
            <w:r>
              <w:rPr>
                <w:rFonts w:ascii="Times New Roman" w:hAnsi="Times New Roman"/>
                <w:b/>
                <w:sz w:val="16"/>
              </w:rPr>
              <w:t>Committee</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I</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C</w:t>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Higgins.</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C</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I</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I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C</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I</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75"/>
        <w:gridCol w:w="120"/>
        <w:gridCol w:w="3155"/>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20"/>
              </w:rPr>
            </w:pPr>
            <w:r>
              <w:rPr>
                <w:sz w:val="20"/>
              </w:rPr>
              <w:t>C=</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Committee Chairperson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3275"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I=</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Independent Committee Member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Below is a description of the Cyclerion Audit Committee, the Compensation Committee, and the Nominating and Corporate Governance Committee. Each such committee has authority to engage legal counsel or other experts or consultants, as it deems necessary to carry out its responsibilities. The Cyclerion Board has determined that each member of each such committee meets the applicable Nasdaq rules and regulations regarding “independence” and each member is free of any relationship that would impair his or her individual exercise of independent judgment with regard to Cyclerion. </w:t>
      </w:r>
    </w:p>
    <w:p>
      <w:pPr>
        <w:pStyle w:val="TextBody"/>
        <w:bidi w:val="0"/>
        <w:spacing w:before="36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Cyclerion Board was established by the Cyclerion Board in accordance with Section 3(a)(58)(A) of the Exchange Act, to oversee Cyclerion’s corporate accounting and financial reporting processes and audits of its financial statements. For this purpose, the Audit Committee performs several functions. The Audit Committee is responsible for, among other duties: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Cyclerion’s annual and quarterly financial statements, earnings releases and related disclosures;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the quality and adequacy of internal controls and internal auditing procedures, including any material weaknesses in either;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and Cyclerion’s independent registered public accounting firm any significant risks or exposures facing Cyclerion and the related mitigation plans, and reviewing Cyclerion’s compliance with such mitigation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Cyclerion’s independent registered public accounting firm the quality and acceptability of Cyclerion’s accounting policies and all material correcting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retaining, overseeing and approving the compensation for and, when necessary, terminating Cyclerion’s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all audit services and all permitted non-audit, tax and other services to be performed by Cyclerion’s independent registered public accounting firm, in each case, in accordance with the Audit Committee’s pre-approval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Cyclerion’s independent registered public accounting firm its independence and ensuring that it receives the written disclosures regarding these communications required by the Public Company Accounting Oversight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65" w:type="dxa"/>
        <w:jc w:val="left"/>
        <w:tblInd w:w="0" w:type="dxa"/>
        <w:tblLayout w:type="fixed"/>
        <w:tblCellMar>
          <w:top w:w="0" w:type="dxa"/>
          <w:left w:w="0" w:type="dxa"/>
          <w:bottom w:w="0" w:type="dxa"/>
          <w:right w:w="0" w:type="dxa"/>
        </w:tblCellMar>
      </w:tblPr>
      <w:tblGrid>
        <w:gridCol w:w="75"/>
        <w:gridCol w:w="110"/>
        <w:gridCol w:w="6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related party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whether the audited financial statements should be included in Cyclerion’s annual report and preparing the report of Cyclerion’s Audit Committee required by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Cyclerion’s independent registered public accounting firm all material communications between Cyclerion’s management and Cyclerion’s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updating and recommending to the Cyclerion Board changes to Cyclerion’s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integrity of Cyclerion’s information technology systems, processes and data and reviewing and assessing with management the adequacy of security for such technology systems, processes and data;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investigation and treatment of accounting related complaints and concerns.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is currently composed of three directors: Mr. Higgins, who serves as Chair, Dr. De Souza and Dr. Hyman. Each member of the Audit Committee is financially literate and has accounting or related financial management expertise. The Audit Committee met five times during fiscal year 2025. The Cyclerion Board has adopted a written Audit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Cyclerion reviews the Nasdaq listing standards definition of independence for Audit Committee members on an annual basis and has determined that all members of Cyclerion’s Audit Committee are independent (as independence is currently defined in Rule 5605(c)(2)(A)(i) and (ii) of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Board has also determined that Mr. Higgins qualifies as an “audit committee financial expert,” as defined under applicable SEC rules. The Cyclerion Board made a qualitative assessment of Mr. Higgins’ level of knowledge and experience based on a number of factors, including his formal education and prior experience at public reporting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the Cyclerion Board acts on behalf of the Cyclerion Board to, among other things, administer Cyclerion’s compensation policies and human resources philosophy, and to enable Cyclerion to attract and motivate qualified personnel and advise the Cyclerion Board regarding, and facilitate the Cyclerion Board’s oversight of, the compensation of members of the Cyclerion Board and Cyclerion’s CEO and other executive officers. The Compensation Committee is responsible for, among other duties: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Cyclerion Board annually, corporate goals and objectives relevant to executive officer compensation and evaluating and approving the performance of executive officers in light of those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executive officer compensation, including salary, bonus and incentive compensation, deferred compensation, perquisites, equity compensation, benefits provided upon retirement, severance or other termination of employment and any other forms of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Cyclerion’s President and Chief Executive Officer’s compensation based on its evaluation of Cyclerion’s President and Chief Executive Officer’s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Cyclerion Board, or approving, any contracts or other transactions with Cyclerion’s current or former executive officers, including consulting arrangements, employment contracts, severance or termination arrangements and loans to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Cyclerion’s incentive compensation plans and equity-based plans and recommending to the Cyclerion Board the adoption of new incentive compensation plans and equity-based plans and any amendments to Cyclerion’s existing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compensation and benefits paid to directors for service on the Cyclerion Board the committees thereof and recommending any changes in such compensation and benefits to the Cyclerion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Cyclerion’s management succession and development plans, including plans with respect to Cyclerion’s Chief Executive Officer and President;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any compensation related material required to be included in Cyclerion’s filings with the SEC and recommending to the Cyclerion Board whether such compensation related material should be included in such filings.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currently composed of two directors: Dr. De Souza, who serves as Chair and Mr. Higgins. All members of Cyclerion’s Compensation Committee are independent (as independence is currently defined in Rule 5605(d)(2) of the Nasdaq listing standards), and each of whom qualifies as a “non-employee director” (within the meaning of Rule 16b-3 of the Exchange Act) and an “outside director” (within the meaning of Section 162(m) of the Internal Revenue Code of 1986, as amended (the “Code”)). The Compensation Committee met three times and acted by written consent on several occasions during fiscal year 2025. The Cyclerion Board has adopted a written Compensation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Typically, the Compensation Committee meets twice per year and with greater frequency if necessary. The agenda for each meeting is usually developed by the Chair of the Compensation Committee, in consultation with the Chief Executive Officer and President. The Compensation Committee does not currently retain a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and President may not participate in, or be present during, any deliberations or determinations of the Compensation Committee regarding her compensation or individual performance objectives. Under the Compensation Committee’s charter, it has the authority to obtain, at the expense of the Company, advice and assistance from compensation consultants and legal, accounting or other advisors that the Compensation Committee considers necessary or appropriate in the performance of its duties. In particular, the Compensation Committee has the authority to retain, in its sole discretion, compensation consultants to assist in its evaluation of executive and director compensation, including the authority to approve the consultant’s fees and other retention terms. Under the charter, the Compensation Committee may select, or receive advice from, a compensation consultant, legal counsel or other adviser to the Compensation Committee, and certain other types of advisers, only after taking into consideration six factors, prescribed by the SEC and Nasdaq, that bear upon the adviser’s independence; however, there is no requirement that such independence assessment be undertaken when the advisers role is limited to consulting on broad based plans generally available to all salaried employees, or providing non-customized information. </w:t>
      </w:r>
    </w:p>
    <w:p>
      <w:pPr>
        <w:pStyle w:val="TextBody"/>
        <w:bidi w:val="0"/>
        <w:spacing w:before="36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of the Board of Directors is responsible for, among other duties: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Cyclerion Board;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the persons to be nominated for election as directors;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the Cyclerion Board in recruiting such nominees;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Cyclerion Board qualified individuals to serve as committee members;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an annual evaluation of the Cyclerion Board;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need and, if necessary, creating a plan for the continuing education of Cyclerion’s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approving any requests from Cyclerion’s executive officers to serve on the board of directors of another for-profit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assessing and reviewing Cyclerion’s Corporate Governance Guidelines and recommending any changes to the Cyclerion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is composed of two directors: Dr. Hyman, who serves as Chair, and Dr. Katabi. Each member of the Nominating and Corporate Governance Committee is independent (as independence is currently defined in Rule 5605(a)(2) of the Nasdaq listing standards). The Nominating and Corporate Governance Committee met three times during fiscal 2025 and took action by written consent once. The Cyclerion Board has adopted a written Nominating and Corporate Governance Committee charter that is available to shareholders on Cyclerion’s website at </w:t>
      </w:r>
      <w:r>
        <w:rPr>
          <w:rFonts w:ascii="Times New Roman" w:hAnsi="Times New Roman"/>
          <w:i/>
          <w:sz w:val="20"/>
        </w:rPr>
        <w:t>www.cyclerion.com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the policy of the Cyclerion Board that directors should possess strong personal and professional ethics, integrity and values, demonstrate a keen understanding of, and enthusiasm for, Cyclerion, its business and its industry, and be committed to representing the long-term interests of Cyclerion’s shareholders. The composition of the Cyclerion Board should also encompass a range of talents, ages, skills, diversity, business experience and clinical/scientific expertise sufficient to provide sound and prudent oversight with respect to the operations and interests of Cyclerion.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potential nominees for director, the Nominating and Corporate Governance Committee looks to maintain a balance of perspectives, qualifications, qualities and skills on the Cyclerion Board, and will look for nominees who exhibit, among other qualities: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highest professional and personal ethics;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 experience in business, the biopharmaceutical industry, government or science;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provide insights and practical wisdom based on their experience and expertise;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enhancing shareholder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sufficient time to carry out their duties effectively (their service on other boards of public companies should be limited as set forth in Cyclerion’s Corporate Governance Guidelines);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legal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develop a good working relationship with other Cyclerion Board members and contribute to the Cyclerion Board’s working relationship with senior management of Cyclerion; and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in exceptional cases, satisfy the independence standards established by the Nasdaq listing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such other factors as it may deem are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Cyclerion is committed to inclusion and diversity within the Cyclerion Board and confirms that its policy of non-discrimination based on race, color, religion, gender, national origin, ethnicity, age, disability, veteran status, pregnancy, marital status, sexual orientation or any other reason prohibited by applicable law applies in the assessment and selection of all director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 may use any process it deems appropriate for the purpose of evaluating candidates that is consistent with the policies set forth in the Cyclerion Organizational Documents, Cyclerion’s Corporate Governance Guidelines and Cyclerion’s policy, which process may include, without limitation, personal interviews, background checks, written submissions by the candidates and third-party references. Although the Nominating and Corporate Governance Committee may seek candidates that have different qualities and experiences at different times in order to maximize the aggregate experience, qualities and strengths of the Cyclerion Board members, nominees for each election or appointment of directors shall be evaluated using a substantially similar process and under no circumstances shall the Nominating and Corporate Governance Committee evaluate nominees recommended by a shareholder of Cyclerion pursuant to a process substantially different than that used for other nominees for the same election or appointment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will consider any written or electronic communication from Cyclerion’s shareholders to the Cyclerion Board, a committee of the Cyclerion Board or any individual director. Any shareholder who wishes to communicate to the Cyclerion Board, a committee of the Cyclerion Board or any individual director should submit written or electronic communications to our secretary at our principal offices, which shall include contact information for such shareholder. All communications from shareholders received shall be forwarded by Cyclerion’s secretary to the appropriate recipient(s) on a periodic basis, but in any event no later than the Cyclerion Board’s next scheduled meeting. The appropriate recipient(s) will consider and review carefully any communications from shareholders forwarded by Cyclerion’s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Code of Business Conduct and Ethics, Insider Trading Policy and 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has adopted Corporate Governance Guidelines that set forth the responsibilities of the Cyclerion Board and the qualifications and independence of its members and the members of its standing committees. In addition, the Cyclerion Board adopted a Code of Business Conduct and Ethics setting forth standards applicable to all of Cyclerion’s directors, officers and employees. The Corporate Governance Guidelines and Code of Business Conduct and Ethics are available on Cyclerion’s website at </w:t>
      </w:r>
      <w:r>
        <w:rPr>
          <w:rFonts w:ascii="Times New Roman" w:hAnsi="Times New Roman"/>
          <w:i/>
          <w:sz w:val="20"/>
        </w:rPr>
        <w:t>www.cyclerion.com</w:t>
      </w:r>
      <w:r>
        <w:rPr>
          <w:rFonts w:ascii="Times New Roman" w:hAnsi="Times New Roman"/>
          <w:sz w:val="20"/>
        </w:rPr>
        <w:t xml:space="preserve">. Cyclerion expects that any amendment to the code, or any waivers of its requirements, which apply to Cyclerion’s Chief Executive Officer or President, Chief Financial Officer, Chief Accounting Officer, or Corporate Controller, if any, will be disclosed on Cyclerion’s website. </w:t>
      </w:r>
    </w:p>
    <w:p>
      <w:pPr>
        <w:pStyle w:val="TextBody"/>
        <w:bidi w:val="0"/>
        <w:spacing w:before="240" w:after="0"/>
        <w:jc w:val="left"/>
        <w:rPr>
          <w:rFonts w:ascii="Times New Roman" w:hAnsi="Times New Roman"/>
          <w:sz w:val="20"/>
        </w:rPr>
      </w:pPr>
      <w:r>
        <w:rPr>
          <w:rFonts w:ascii="Times New Roman" w:hAnsi="Times New Roman"/>
          <w:sz w:val="20"/>
        </w:rPr>
        <w:t xml:space="preserve">Cyclerion has adopted an Insider Trading Prevention Policy that applies to all of Cyclerion’s employees, officers and directors, including its Chief Executive Officer and other executive officers, which prohibits such individuals from purchasing financial instruments, or otherwise engaging in transactions, that hedge or offset, or are designed to hedge or offset, any decrease in market value of Cyclerion’s common stock, such as prepaid variable forward contracts, equity swaps, collars, forward sale contracts and exchange funds. Cyclerion’s Insider Trading Prevention Policy also prohibits Cyclerion from transacting in its securities unless in compliance with applicable U.S. securities laws, rules and regulations and applicable stock exchange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Cyclerion’s insider trading compliance officer, as designated by the Cyclerion Board, a committee thereof or an executive officer of Cyclerion (the “Compliance Officer”) assists with implementing, interpreting and enforcing Cyclerion’s Insider Trading Prevention Policy, pre-clearing trading activities of certain people, and pre-approving any 10b5-1 plans; provided that if the designated Compliance Officer’s service with Cyclerion is terminated, or no one else has been designated as a Compliance Officer by the Cyclerion Board, a committee thereof or an executive officer of Cyclerion, then Cyclerion’s outside general counsel will be deemed to be the Compliance Officer for the purposes of Cyclerion’s Insider Trading Prevention Policy. Cyclerion’s Insider Trading Prevention Policy is included as Exhibit 19 to Cyclerion’s Annual Report on Form 10-K for the year ended December 31, 2025, filed with the SEC on March 30, 2026. Cyclerion will furnish to any person without charge, upon written request, a copy of Cyclerion’s Insider Trading Prevention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Cyclerion Board has adopted a Clawback Policy that applies to Executive Officers (as defined in the Clawback Policy). The Clawback Policy is included as Exhibit 97.1 to Cyclerion’s Annual Report on Form 10-K for the year ended December 31, 2025, filed with the SEC on March 30, 2026. Cyclerion will furnish to any person without charge, upon written request, a copy of the Clawback Policy and requests may be directed to Cyclerion’s secretary at its principal executive offices.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11069_11"/>
      <w:bookmarkEnd w:id="13"/>
      <w:r>
        <w:rPr>
          <w:rFonts w:ascii="Times New Roman" w:hAnsi="Times New Roman"/>
          <w:b/>
          <w:sz w:val="20"/>
        </w:rPr>
        <w:t xml:space="preserve">CYCLERION EXECUTIVE COMPENSATION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As a smaller reporting company,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Compensation Discussion and Analysis, and provide information relating to the ratio of total compensation of our Chief Executive Officer or President to the median of the annual total compensation of all of our employees.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named executive officers with respect to the years ended December 31, 2025 and December 31, 2024. Regina M. Graul, Ph.D., our President and Chief Executive Officer, joined the Company on December 1, 2023 and Rhonda M. Chicko, a consultant who serves as our Chief Financial Officer, commenced services to the Company in January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5"/>
        <w:gridCol w:w="120"/>
        <w:gridCol w:w="60"/>
        <w:gridCol w:w="500"/>
        <w:gridCol w:w="60"/>
        <w:gridCol w:w="120"/>
        <w:gridCol w:w="60"/>
        <w:gridCol w:w="800"/>
        <w:gridCol w:w="60"/>
        <w:gridCol w:w="120"/>
        <w:gridCol w:w="60"/>
        <w:gridCol w:w="800"/>
        <w:gridCol w:w="60"/>
        <w:gridCol w:w="120"/>
        <w:gridCol w:w="60"/>
        <w:gridCol w:w="800"/>
        <w:gridCol w:w="60"/>
        <w:gridCol w:w="120"/>
        <w:gridCol w:w="200"/>
        <w:gridCol w:w="870"/>
        <w:gridCol w:w="60"/>
        <w:gridCol w:w="120"/>
        <w:gridCol w:w="85"/>
        <w:gridCol w:w="970"/>
        <w:gridCol w:w="60"/>
        <w:gridCol w:w="120"/>
        <w:gridCol w:w="60"/>
        <w:gridCol w:w="800"/>
        <w:gridCol w:w="75"/>
      </w:tblGrid>
      <w:tr>
        <w:trPr/>
        <w:tc>
          <w:tcPr>
            <w:tcW w:w="2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05"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Salary</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Bonus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Severance and</w:t>
            </w:r>
          </w:p>
          <w:p>
            <w:pPr>
              <w:pStyle w:val="TableContents"/>
              <w:bidi w:val="0"/>
              <w:spacing w:before="0" w:after="0"/>
              <w:jc w:val="center"/>
              <w:rPr>
                <w:rFonts w:ascii="Times New Roman" w:hAnsi="Times New Roman"/>
                <w:b/>
                <w:sz w:val="16"/>
              </w:rPr>
            </w:pPr>
            <w:r>
              <w:rPr>
                <w:rFonts w:ascii="Times New Roman" w:hAnsi="Times New Roman"/>
                <w:b/>
                <w:sz w:val="16"/>
              </w:rPr>
              <w:t>Separation</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All Other</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572,153</w:t>
            </w:r>
          </w:p>
        </w:tc>
        <w:tc>
          <w:tcPr>
            <w:tcW w:w="75" w:type="dxa"/>
            <w:tcBorders/>
            <w:shd w:fill="CCEEFF" w:val="clear"/>
            <w:vAlign w:val="center"/>
          </w:tcPr>
          <w:p>
            <w:pPr>
              <w:pStyle w:val="TableContents"/>
              <w:bidi w:val="0"/>
              <w:spacing w:before="0" w:after="283"/>
              <w:jc w:val="left"/>
              <w:rPr/>
            </w:pPr>
            <w:r>
              <w:rPr/>
              <w:t> </w:t>
            </w:r>
          </w:p>
        </w:tc>
      </w:tr>
      <w:tr>
        <w:trPr/>
        <w:tc>
          <w:tcPr>
            <w:tcW w:w="28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Executive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323,665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35,327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874,823</w:t>
            </w:r>
          </w:p>
        </w:tc>
        <w:tc>
          <w:tcPr>
            <w:tcW w:w="75" w:type="dxa"/>
            <w:tcBorders/>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Rhonda M. Chicko (4)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355,425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408,978</w:t>
            </w:r>
          </w:p>
        </w:tc>
        <w:tc>
          <w:tcPr>
            <w:tcW w:w="75" w:type="dxa"/>
            <w:tcBorders/>
            <w:shd w:fill="CCEEFF" w:val="clear"/>
            <w:vAlign w:val="center"/>
          </w:tcPr>
          <w:p>
            <w:pPr>
              <w:pStyle w:val="TableContents"/>
              <w:bidi w:val="0"/>
              <w:spacing w:before="0" w:after="283"/>
              <w:jc w:val="left"/>
              <w:rPr/>
            </w:pPr>
            <w:r>
              <w:rPr/>
              <w:t> </w:t>
            </w:r>
          </w:p>
        </w:tc>
      </w:tr>
      <w:tr>
        <w:trPr/>
        <w:tc>
          <w:tcPr>
            <w:tcW w:w="28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 and Corporate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249,900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305"/>
        <w:gridCol w:w="4775"/>
      </w:tblGrid>
      <w:tr>
        <w:trPr/>
        <w:tc>
          <w:tcPr>
            <w:tcW w:w="305" w:type="dxa"/>
            <w:tcBorders/>
            <w:vAlign w:val="center"/>
          </w:tcPr>
          <w:p>
            <w:pPr>
              <w:pStyle w:val="TableContents"/>
              <w:bidi w:val="0"/>
              <w:spacing w:before="0" w:after="283"/>
              <w:jc w:val="left"/>
              <w:rPr/>
            </w:pPr>
            <w:r>
              <w:rPr/>
              <w:t>(1)</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cash bonuses paid to Dr. Graul in 2024 and 2025.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(i) the fair value of a stock option award on the date of grant issued in 2024 and 2025 calculated in accordance with the provisions of Financial Accounting Standards Board Accounting Standard Codification Topic 718, Compensation—Stock Compensation, and (ii) the value of restricted stock awards based on the market value of the Company’s Common Stock on the date of grant in 2024. Each of the option grant and stock awards vest over a four-year period. For a discussion of the assumptions used in the valuation of awards, see Note 7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amounts for reimbursement for medical insurance premiums, the employer contribution to the Company’s 401(k) plan for Dr. Graul and a work from home stipend. </w:t>
            </w:r>
          </w:p>
        </w:tc>
      </w:tr>
    </w:tbl>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Chicko currently serves as a consultant to the Company and does not receive employee benefits.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of our Board of Directors determines our executives’ compensation and determines the compensation of our named executive officers. For 2025, our Compensation Committee reviewed and discussed management’s proposed compensation. The three primary elements of our executive officer compensation program for Dr. Graul, our President and Chief Executive Officer, are annual base salary, non-equity incentive plan compensation, and long-term equity incentive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Annual Base Salary and Employment Arrangements </w:t>
      </w:r>
    </w:p>
    <w:p>
      <w:pPr>
        <w:pStyle w:val="TextBody"/>
        <w:bidi w:val="0"/>
        <w:spacing w:before="120" w:after="0"/>
        <w:jc w:val="left"/>
        <w:rPr>
          <w:rFonts w:ascii="Times New Roman" w:hAnsi="Times New Roman"/>
          <w:sz w:val="20"/>
        </w:rPr>
      </w:pPr>
      <w:r>
        <w:rPr>
          <w:rFonts w:ascii="Times New Roman" w:hAnsi="Times New Roman"/>
          <w:sz w:val="20"/>
        </w:rPr>
        <w:t>Dr. Graul joined the Company and became President on December 1, 2023. Her base salary was initially set at $372,000 per year and increased in August 2024 to $420,000 per year. She received a one-time cash bonus of $75,000 in January 2024 and a one-time cash bonus of $50,000 in December 2024 and a one-time cash bonus of $20,000 in January 2025 and $80,000 in October 2025. In the event that Dr. Graul’s employment is terminated by the Company without “cause” (as defined in her offer letter, as amended), Dr. Graul is entitled to nine months base salary, twelve months of health insurance premiums, and any Company equity or equity-based awards held shall immediately accelerate and become fully vested and exercisable. Ms. Graul is also entitled to a bonus of up to $150,000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hAnsi="Times New Roman"/>
          <w:sz w:val="20"/>
          <w:u w:val="single"/>
        </w:rPr>
        <w:t>Change of Control</w:t>
      </w:r>
      <w:r>
        <w:rPr>
          <w:rFonts w:ascii="Times New Roman" w:hAnsi="Times New Roman"/>
          <w:sz w:val="20"/>
        </w:rPr>
        <w:t xml:space="preserve">”)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Ms. Chicko joined the Company in January 2024 as our Chief Financial Officer. Ms. Chicko performs her services on a part-time basis as an independent consultant and is compensated on an hourly basis for her services. In August 2025, Ms. Chicko received a stock option to purchase up to 25,000 shares, subject to certain vesting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base cash compensation of our named executive officers have been determined and approved (and are periodically reviewed) by our Compensation Committee in order to compensate our named executive officers for the satisfactory performance of duties to the Company. For Ms. Graul, annual base salary is intended to provide a fixed component of compensation, reflecting her skill set, experience, roles and responsibilities. Cash compensation for our named executive officers have been set at levels deemed necessary to attract and retain individuals with superior talent and are in line with cash compensation for similar roles at our peer group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Grants to Dr. Graul </w:t>
      </w:r>
    </w:p>
    <w:p>
      <w:pPr>
        <w:pStyle w:val="TextBody"/>
        <w:bidi w:val="0"/>
        <w:spacing w:before="120" w:after="0"/>
        <w:jc w:val="left"/>
        <w:rPr>
          <w:rFonts w:ascii="Times New Roman" w:hAnsi="Times New Roman"/>
          <w:sz w:val="20"/>
        </w:rPr>
      </w:pPr>
      <w:r>
        <w:rPr>
          <w:rFonts w:ascii="Times New Roman" w:hAnsi="Times New Roman"/>
          <w:sz w:val="20"/>
        </w:rPr>
        <w:t xml:space="preserve">Dr. Graul was granted 50,000 shares of restricted stock of the Company under the Company’s 2019 Equity Plan, pursuant to the terms and conditions of the Company’s standard form of restricted stock agreement (the “Initial Restricted Stock Grant”). The shares of the Initial Restricted Stock Grant vest based on her continued employment by the Company on each vest date: 10,000 shares of the Initial Restricted Stock Grant vested on December 1, 2023, and an additional 833 shares of the Initial Restricted Stock Grant vest on the first day of each subsequent month, for forty-seven (47) successive months, with the remaining 849 shares of the Initial Restricted Stock Grant vesting on December 1, 2027, subject to continued service through each such vesting date. Pursuant to the Company’s 2019 Equity Plan, the Compensation Committee may accelerate the vesting of all unvested restricted shares at its option.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January 1, 2024, Dr. Graul was granted an additional 50,000 shares of restricted stock of the Company under the Company’s 2019 Equity Plan, pursuant to the terms and conditions of the Company’s standard form of restricted stock agreement (the “Second Restricted Stock Grant”). The shares issued under the Second Restricted Stock Grant vest based on Dr. Graul’s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vest on January 1, 2028, subject to continued service through each such vesting date. Pursuant to the Company’s 2019 Equity Plan, the Compensation Committee may accelerate the vesting of all unvested restricted shares at its option. </w:t>
      </w:r>
    </w:p>
    <w:p>
      <w:pPr>
        <w:pStyle w:val="TextBody"/>
        <w:bidi w:val="0"/>
        <w:spacing w:before="360" w:after="0"/>
        <w:jc w:val="left"/>
        <w:rPr>
          <w:rFonts w:ascii="Times New Roman" w:hAnsi="Times New Roman"/>
          <w:b/>
          <w:sz w:val="20"/>
        </w:rPr>
      </w:pPr>
      <w:r>
        <w:rPr>
          <w:rFonts w:ascii="Times New Roman" w:hAnsi="Times New Roman"/>
          <w:b/>
          <w:sz w:val="20"/>
        </w:rPr>
        <w:t xml:space="preserve">Other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Our equity-based incentive awards granted to our named executive officers are designed to align the interests of our named executive officers with those of our shareholders. Vesting of equity awards is generally tied to each officer’s continuous service with us and serves as an additional incentive measure. Our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are awarded an initial new hire grant upon commencement of employment and are typically awarded annual grants in line with the practice of our peer group. Additional grants may occur periodically in order to specifically incentivize executives with respect to achieving certain corporate goals or to reward executives for exceptional performance. We generally avoid granting stock options, stock appreciation rights or similar option-like instruments in relation to the disclosure of material non-public information except to new hires or in connection with the promotion of any employee to a new position. No option was granted within four business days before and one business day after the filing of a periodic report or the filing of furnishing of a current report on Form 8-K that contains material nonpublic information (other than disclosure of a material new option award grant under Item 5.02(e) of Form 8-K).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December 31, 2025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2135"/>
        <w:gridCol w:w="120"/>
        <w:gridCol w:w="105"/>
        <w:gridCol w:w="1190"/>
        <w:gridCol w:w="70"/>
        <w:gridCol w:w="140"/>
        <w:gridCol w:w="125"/>
        <w:gridCol w:w="1170"/>
        <w:gridCol w:w="70"/>
        <w:gridCol w:w="140"/>
        <w:gridCol w:w="70"/>
        <w:gridCol w:w="1745"/>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25" w:type="dxa"/>
            <w:gridSpan w:val="10"/>
            <w:tcBorders/>
            <w:vAlign w:val="center"/>
          </w:tcPr>
          <w:p>
            <w:pPr>
              <w:pStyle w:val="TableContents"/>
              <w:bidi w:val="0"/>
              <w:spacing w:before="0" w:after="283"/>
              <w:jc w:val="center"/>
              <w:rPr>
                <w:b/>
              </w:rPr>
            </w:pPr>
            <w:r>
              <w:rPr>
                <w:b/>
              </w:rPr>
              <w:t>Grants of Plan-Based Option Awards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Name of Optionee</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Exercisable Stock</w:t>
            </w:r>
          </w:p>
          <w:p>
            <w:pPr>
              <w:pStyle w:val="TableContents"/>
              <w:bidi w:val="0"/>
              <w:spacing w:before="0" w:after="0"/>
              <w:jc w:val="center"/>
              <w:rPr>
                <w:rFonts w:ascii="Times New Roman" w:hAnsi="Times New Roman"/>
                <w:b/>
                <w:sz w:val="16"/>
              </w:rPr>
            </w:pPr>
            <w:r>
              <w:rPr>
                <w:rFonts w:ascii="Times New Roman" w:hAnsi="Times New Roman"/>
                <w:b/>
                <w:sz w:val="16"/>
              </w:rPr>
              <w:t>Options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 Share Option</w:t>
            </w:r>
          </w:p>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8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Expiration</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Ph.D.(1)</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19,771</w:t>
            </w:r>
          </w:p>
        </w:tc>
        <w:tc>
          <w:tcPr>
            <w:tcW w:w="7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3.30</w:t>
            </w:r>
          </w:p>
        </w:tc>
        <w:tc>
          <w:tcPr>
            <w:tcW w:w="7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right"/>
              <w:rPr/>
            </w:pPr>
            <w:r>
              <w:rPr/>
              <w:t>August 4, 2034</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Chicko(2)</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11,370</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2.355</w:t>
            </w:r>
          </w:p>
        </w:tc>
        <w:tc>
          <w:tcPr>
            <w:tcW w:w="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August 6, 2035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incentive stock option granted in August 2024 to purchase up to 55,849 shares of the Corporation’s common stock pursuant to the 2019 Equity Incentive Plan. These 55,849 shares vest ratably in monthly installments over a 48-month period commencing August 31, 2024 and ending August 4, 2028, provided that Dr. Graul remains employed by the Company on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non-qualified stock option granted in August 2025 to purchase up to 25,000 shares of the Corporation’s common stock pursuant to the 2019 Equity Incentive Plan. This option provided for immediate vesting of 8,750 shares from with the remaining unvested shares vesting ratably over a 30 month period commencing on August 31, 2025 and ending February 29, 2028, provided that Ms. Chicko remains a consultant by the Company on such applicable vesting date, subject to certain exemptions.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3635"/>
        <w:gridCol w:w="120"/>
        <w:gridCol w:w="60"/>
        <w:gridCol w:w="1100"/>
        <w:gridCol w:w="60"/>
        <w:gridCol w:w="120"/>
        <w:gridCol w:w="128"/>
        <w:gridCol w:w="1452"/>
        <w:gridCol w:w="60"/>
        <w:gridCol w:w="120"/>
        <w:gridCol w:w="83"/>
        <w:gridCol w:w="942"/>
        <w:gridCol w:w="60"/>
        <w:gridCol w:w="120"/>
        <w:gridCol w:w="98"/>
        <w:gridCol w:w="1122"/>
        <w:gridCol w:w="7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securities</w:t>
            </w:r>
          </w:p>
          <w:p>
            <w:pPr>
              <w:pStyle w:val="TableContents"/>
              <w:bidi w:val="0"/>
              <w:spacing w:before="0" w:after="0"/>
              <w:jc w:val="center"/>
              <w:rPr>
                <w:rFonts w:ascii="Times New Roman" w:hAnsi="Times New Roman"/>
                <w:b/>
                <w:sz w:val="16"/>
              </w:rPr>
            </w:pPr>
            <w:r>
              <w:rPr>
                <w:rFonts w:ascii="Times New Roman" w:hAnsi="Times New Roman"/>
                <w:b/>
                <w:sz w:val="16"/>
              </w:rPr>
              <w:t>underlying the 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Exercise price</w:t>
            </w:r>
          </w:p>
          <w:p>
            <w:pPr>
              <w:pStyle w:val="TableContents"/>
              <w:bidi w:val="0"/>
              <w:spacing w:before="0" w:after="0"/>
              <w:jc w:val="center"/>
              <w:rPr>
                <w:rFonts w:ascii="Times New Roman" w:hAnsi="Times New Roman"/>
                <w:b/>
                <w:sz w:val="16"/>
              </w:rPr>
            </w:pPr>
            <w:r>
              <w:rPr>
                <w:rFonts w:ascii="Times New Roman" w:hAnsi="Times New Roman"/>
                <w:b/>
                <w:sz w:val="16"/>
              </w:rPr>
              <w:t>of the award</w:t>
            </w:r>
          </w:p>
          <w:p>
            <w:pPr>
              <w:pStyle w:val="TableContents"/>
              <w:bidi w:val="0"/>
              <w:spacing w:before="0" w:after="20"/>
              <w:jc w:val="center"/>
              <w:rPr>
                <w:rFonts w:ascii="Times New Roman" w:hAnsi="Times New Roman"/>
                <w:b/>
                <w:sz w:val="16"/>
              </w:rPr>
            </w:pPr>
            <w:r>
              <w:rPr>
                <w:rFonts w:ascii="Times New Roman" w:hAnsi="Times New Roman"/>
                <w:b/>
                <w:sz w:val="16"/>
              </w:rPr>
              <w:t>($/share)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 date fair</w:t>
            </w:r>
          </w:p>
          <w:p>
            <w:pPr>
              <w:pStyle w:val="TableContents"/>
              <w:bidi w:val="0"/>
              <w:spacing w:before="0" w:after="0"/>
              <w:jc w:val="center"/>
              <w:rPr>
                <w:rFonts w:ascii="Times New Roman" w:hAnsi="Times New Roman"/>
                <w:b/>
                <w:sz w:val="16"/>
              </w:rPr>
            </w:pPr>
            <w:r>
              <w:rPr>
                <w:rFonts w:ascii="Times New Roman" w:hAnsi="Times New Roman"/>
                <w:b/>
                <w:sz w:val="16"/>
              </w:rPr>
              <w:t>value of the</w:t>
            </w:r>
          </w:p>
          <w:p>
            <w:pPr>
              <w:pStyle w:val="TableContents"/>
              <w:bidi w:val="0"/>
              <w:spacing w:before="0" w:after="20"/>
              <w:jc w:val="center"/>
              <w:rPr>
                <w:rFonts w:ascii="Times New Roman" w:hAnsi="Times New Roman"/>
                <w:b/>
                <w:sz w:val="16"/>
              </w:rPr>
            </w:pPr>
            <w:r>
              <w:rPr>
                <w:rFonts w:ascii="Times New Roman" w:hAnsi="Times New Roman"/>
                <w:b/>
                <w:sz w:val="16"/>
              </w:rPr>
              <w:t>award ($/share)</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08/05/2024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55,849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2.80</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08/07/2025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2.355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2.14</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5720" w:type="dxa"/>
            <w:gridSpan w:val="16"/>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25" w:type="dxa"/>
            <w:gridSpan w:val="14"/>
            <w:tcBorders/>
            <w:vAlign w:val="center"/>
          </w:tcPr>
          <w:p>
            <w:pPr>
              <w:pStyle w:val="TableContents"/>
              <w:bidi w:val="0"/>
              <w:spacing w:before="0" w:after="283"/>
              <w:jc w:val="center"/>
              <w:rPr>
                <w:b/>
              </w:rPr>
            </w:pPr>
            <w:r>
              <w:rPr>
                <w:b/>
              </w:rPr>
              <w:t>Grants of Plan-Based Restricted Stock Awards</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b/>
              </w:rPr>
            </w:pPr>
            <w:r>
              <w:rPr>
                <w:b/>
              </w:rPr>
              <w:t>Name of Restricted Stock Recipient</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Unvested</w:t>
            </w:r>
          </w:p>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Market Value of</w:t>
            </w:r>
          </w:p>
          <w:p>
            <w:pPr>
              <w:pStyle w:val="TableContents"/>
              <w:bidi w:val="0"/>
              <w:spacing w:before="0" w:after="0"/>
              <w:jc w:val="center"/>
              <w:rPr>
                <w:rFonts w:ascii="Times New Roman" w:hAnsi="Times New Roman"/>
                <w:b/>
                <w:sz w:val="16"/>
              </w:rPr>
            </w:pPr>
            <w:r>
              <w:rPr>
                <w:rFonts w:ascii="Times New Roman" w:hAnsi="Times New Roman"/>
                <w:b/>
                <w:sz w:val="16"/>
              </w:rPr>
              <w:t>Shares of Stock</w:t>
            </w:r>
          </w:p>
          <w:p>
            <w:pPr>
              <w:pStyle w:val="TableContents"/>
              <w:bidi w:val="0"/>
              <w:spacing w:before="0" w:after="0"/>
              <w:jc w:val="center"/>
              <w:rPr>
                <w:rFonts w:ascii="Times New Roman" w:hAnsi="Times New Roman"/>
                <w:b/>
                <w:sz w:val="16"/>
              </w:rPr>
            </w:pPr>
            <w:r>
              <w:rPr>
                <w:rFonts w:ascii="Times New Roman" w:hAnsi="Times New Roman"/>
                <w:b/>
                <w:sz w:val="16"/>
              </w:rPr>
              <w:t>That Have Not</w:t>
            </w:r>
          </w:p>
          <w:p>
            <w:pPr>
              <w:pStyle w:val="TableContents"/>
              <w:bidi w:val="0"/>
              <w:spacing w:before="0" w:after="20"/>
              <w:jc w:val="center"/>
              <w:rPr>
                <w:rFonts w:ascii="Times New Roman" w:hAnsi="Times New Roman"/>
                <w:b/>
                <w:sz w:val="16"/>
              </w:rPr>
            </w:pPr>
            <w:r>
              <w:rPr>
                <w:rFonts w:ascii="Times New Roman" w:hAnsi="Times New Roman"/>
                <w:b/>
                <w:sz w:val="16"/>
              </w:rPr>
              <w:t>Yet Vested(1)</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59,151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40,849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51,878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value is based on the closing price for the Company’s Common Stock as reported by Nasdaq on December 31, 2025 of $1.27 per share.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restricted Common Stock award granted to Dr. Graul on December 1, 2023 and a second restricted Common Stock award granted on January 1, 2024 in consideration for her services as an employee of the Company. These shares of restricted Common Stock provided for immediate vesting of 10,000 shares from each award with the remaining unvested shares vesting ratably over a 48 month period from the date of grant, subject to certain exemptions.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Retirement Benefits and Other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Dr. Graul is eligible for certain benefits, including reimbursement for health insurance premiums, a work from home stipend, and certain other benefits. In addition, we maintain a 401(k) plan intended to qualify as a tax-qualified plan under Section 401 of the U.S. Internal Revenue Code of 1986, as amended, which Dr. Graul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in on the same basis as our other employees. The 401(k) plan has a 75% matching Company contribution on the first $8,000 of an employee’s annual contribution. Dr. Graul did not participate in, or otherwise receive any other benefits under any pension, retirement or deferred compensation plan sponsored by us (other than our 401(k) plan, as mentioned above) during 2025. </w:t>
      </w:r>
    </w:p>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adopted by the SEC pursuant to the Dodd-Frank Wall Street Reform and Consumer Protection Act of 2010, we are providing the following disclosure, as it applies to smaller reporting companies, regarding executive “Compensation Actually Paid” (“CAP”), as calculated under applicable SEC rules, for our principal executive officer(s) (“PEO(s)”) and our other named executive officers (“non-PEO NEOs”) and certain financial performance measures for the fiscal years ended December 31, 2025, 2024 and 2023.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CAP to our PEO(s) and the CAP to our non-PEO NEOs, we are required to make various adjustments to the total compensation amounts that have been reported in the Summary Compensation Table (“SCT”), as the SEC’s valuation methods for this section differ from those required in the SCT. Information regarding the methodology for calculating CAP to our PEO(s) and the CAP to our non-PEO NEOs, including details regarding the amounts that were deducted from, and added to, the SCT totals to arrive at the values presented for CAP, are provided in the footnotes to the table. Note that for non-PEO NEOs, compensation is reported as an average.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smaller reporting company and is not required to disclose the total shareholder return for our peer group or to disclose the company-selected measure or the tabular list of our most important financial performance measures. Information presented in this section will not be deemed to be incorporated by reference into any of our filings under the Securities Act of 1933, as amended, or the Exchange Act, except as we may specifically do so by reference to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Pay Versus Performance </w:t>
      </w:r>
    </w:p>
    <w:p>
      <w:pPr>
        <w:pStyle w:val="TextBody"/>
        <w:bidi w:val="0"/>
        <w:spacing w:before="0" w:after="0"/>
        <w:jc w:val="left"/>
        <w:rPr/>
      </w:pPr>
      <w:r>
        <w:rPr/>
        <w:t> </w:t>
      </w:r>
    </w:p>
    <w:tbl>
      <w:tblPr>
        <w:tblW w:w="10014" w:type="dxa"/>
        <w:jc w:val="left"/>
        <w:tblInd w:w="0" w:type="dxa"/>
        <w:tblLayout w:type="fixed"/>
        <w:tblCellMar>
          <w:top w:w="0" w:type="dxa"/>
          <w:left w:w="0" w:type="dxa"/>
          <w:bottom w:w="0" w:type="dxa"/>
          <w:right w:w="0" w:type="dxa"/>
        </w:tblCellMar>
      </w:tblPr>
      <w:tblGrid>
        <w:gridCol w:w="770"/>
        <w:gridCol w:w="60"/>
        <w:gridCol w:w="73"/>
        <w:gridCol w:w="982"/>
        <w:gridCol w:w="60"/>
        <w:gridCol w:w="60"/>
        <w:gridCol w:w="85"/>
        <w:gridCol w:w="970"/>
        <w:gridCol w:w="60"/>
        <w:gridCol w:w="60"/>
        <w:gridCol w:w="73"/>
        <w:gridCol w:w="982"/>
        <w:gridCol w:w="60"/>
        <w:gridCol w:w="60"/>
        <w:gridCol w:w="77"/>
        <w:gridCol w:w="978"/>
        <w:gridCol w:w="155"/>
        <w:gridCol w:w="60"/>
        <w:gridCol w:w="73"/>
        <w:gridCol w:w="982"/>
        <w:gridCol w:w="60"/>
        <w:gridCol w:w="60"/>
        <w:gridCol w:w="73"/>
        <w:gridCol w:w="982"/>
        <w:gridCol w:w="60"/>
        <w:gridCol w:w="60"/>
        <w:gridCol w:w="87"/>
        <w:gridCol w:w="818"/>
        <w:gridCol w:w="60"/>
        <w:gridCol w:w="60"/>
        <w:gridCol w:w="72"/>
        <w:gridCol w:w="772"/>
        <w:gridCol w:w="17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b/>
                <w:i/>
              </w:rPr>
            </w:pPr>
            <w:r>
              <w:rPr>
                <w:b/>
                <w:i/>
              </w:rPr>
              <w:t>(a)</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center"/>
              <w:rPr>
                <w:b/>
              </w:rPr>
            </w:pPr>
            <w:r>
              <w:rPr>
                <w:b/>
              </w:rPr>
              <w:t>(g)</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b/>
                <w:i/>
              </w:rPr>
            </w:pPr>
            <w:r>
              <w:rPr>
                <w:b/>
                <w:i/>
              </w:rPr>
              <w:t>Year(1)</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First</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First 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 Second</w:t>
            </w:r>
          </w:p>
          <w:p>
            <w:pPr>
              <w:pStyle w:val="TableContents"/>
              <w:bidi w:val="0"/>
              <w:spacing w:before="0" w:after="0"/>
              <w:jc w:val="center"/>
              <w:rPr>
                <w:rFonts w:ascii="Times New Roman" w:hAnsi="Times New Roman"/>
                <w:b/>
                <w:sz w:val="16"/>
              </w:rPr>
            </w:pPr>
            <w:r>
              <w:rPr>
                <w:rFonts w:ascii="Times New Roman" w:hAnsi="Times New Roman"/>
                <w:b/>
                <w:sz w:val="16"/>
              </w:rPr>
              <w:t>PEO</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w:t>
            </w:r>
          </w:p>
          <w:p>
            <w:pPr>
              <w:pStyle w:val="TableContents"/>
              <w:bidi w:val="0"/>
              <w:spacing w:before="0" w:after="0"/>
              <w:jc w:val="center"/>
              <w:rPr>
                <w:rFonts w:ascii="Times New Roman" w:hAnsi="Times New Roman"/>
                <w:b/>
                <w:sz w:val="16"/>
              </w:rPr>
            </w:pPr>
            <w:r>
              <w:rPr>
                <w:rFonts w:ascii="Times New Roman" w:hAnsi="Times New Roman"/>
                <w:b/>
                <w:sz w:val="16"/>
              </w:rPr>
              <w:t>for</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w:t>
            </w:r>
          </w:p>
          <w:p>
            <w:pPr>
              <w:pStyle w:val="TableContents"/>
              <w:bidi w:val="0"/>
              <w:spacing w:before="0" w:after="0"/>
              <w:jc w:val="center"/>
              <w:rPr>
                <w:rFonts w:ascii="Times New Roman" w:hAnsi="Times New Roman"/>
                <w:b/>
                <w:sz w:val="16"/>
              </w:rPr>
            </w:pPr>
            <w:r>
              <w:rPr>
                <w:rFonts w:ascii="Times New Roman" w:hAnsi="Times New Roman"/>
                <w:b/>
                <w:sz w:val="16"/>
              </w:rPr>
              <w:t>to</w:t>
            </w:r>
          </w:p>
          <w:p>
            <w:pPr>
              <w:pStyle w:val="TableContents"/>
              <w:bidi w:val="0"/>
              <w:spacing w:before="0" w:after="0"/>
              <w:jc w:val="center"/>
              <w:rPr>
                <w:rFonts w:ascii="Times New Roman" w:hAnsi="Times New Roman"/>
                <w:b/>
                <w:sz w:val="16"/>
              </w:rPr>
            </w:pPr>
            <w:r>
              <w:rPr>
                <w:rFonts w:ascii="Times New Roman" w:hAnsi="Times New Roman"/>
                <w:b/>
                <w:sz w:val="16"/>
              </w:rPr>
              <w:t>Non-PEO</w:t>
            </w:r>
          </w:p>
          <w:p>
            <w:pPr>
              <w:pStyle w:val="TableContents"/>
              <w:bidi w:val="0"/>
              <w:spacing w:before="0" w:after="0"/>
              <w:jc w:val="center"/>
              <w:rPr>
                <w:rFonts w:ascii="Times New Roman" w:hAnsi="Times New Roman"/>
                <w:b/>
                <w:sz w:val="16"/>
              </w:rPr>
            </w:pPr>
            <w:r>
              <w:rPr>
                <w:rFonts w:ascii="Times New Roman" w:hAnsi="Times New Roman"/>
                <w:b/>
                <w:sz w:val="16"/>
              </w:rPr>
              <w:t>Named</w:t>
            </w:r>
          </w:p>
          <w:p>
            <w:pPr>
              <w:pStyle w:val="TableContents"/>
              <w:bidi w:val="0"/>
              <w:spacing w:before="0" w:after="0"/>
              <w:jc w:val="center"/>
              <w:rPr>
                <w:rFonts w:ascii="Times New Roman" w:hAnsi="Times New Roman"/>
                <w:b/>
                <w:sz w:val="16"/>
              </w:rPr>
            </w:pPr>
            <w:r>
              <w:rPr>
                <w:rFonts w:ascii="Times New Roman" w:hAnsi="Times New Roman"/>
                <w:b/>
                <w:sz w:val="16"/>
              </w:rPr>
              <w:t>Executive</w:t>
            </w:r>
          </w:p>
          <w:p>
            <w:pPr>
              <w:pStyle w:val="TableContents"/>
              <w:bidi w:val="0"/>
              <w:spacing w:before="0" w:after="0"/>
              <w:jc w:val="center"/>
              <w:rPr>
                <w:rFonts w:ascii="Times New Roman" w:hAnsi="Times New Roman"/>
                <w:b/>
                <w:sz w:val="16"/>
              </w:rPr>
            </w:pPr>
            <w:r>
              <w:rPr>
                <w:rFonts w:ascii="Times New Roman" w:hAnsi="Times New Roman"/>
                <w:b/>
                <w:sz w:val="16"/>
              </w:rPr>
              <w:t>Officers</w:t>
            </w:r>
          </w:p>
          <w:p>
            <w:pPr>
              <w:pStyle w:val="TableContents"/>
              <w:bidi w:val="0"/>
              <w:spacing w:before="0" w:after="20"/>
              <w:jc w:val="center"/>
              <w:rPr>
                <w:rFonts w:ascii="Times New Roman" w:hAnsi="Times New Roman"/>
                <w:b/>
                <w:sz w:val="16"/>
              </w:rPr>
            </w:pPr>
            <w:r>
              <w:rPr>
                <w:rFonts w:ascii="Times New Roman" w:hAnsi="Times New Roman"/>
                <w:b/>
                <w:sz w:val="16"/>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Initial Fixed</w:t>
            </w:r>
          </w:p>
          <w:p>
            <w:pPr>
              <w:pStyle w:val="TableContents"/>
              <w:bidi w:val="0"/>
              <w:spacing w:before="0" w:after="0"/>
              <w:jc w:val="center"/>
              <w:rPr>
                <w:rFonts w:ascii="Times New Roman" w:hAnsi="Times New Roman"/>
                <w:b/>
                <w:sz w:val="16"/>
              </w:rPr>
            </w:pPr>
            <w:r>
              <w:rPr>
                <w:rFonts w:ascii="Times New Roman" w:hAnsi="Times New Roman"/>
                <w:b/>
                <w:sz w:val="16"/>
              </w:rPr>
              <w:t>$100</w:t>
            </w:r>
          </w:p>
          <w:p>
            <w:pPr>
              <w:pStyle w:val="TableContents"/>
              <w:bidi w:val="0"/>
              <w:spacing w:before="0" w:after="0"/>
              <w:jc w:val="center"/>
              <w:rPr>
                <w:rFonts w:ascii="Times New Roman" w:hAnsi="Times New Roman"/>
                <w:b/>
                <w:sz w:val="16"/>
              </w:rPr>
            </w:pPr>
            <w:r>
              <w:rPr>
                <w:rFonts w:ascii="Times New Roman" w:hAnsi="Times New Roman"/>
                <w:b/>
                <w:sz w:val="16"/>
              </w:rPr>
              <w:t>Investment</w:t>
            </w:r>
          </w:p>
          <w:p>
            <w:pPr>
              <w:pStyle w:val="TableContents"/>
              <w:bidi w:val="0"/>
              <w:spacing w:before="0" w:after="0"/>
              <w:jc w:val="center"/>
              <w:rPr>
                <w:rFonts w:ascii="Times New Roman" w:hAnsi="Times New Roman"/>
                <w:b/>
                <w:sz w:val="16"/>
              </w:rPr>
            </w:pPr>
            <w:r>
              <w:rPr>
                <w:rFonts w:ascii="Times New Roman" w:hAnsi="Times New Roman"/>
                <w:b/>
                <w:sz w:val="16"/>
              </w:rPr>
              <w:t>Based on</w:t>
            </w:r>
          </w:p>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w:t>
            </w:r>
          </w:p>
          <w:p>
            <w:pPr>
              <w:pStyle w:val="TableContents"/>
              <w:bidi w:val="0"/>
              <w:spacing w:before="0" w:after="0"/>
              <w:jc w:val="center"/>
              <w:rPr>
                <w:rFonts w:ascii="Times New Roman" w:hAnsi="Times New Roman"/>
                <w:b/>
                <w:sz w:val="16"/>
              </w:rPr>
            </w:pPr>
            <w:r>
              <w:rPr>
                <w:rFonts w:ascii="Times New Roman" w:hAnsi="Times New Roman"/>
                <w:b/>
                <w:sz w:val="16"/>
              </w:rPr>
              <w:t>Return</w:t>
            </w:r>
          </w:p>
          <w:p>
            <w:pPr>
              <w:pStyle w:val="TableContents"/>
              <w:bidi w:val="0"/>
              <w:spacing w:before="0" w:after="20"/>
              <w:jc w:val="center"/>
              <w:rPr>
                <w:rFonts w:ascii="Times New Roman" w:hAnsi="Times New Roman"/>
                <w:b/>
                <w:sz w:val="16"/>
              </w:rPr>
            </w:pPr>
            <w:r>
              <w:rPr>
                <w:rFonts w:ascii="Times New Roman" w:hAnsi="Times New Roman"/>
                <w:b/>
                <w:sz w:val="16"/>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w:t>
            </w:r>
          </w:p>
          <w:p>
            <w:pPr>
              <w:pStyle w:val="TableContents"/>
              <w:bidi w:val="0"/>
              <w:spacing w:before="0" w:after="0"/>
              <w:jc w:val="center"/>
              <w:rPr>
                <w:rFonts w:ascii="Times New Roman" w:hAnsi="Times New Roman"/>
                <w:b/>
                <w:sz w:val="16"/>
              </w:rPr>
            </w:pPr>
            <w:r>
              <w:rPr>
                <w:rFonts w:ascii="Times New Roman" w:hAnsi="Times New Roman"/>
                <w:b/>
                <w:sz w:val="16"/>
              </w:rPr>
              <w:t>(Loss)</w:t>
            </w:r>
          </w:p>
          <w:p>
            <w:pPr>
              <w:pStyle w:val="TableContents"/>
              <w:bidi w:val="0"/>
              <w:spacing w:before="0" w:after="0"/>
              <w:jc w:val="center"/>
              <w:rPr>
                <w:rFonts w:ascii="Times New Roman" w:hAnsi="Times New Roman"/>
                <w:b/>
                <w:sz w:val="16"/>
              </w:rPr>
            </w:pPr>
            <w:r>
              <w:rPr>
                <w:rFonts w:ascii="Times New Roman" w:hAnsi="Times New Roman"/>
                <w:b/>
                <w:sz w:val="16"/>
              </w:rPr>
              <w:t>(in</w:t>
            </w:r>
          </w:p>
          <w:p>
            <w:pPr>
              <w:pStyle w:val="TableContents"/>
              <w:bidi w:val="0"/>
              <w:spacing w:before="0" w:after="0"/>
              <w:jc w:val="center"/>
              <w:rPr>
                <w:rFonts w:ascii="Times New Roman" w:hAnsi="Times New Roman"/>
                <w:b/>
                <w:sz w:val="16"/>
              </w:rPr>
            </w:pPr>
            <w:r>
              <w:rPr>
                <w:rFonts w:ascii="Times New Roman" w:hAnsi="Times New Roman"/>
                <w:b/>
                <w:sz w:val="16"/>
              </w:rPr>
              <w:t>Thousands)</w:t>
            </w:r>
          </w:p>
          <w:p>
            <w:pPr>
              <w:pStyle w:val="TableContents"/>
              <w:bidi w:val="0"/>
              <w:spacing w:before="0" w:after="20"/>
              <w:jc w:val="center"/>
              <w:rPr>
                <w:rFonts w:ascii="Times New Roman" w:hAnsi="Times New Roman"/>
                <w:b/>
                <w:sz w:val="16"/>
              </w:rPr>
            </w:pPr>
            <w:r>
              <w:rPr>
                <w:rFonts w:ascii="Times New Roman" w:hAnsi="Times New Roman"/>
                <w:b/>
                <w:sz w:val="16"/>
              </w:rPr>
              <w:t>($)(5)</w:t>
            </w:r>
          </w:p>
        </w:tc>
        <w:tc>
          <w:tcPr>
            <w:tcW w:w="17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443,717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408,978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369,796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(3,528</w:t>
            </w:r>
          </w:p>
        </w:tc>
        <w:tc>
          <w:tcPr>
            <w:tcW w:w="170"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2024</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874,823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857,815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249,900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82,954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181,931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(62,468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559,278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383,419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25.53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(5,263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r>
              <w:rPr/>
              <w:t>(3)</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Deductions from, and additions to, total compensation as reported in the SCT by year to calculate CAP include: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PEO </w:t>
      </w:r>
    </w:p>
    <w:p>
      <w:pPr>
        <w:pStyle w:val="TextBody"/>
        <w:bidi w:val="0"/>
        <w:spacing w:before="0" w:after="0"/>
        <w:jc w:val="left"/>
        <w:rPr/>
      </w:pPr>
      <w:r>
        <w:rPr/>
        <w:t> </w:t>
      </w:r>
    </w:p>
    <w:tbl>
      <w:tblPr>
        <w:tblW w:w="9649" w:type="dxa"/>
        <w:jc w:val="left"/>
        <w:tblInd w:w="0" w:type="dxa"/>
        <w:tblLayout w:type="fixed"/>
        <w:tblCellMar>
          <w:top w:w="0" w:type="dxa"/>
          <w:left w:w="0" w:type="dxa"/>
          <w:bottom w:w="0" w:type="dxa"/>
          <w:right w:w="0" w:type="dxa"/>
        </w:tblCellMar>
      </w:tblPr>
      <w:tblGrid>
        <w:gridCol w:w="828"/>
        <w:gridCol w:w="187"/>
        <w:gridCol w:w="969"/>
        <w:gridCol w:w="60"/>
        <w:gridCol w:w="530"/>
        <w:gridCol w:w="60"/>
        <w:gridCol w:w="875"/>
        <w:gridCol w:w="60"/>
        <w:gridCol w:w="950"/>
        <w:gridCol w:w="60"/>
        <w:gridCol w:w="800"/>
        <w:gridCol w:w="60"/>
        <w:gridCol w:w="950"/>
        <w:gridCol w:w="60"/>
        <w:gridCol w:w="680"/>
        <w:gridCol w:w="60"/>
        <w:gridCol w:w="830"/>
        <w:gridCol w:w="60"/>
        <w:gridCol w:w="620"/>
        <w:gridCol w:w="60"/>
        <w:gridCol w:w="890"/>
      </w:tblGrid>
      <w:tr>
        <w:trPr/>
        <w:tc>
          <w:tcPr>
            <w:tcW w:w="8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828" w:type="dxa"/>
            <w:tcBorders/>
            <w:vAlign w:val="center"/>
          </w:tcPr>
          <w:p>
            <w:pPr>
              <w:pStyle w:val="TableContents"/>
              <w:bidi w:val="0"/>
              <w:spacing w:before="0" w:after="283"/>
              <w:jc w:val="left"/>
              <w:rPr>
                <w:b/>
              </w:rPr>
            </w:pPr>
            <w:r>
              <w:rPr>
                <w:b/>
              </w:rPr>
              <w:t>PEO</w:t>
            </w:r>
          </w:p>
        </w:tc>
        <w:tc>
          <w:tcPr>
            <w:tcW w:w="187"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Total</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Exclusion of</w:t>
            </w:r>
          </w:p>
          <w:p>
            <w:pPr>
              <w:pStyle w:val="TableContents"/>
              <w:bidi w:val="0"/>
              <w:spacing w:before="0" w:after="0"/>
              <w:jc w:val="center"/>
              <w:rPr>
                <w:rFonts w:ascii="Times New Roman" w:hAnsi="Times New Roman"/>
                <w:b/>
                <w:sz w:val="14"/>
              </w:rPr>
            </w:pPr>
            <w:r>
              <w:rPr>
                <w:rFonts w:ascii="Times New Roman" w:hAnsi="Times New Roman"/>
                <w:b/>
                <w:sz w:val="14"/>
              </w:rPr>
              <w:t>Stock</w:t>
              <w:br/>
              <w:t>Awards</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Option</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Summary</w:t>
            </w:r>
          </w:p>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Table</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Year-End</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of 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br/>
              <w:t>Year</w:t>
            </w:r>
          </w:p>
          <w:p>
            <w:pPr>
              <w:pStyle w:val="TableContents"/>
              <w:bidi w:val="0"/>
              <w:spacing w:before="0" w:after="0"/>
              <w:jc w:val="center"/>
              <w:rPr>
                <w:rFonts w:ascii="Times New Roman" w:hAnsi="Times New Roman"/>
                <w:b/>
                <w:sz w:val="14"/>
              </w:rPr>
            </w:pPr>
            <w:r>
              <w:rPr>
                <w:rFonts w:ascii="Times New Roman" w:hAnsi="Times New Roman"/>
                <w:b/>
                <w:sz w:val="14"/>
              </w:rPr>
              <w:t>That</w:t>
            </w:r>
          </w:p>
          <w:p>
            <w:pPr>
              <w:pStyle w:val="TableContents"/>
              <w:bidi w:val="0"/>
              <w:spacing w:before="0" w:after="0"/>
              <w:jc w:val="center"/>
              <w:rPr>
                <w:rFonts w:ascii="Times New Roman" w:hAnsi="Times New Roman"/>
                <w:b/>
                <w:sz w:val="14"/>
              </w:rPr>
            </w:pPr>
            <w:r>
              <w:rPr>
                <w:rFonts w:ascii="Times New Roman" w:hAnsi="Times New Roman"/>
                <w:b/>
                <w:sz w:val="14"/>
              </w:rPr>
              <w:t>Remained</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r>
          </w:p>
          <w:p>
            <w:pPr>
              <w:pStyle w:val="TableContents"/>
              <w:bidi w:val="0"/>
              <w:spacing w:before="0" w:after="0"/>
              <w:jc w:val="center"/>
              <w:rPr>
                <w:rFonts w:ascii="Times New Roman" w:hAnsi="Times New Roman"/>
                <w:b/>
                <w:sz w:val="14"/>
              </w:rPr>
            </w:pPr>
            <w:r>
              <w:rPr>
                <w:rFonts w:ascii="Times New Roman" w:hAnsi="Times New Roman"/>
                <w:b/>
                <w:sz w:val="14"/>
              </w:rPr>
              <w:t>Unvested</w:t>
              <w:br/>
              <w:t>as</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Last Day</w:t>
              <w:br/>
              <w:t>of</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br/>
              <w:t>of</w:t>
            </w:r>
          </w:p>
          <w:p>
            <w:pPr>
              <w:pStyle w:val="TableContents"/>
              <w:bidi w:val="0"/>
              <w:spacing w:before="0" w:after="0"/>
              <w:jc w:val="center"/>
              <w:rPr>
                <w:rFonts w:ascii="Times New Roman" w:hAnsi="Times New Roman"/>
                <w:b/>
                <w:sz w:val="14"/>
              </w:rPr>
            </w:pPr>
            <w:r>
              <w:rPr>
                <w:rFonts w:ascii="Times New Roman" w:hAnsi="Times New Roman"/>
                <w:b/>
                <w:sz w:val="14"/>
              </w:rPr>
              <w:t>Change In</w:t>
            </w:r>
          </w:p>
          <w:p>
            <w:pPr>
              <w:pStyle w:val="TableContents"/>
              <w:bidi w:val="0"/>
              <w:spacing w:before="0" w:after="0"/>
              <w:jc w:val="center"/>
              <w:rPr>
                <w:rFonts w:ascii="Times New Roman" w:hAnsi="Times New Roman"/>
                <w:b/>
                <w:sz w:val="14"/>
              </w:rPr>
            </w:pPr>
            <w:r>
              <w:rPr>
                <w:rFonts w:ascii="Times New Roman" w:hAnsi="Times New Roman"/>
                <w:b/>
                <w:sz w:val="14"/>
              </w:rPr>
              <w:t>Fair Value</w:t>
            </w:r>
          </w:p>
          <w:p>
            <w:pPr>
              <w:pStyle w:val="TableContents"/>
              <w:bidi w:val="0"/>
              <w:spacing w:before="0" w:after="0"/>
              <w:jc w:val="center"/>
              <w:rPr>
                <w:rFonts w:ascii="Times New Roman" w:hAnsi="Times New Roman"/>
                <w:b/>
                <w:sz w:val="14"/>
              </w:rPr>
            </w:pPr>
            <w:r>
              <w:rPr>
                <w:rFonts w:ascii="Times New Roman" w:hAnsi="Times New Roman"/>
                <w:b/>
                <w:sz w:val="14"/>
              </w:rPr>
              <w:t>from</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Prior Year</w:t>
              <w:br/>
              <w:t>to</w:t>
            </w:r>
          </w:p>
          <w:p>
            <w:pPr>
              <w:pStyle w:val="TableContents"/>
              <w:bidi w:val="0"/>
              <w:spacing w:before="0" w:after="0"/>
              <w:jc w:val="center"/>
              <w:rPr>
                <w:rFonts w:ascii="Times New Roman" w:hAnsi="Times New Roman"/>
                <w:b/>
                <w:sz w:val="14"/>
              </w:rPr>
            </w:pPr>
            <w:r>
              <w:rPr>
                <w:rFonts w:ascii="Times New Roman" w:hAnsi="Times New Roman"/>
                <w:b/>
                <w:sz w:val="14"/>
              </w:rPr>
              <w:t>Last Day of</w:t>
            </w:r>
          </w:p>
          <w:p>
            <w:pPr>
              <w:pStyle w:val="TableContents"/>
              <w:bidi w:val="0"/>
              <w:spacing w:before="0" w:after="0"/>
              <w:jc w:val="center"/>
              <w:rPr>
                <w:rFonts w:ascii="Times New Roman" w:hAnsi="Times New Roman"/>
                <w:b/>
                <w:sz w:val="14"/>
              </w:rPr>
            </w:pPr>
            <w:r>
              <w:rPr>
                <w:rFonts w:ascii="Times New Roman" w:hAnsi="Times New Roman"/>
                <w:b/>
                <w:sz w:val="14"/>
              </w:rPr>
              <w:t>Year of</w:t>
            </w:r>
          </w:p>
          <w:p>
            <w:pPr>
              <w:pStyle w:val="TableContents"/>
              <w:bidi w:val="0"/>
              <w:spacing w:before="0" w:after="0"/>
              <w:jc w:val="center"/>
              <w:rPr>
                <w:rFonts w:ascii="Times New Roman" w:hAnsi="Times New Roman"/>
                <w:b/>
                <w:sz w:val="14"/>
              </w:rPr>
            </w:pPr>
            <w:r>
              <w:rPr>
                <w:rFonts w:ascii="Times New Roman" w:hAnsi="Times New Roman"/>
                <w:b/>
                <w:sz w:val="14"/>
              </w:rPr>
              <w:t>Outstanding</w:t>
            </w:r>
          </w:p>
          <w:p>
            <w:pPr>
              <w:pStyle w:val="TableContents"/>
              <w:bidi w:val="0"/>
              <w:spacing w:before="0" w:after="0"/>
              <w:jc w:val="center"/>
              <w:rPr>
                <w:rFonts w:ascii="Times New Roman" w:hAnsi="Times New Roman"/>
                <w:b/>
                <w:sz w:val="14"/>
              </w:rPr>
            </w:pPr>
            <w:r>
              <w:rPr>
                <w:rFonts w:ascii="Times New Roman" w:hAnsi="Times New Roman"/>
                <w:b/>
                <w:sz w:val="14"/>
              </w:rPr>
              <w:t>and</w:t>
              <w:b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 in</w:t>
            </w:r>
          </w:p>
          <w:p>
            <w:pPr>
              <w:pStyle w:val="TableContents"/>
              <w:bidi w:val="0"/>
              <w:spacing w:before="0" w:after="0"/>
              <w:jc w:val="center"/>
              <w:rPr>
                <w:rFonts w:ascii="Times New Roman" w:hAnsi="Times New Roman"/>
                <w:b/>
                <w:sz w:val="14"/>
              </w:rPr>
            </w:pPr>
            <w:r>
              <w:rPr>
                <w:rFonts w:ascii="Times New Roman" w:hAnsi="Times New Roman"/>
                <w:b/>
                <w:sz w:val="14"/>
              </w:rPr>
              <w:t>Any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for 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Vesting</w:t>
            </w:r>
          </w:p>
          <w:p>
            <w:pPr>
              <w:pStyle w:val="TableContents"/>
              <w:bidi w:val="0"/>
              <w:spacing w:before="0" w:after="0"/>
              <w:jc w:val="center"/>
              <w:rPr>
                <w:rFonts w:ascii="Times New Roman" w:hAnsi="Times New Roman"/>
                <w:b/>
                <w:sz w:val="14"/>
              </w:rPr>
            </w:pPr>
            <w:r>
              <w:rPr>
                <w:rFonts w:ascii="Times New Roman" w:hAnsi="Times New Roman"/>
                <w:b/>
                <w:sz w:val="14"/>
              </w:rPr>
              <w:t>Date</w:t>
            </w:r>
          </w:p>
          <w:p>
            <w:pPr>
              <w:pStyle w:val="TableContents"/>
              <w:bidi w:val="0"/>
              <w:spacing w:before="0" w:after="0"/>
              <w:jc w:val="center"/>
              <w:rPr>
                <w:rFonts w:ascii="Times New Roman" w:hAnsi="Times New Roman"/>
                <w:b/>
                <w:sz w:val="14"/>
              </w:rPr>
            </w:pPr>
            <w:r>
              <w:rPr>
                <w:rFonts w:ascii="Times New Roman" w:hAnsi="Times New Roman"/>
                <w:b/>
                <w:sz w:val="14"/>
              </w:rPr>
              <w:t>Fair</w:t>
            </w:r>
          </w:p>
          <w:p>
            <w:pPr>
              <w:pStyle w:val="TableContents"/>
              <w:bidi w:val="0"/>
              <w:spacing w:before="0" w:after="0"/>
              <w:jc w:val="center"/>
              <w:rPr>
                <w:rFonts w:ascii="Times New Roman" w:hAnsi="Times New Roman"/>
                <w:b/>
                <w:sz w:val="14"/>
              </w:rPr>
            </w:pPr>
            <w:r>
              <w:rPr>
                <w:rFonts w:ascii="Times New Roman" w:hAnsi="Times New Roman"/>
                <w:b/>
                <w:sz w:val="14"/>
              </w:rPr>
              <w:t>Value</w:t>
              <w:br/>
              <w:t>of</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Inclusion</w:t>
            </w:r>
          </w:p>
          <w:p>
            <w:pPr>
              <w:pStyle w:val="TableContents"/>
              <w:bidi w:val="0"/>
              <w:spacing w:before="0" w:after="0"/>
              <w:jc w:val="center"/>
              <w:rPr>
                <w:rFonts w:ascii="Times New Roman" w:hAnsi="Times New Roman"/>
                <w:b/>
                <w:sz w:val="14"/>
              </w:rPr>
            </w:pPr>
            <w:r>
              <w:rPr>
                <w:rFonts w:ascii="Times New Roman" w:hAnsi="Times New Roman"/>
                <w:b/>
                <w:sz w:val="14"/>
              </w:rPr>
              <w:t>of</w:t>
              <w:br/>
              <w:t>Change</w:t>
            </w:r>
          </w:p>
          <w:p>
            <w:pPr>
              <w:pStyle w:val="TableContents"/>
              <w:bidi w:val="0"/>
              <w:spacing w:before="0" w:after="0"/>
              <w:jc w:val="center"/>
              <w:rPr>
                <w:rFonts w:ascii="Times New Roman" w:hAnsi="Times New Roman"/>
                <w:b/>
                <w:sz w:val="14"/>
              </w:rPr>
            </w:pPr>
            <w:r>
              <w:rPr>
                <w:rFonts w:ascii="Times New Roman" w:hAnsi="Times New Roman"/>
                <w:b/>
                <w:sz w:val="14"/>
              </w:rPr>
              <w:t>in Fair</w:t>
            </w:r>
          </w:p>
          <w:p>
            <w:pPr>
              <w:pStyle w:val="TableContents"/>
              <w:bidi w:val="0"/>
              <w:spacing w:before="0" w:after="0"/>
              <w:jc w:val="center"/>
              <w:rPr>
                <w:rFonts w:ascii="Times New Roman" w:hAnsi="Times New Roman"/>
                <w:b/>
                <w:sz w:val="14"/>
              </w:rPr>
            </w:pPr>
            <w:r>
              <w:rPr>
                <w:rFonts w:ascii="Times New Roman" w:hAnsi="Times New Roman"/>
                <w:b/>
                <w:sz w:val="14"/>
              </w:rPr>
              <w:t>Value</w:t>
            </w:r>
          </w:p>
          <w:p>
            <w:pPr>
              <w:pStyle w:val="TableContents"/>
              <w:bidi w:val="0"/>
              <w:spacing w:before="0" w:after="0"/>
              <w:jc w:val="center"/>
              <w:rPr>
                <w:rFonts w:ascii="Times New Roman" w:hAnsi="Times New Roman"/>
                <w:b/>
                <w:sz w:val="14"/>
              </w:rPr>
            </w:pPr>
            <w:r>
              <w:rPr>
                <w:rFonts w:ascii="Times New Roman" w:hAnsi="Times New Roman"/>
                <w:b/>
                <w:sz w:val="14"/>
              </w:rPr>
              <w:t>from</w:t>
              <w:br/>
              <w:t>Last</w:t>
            </w:r>
          </w:p>
          <w:p>
            <w:pPr>
              <w:pStyle w:val="TableContents"/>
              <w:bidi w:val="0"/>
              <w:spacing w:before="0" w:after="0"/>
              <w:jc w:val="center"/>
              <w:rPr>
                <w:rFonts w:ascii="Times New Roman" w:hAnsi="Times New Roman"/>
                <w:b/>
                <w:sz w:val="14"/>
              </w:rPr>
            </w:pPr>
            <w:r>
              <w:rPr>
                <w:rFonts w:ascii="Times New Roman" w:hAnsi="Times New Roman"/>
                <w:b/>
                <w:sz w:val="14"/>
              </w:rPr>
              <w:t>Day</w:t>
            </w:r>
          </w:p>
          <w:p>
            <w:pPr>
              <w:pStyle w:val="TableContents"/>
              <w:bidi w:val="0"/>
              <w:spacing w:before="0" w:after="0"/>
              <w:jc w:val="center"/>
              <w:rPr>
                <w:rFonts w:ascii="Times New Roman" w:hAnsi="Times New Roman"/>
                <w:b/>
                <w:sz w:val="14"/>
              </w:rPr>
            </w:pPr>
            <w:r>
              <w:rPr>
                <w:rFonts w:ascii="Times New Roman" w:hAnsi="Times New Roman"/>
                <w:b/>
                <w:sz w:val="14"/>
              </w:rPr>
              <w:t>of Prior</w:t>
            </w:r>
          </w:p>
          <w:p>
            <w:pPr>
              <w:pStyle w:val="TableContents"/>
              <w:bidi w:val="0"/>
              <w:spacing w:before="0" w:after="0"/>
              <w:jc w:val="center"/>
              <w:rPr>
                <w:rFonts w:ascii="Times New Roman" w:hAnsi="Times New Roman"/>
                <w:b/>
                <w:sz w:val="14"/>
              </w:rPr>
            </w:pPr>
            <w:r>
              <w:rPr>
                <w:rFonts w:ascii="Times New Roman" w:hAnsi="Times New Roman"/>
                <w:b/>
                <w:sz w:val="14"/>
              </w:rPr>
              <w:t>Year</w:t>
            </w:r>
          </w:p>
          <w:p>
            <w:pPr>
              <w:pStyle w:val="TableContents"/>
              <w:bidi w:val="0"/>
              <w:spacing w:before="0" w:after="0"/>
              <w:jc w:val="center"/>
              <w:rPr>
                <w:rFonts w:ascii="Times New Roman" w:hAnsi="Times New Roman"/>
                <w:b/>
                <w:sz w:val="14"/>
              </w:rPr>
            </w:pPr>
            <w:r>
              <w:rPr>
                <w:rFonts w:ascii="Times New Roman" w:hAnsi="Times New Roman"/>
                <w:b/>
                <w:sz w:val="14"/>
              </w:rPr>
              <w:t>to</w:t>
              <w:br/>
              <w:t>Vesting</w:t>
            </w:r>
          </w:p>
          <w:p>
            <w:pPr>
              <w:pStyle w:val="TableContents"/>
              <w:bidi w:val="0"/>
              <w:spacing w:before="0" w:after="0"/>
              <w:jc w:val="center"/>
              <w:rPr>
                <w:rFonts w:ascii="Times New Roman" w:hAnsi="Times New Roman"/>
                <w:b/>
                <w:sz w:val="14"/>
              </w:rPr>
            </w:pPr>
            <w:r>
              <w:rPr>
                <w:rFonts w:ascii="Times New Roman" w:hAnsi="Times New Roman"/>
                <w:b/>
                <w:sz w:val="14"/>
              </w:rPr>
              <w:t>Date of</w:t>
            </w:r>
          </w:p>
          <w:p>
            <w:pPr>
              <w:pStyle w:val="TableContents"/>
              <w:bidi w:val="0"/>
              <w:spacing w:before="0" w:after="0"/>
              <w:jc w:val="center"/>
              <w:rPr>
                <w:rFonts w:ascii="Times New Roman" w:hAnsi="Times New Roman"/>
                <w:b/>
                <w:sz w:val="14"/>
              </w:rPr>
            </w:pPr>
            <w:r>
              <w:rPr>
                <w:rFonts w:ascii="Times New Roman" w:hAnsi="Times New Roman"/>
                <w:b/>
                <w:sz w:val="14"/>
              </w:rPr>
              <w:t>Unvested</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Granted</w:t>
            </w:r>
          </w:p>
          <w:p>
            <w:pPr>
              <w:pStyle w:val="TableContents"/>
              <w:bidi w:val="0"/>
              <w:spacing w:before="0" w:after="0"/>
              <w:jc w:val="center"/>
              <w:rPr>
                <w:rFonts w:ascii="Times New Roman" w:hAnsi="Times New Roman"/>
                <w:b/>
                <w:sz w:val="14"/>
              </w:rPr>
            </w:pPr>
            <w:r>
              <w:rPr>
                <w:rFonts w:ascii="Times New Roman" w:hAnsi="Times New Roman"/>
                <w:b/>
                <w:sz w:val="14"/>
              </w:rPr>
              <w:t>in any</w:t>
            </w:r>
          </w:p>
          <w:p>
            <w:pPr>
              <w:pStyle w:val="TableContents"/>
              <w:bidi w:val="0"/>
              <w:spacing w:before="0" w:after="0"/>
              <w:jc w:val="center"/>
              <w:rPr>
                <w:rFonts w:ascii="Times New Roman" w:hAnsi="Times New Roman"/>
                <w:b/>
                <w:sz w:val="14"/>
              </w:rPr>
            </w:pPr>
            <w:r>
              <w:rPr>
                <w:rFonts w:ascii="Times New Roman" w:hAnsi="Times New Roman"/>
                <w:b/>
                <w:sz w:val="14"/>
              </w:rPr>
              <w:t>Prior</w:t>
            </w:r>
          </w:p>
          <w:p>
            <w:pPr>
              <w:pStyle w:val="TableContents"/>
              <w:bidi w:val="0"/>
              <w:spacing w:before="0" w:after="0"/>
              <w:jc w:val="center"/>
              <w:rPr>
                <w:rFonts w:ascii="Times New Roman" w:hAnsi="Times New Roman"/>
                <w:b/>
                <w:sz w:val="14"/>
              </w:rPr>
            </w:pPr>
            <w:r>
              <w:rPr>
                <w:rFonts w:ascii="Times New Roman" w:hAnsi="Times New Roman"/>
                <w:b/>
                <w:sz w:val="14"/>
              </w:rPr>
              <w:t>Year</w:t>
              <w:br/>
              <w:t>that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20"/>
              <w:jc w:val="center"/>
              <w:rPr>
                <w:rFonts w:ascii="Times New Roman" w:hAnsi="Times New Roman"/>
                <w:b/>
                <w:sz w:val="14"/>
              </w:rPr>
            </w:pPr>
            <w:r>
              <w:rPr>
                <w:rFonts w:ascii="Times New Roman" w:hAnsi="Times New Roman"/>
                <w:b/>
                <w:sz w:val="14"/>
              </w:rPr>
              <w:t>PEO</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Exclusion</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Fair</w:t>
              <w:br/>
              <w:t>Value</w:t>
            </w:r>
          </w:p>
          <w:p>
            <w:pPr>
              <w:pStyle w:val="TableContents"/>
              <w:bidi w:val="0"/>
              <w:spacing w:before="0" w:after="0"/>
              <w:jc w:val="center"/>
              <w:rPr>
                <w:rFonts w:ascii="Times New Roman" w:hAnsi="Times New Roman"/>
                <w:b/>
                <w:sz w:val="14"/>
              </w:rPr>
            </w:pPr>
            <w:r>
              <w:rPr>
                <w:rFonts w:ascii="Times New Roman" w:hAnsi="Times New Roman"/>
                <w:b/>
                <w:sz w:val="14"/>
              </w:rPr>
              <w:t>at</w:t>
            </w:r>
          </w:p>
          <w:p>
            <w:pPr>
              <w:pStyle w:val="TableContents"/>
              <w:bidi w:val="0"/>
              <w:spacing w:before="0" w:after="0"/>
              <w:jc w:val="center"/>
              <w:rPr>
                <w:rFonts w:ascii="Times New Roman" w:hAnsi="Times New Roman"/>
                <w:b/>
                <w:sz w:val="14"/>
              </w:rPr>
            </w:pPr>
            <w:r>
              <w:rPr>
                <w:rFonts w:ascii="Times New Roman" w:hAnsi="Times New Roman"/>
                <w:b/>
                <w:sz w:val="14"/>
              </w:rPr>
              <w:t>Last</w:t>
              <w:br/>
              <w:t>Day</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Prior</w:t>
              <w:br/>
              <w:t>Year</w:t>
            </w:r>
          </w:p>
          <w:p>
            <w:pPr>
              <w:pStyle w:val="TableContents"/>
              <w:bidi w:val="0"/>
              <w:spacing w:before="0" w:after="0"/>
              <w:jc w:val="center"/>
              <w:rPr>
                <w:rFonts w:ascii="Times New Roman" w:hAnsi="Times New Roman"/>
                <w:b/>
                <w:sz w:val="14"/>
              </w:rPr>
            </w:pPr>
            <w:r>
              <w:rPr>
                <w:rFonts w:ascii="Times New Roman" w:hAnsi="Times New Roman"/>
                <w:b/>
                <w:sz w:val="14"/>
              </w:rPr>
              <w:t>of</w:t>
            </w:r>
          </w:p>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0"/>
              <w:jc w:val="center"/>
              <w:rPr>
                <w:rFonts w:ascii="Times New Roman" w:hAnsi="Times New Roman"/>
                <w:b/>
                <w:sz w:val="14"/>
              </w:rPr>
            </w:pPr>
            <w:r>
              <w:rPr>
                <w:rFonts w:ascii="Times New Roman" w:hAnsi="Times New Roman"/>
                <w:b/>
                <w:sz w:val="14"/>
              </w:rPr>
              <w:t>Forfeited</w:t>
            </w:r>
          </w:p>
          <w:p>
            <w:pPr>
              <w:pStyle w:val="TableContents"/>
              <w:bidi w:val="0"/>
              <w:spacing w:before="0" w:after="0"/>
              <w:jc w:val="center"/>
              <w:rPr>
                <w:rFonts w:ascii="Times New Roman" w:hAnsi="Times New Roman"/>
                <w:b/>
                <w:sz w:val="14"/>
              </w:rPr>
            </w:pPr>
            <w:r>
              <w:rPr>
                <w:rFonts w:ascii="Times New Roman" w:hAnsi="Times New Roman"/>
                <w:b/>
                <w:sz w:val="14"/>
              </w:rPr>
              <w:t>During</w:t>
            </w:r>
          </w:p>
          <w:p>
            <w:pPr>
              <w:pStyle w:val="TableContents"/>
              <w:bidi w:val="0"/>
              <w:spacing w:before="0" w:after="0"/>
              <w:jc w:val="center"/>
              <w:rPr>
                <w:rFonts w:ascii="Times New Roman" w:hAnsi="Times New Roman"/>
                <w:b/>
                <w:sz w:val="14"/>
              </w:rPr>
            </w:pPr>
            <w:r>
              <w:rPr>
                <w:rFonts w:ascii="Times New Roman" w:hAnsi="Times New Roman"/>
                <w:b/>
                <w:sz w:val="14"/>
              </w:rPr>
              <w:t>Year</w:t>
              <w:br/>
              <w:t>for</w:t>
            </w:r>
          </w:p>
          <w:p>
            <w:pPr>
              <w:pStyle w:val="TableContents"/>
              <w:bidi w:val="0"/>
              <w:spacing w:before="0" w:after="0"/>
              <w:jc w:val="center"/>
              <w:rPr>
                <w:rFonts w:ascii="Times New Roman" w:hAnsi="Times New Roman"/>
                <w:b/>
                <w:sz w:val="14"/>
              </w:rPr>
            </w:pPr>
            <w:r>
              <w:rPr>
                <w:rFonts w:ascii="Times New Roman" w:hAnsi="Times New Roman"/>
                <w:b/>
                <w:sz w:val="14"/>
              </w:rP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sz w:val="14"/>
              </w:rPr>
            </w:pPr>
            <w:r>
              <w:rPr>
                <w:rFonts w:ascii="Times New Roman" w:hAnsi="Times New Roman"/>
                <w:b/>
                <w:sz w:val="14"/>
              </w:rPr>
              <w:t>Compensation</w:t>
            </w:r>
          </w:p>
          <w:p>
            <w:pPr>
              <w:pStyle w:val="TableContents"/>
              <w:bidi w:val="0"/>
              <w:spacing w:before="0" w:after="0"/>
              <w:jc w:val="center"/>
              <w:rPr>
                <w:rFonts w:ascii="Times New Roman" w:hAnsi="Times New Roman"/>
                <w:b/>
                <w:sz w:val="14"/>
              </w:rPr>
            </w:pPr>
            <w:r>
              <w:rPr>
                <w:rFonts w:ascii="Times New Roman" w:hAnsi="Times New Roman"/>
                <w:b/>
                <w:sz w:val="14"/>
              </w:rPr>
              <w:t>Actually</w:t>
            </w:r>
          </w:p>
          <w:p>
            <w:pPr>
              <w:pStyle w:val="TableContents"/>
              <w:bidi w:val="0"/>
              <w:spacing w:before="0" w:after="0"/>
              <w:jc w:val="center"/>
              <w:rPr>
                <w:rFonts w:ascii="Times New Roman" w:hAnsi="Times New Roman"/>
                <w:b/>
                <w:sz w:val="14"/>
              </w:rPr>
            </w:pPr>
            <w:r>
              <w:rPr>
                <w:rFonts w:ascii="Times New Roman" w:hAnsi="Times New Roman"/>
                <w:b/>
                <w:sz w:val="14"/>
              </w:rPr>
              <w:t>Paid to</w:t>
              <w:br/>
              <w:t>PEO</w:t>
            </w:r>
          </w:p>
          <w:p>
            <w:pPr>
              <w:pStyle w:val="TableContents"/>
              <w:bidi w:val="0"/>
              <w:spacing w:before="0" w:after="20"/>
              <w:jc w:val="center"/>
              <w:rPr>
                <w:rFonts w:ascii="Times New Roman" w:hAnsi="Times New Roman"/>
                <w:b/>
                <w:sz w:val="14"/>
              </w:rPr>
            </w:pPr>
            <w:r>
              <w:rPr>
                <w:rFonts w:ascii="Times New Roman" w:hAnsi="Times New Roman"/>
                <w:b/>
                <w:sz w:val="14"/>
              </w:rPr>
              <w:t>($)</w:t>
            </w:r>
          </w:p>
        </w:tc>
      </w:tr>
      <w:tr>
        <w:trPr/>
        <w:tc>
          <w:tcPr>
            <w:tcW w:w="1984" w:type="dxa"/>
            <w:gridSpan w:val="3"/>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w:t>
            </w:r>
          </w:p>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President</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(108,053)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(20,383)</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443,717</w:t>
            </w:r>
          </w:p>
        </w:tc>
      </w:tr>
      <w:tr>
        <w:trPr/>
        <w:tc>
          <w:tcPr>
            <w:tcW w:w="1984" w:type="dxa"/>
            <w:gridSpan w:val="3"/>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874,823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(323,665)</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242,360</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(3,901)</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72,954</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(4,756)</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857,815</w:t>
            </w:r>
          </w:p>
        </w:tc>
      </w:tr>
      <w:tr>
        <w:trPr/>
        <w:tc>
          <w:tcPr>
            <w:tcW w:w="1984" w:type="dxa"/>
            <w:gridSpan w:val="3"/>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147,361</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(124,330)</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134,000</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24,900</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181,931</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(5)</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our net loss for the year as reported on our Annual Report on Form 10-K.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Summary Compensation Table Total to Compensation Actually Paid for Non-PEO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65"/>
        <w:gridCol w:w="120"/>
        <w:gridCol w:w="140"/>
        <w:gridCol w:w="800"/>
        <w:gridCol w:w="155"/>
        <w:gridCol w:w="120"/>
        <w:gridCol w:w="140"/>
        <w:gridCol w:w="800"/>
        <w:gridCol w:w="60"/>
        <w:gridCol w:w="120"/>
        <w:gridCol w:w="140"/>
        <w:gridCol w:w="875"/>
        <w:gridCol w:w="170"/>
      </w:tblGrid>
      <w:tr>
        <w:trPr/>
        <w:tc>
          <w:tcPr>
            <w:tcW w:w="6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6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408,978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559,278</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(Minus): Grant Date Fair Value of Equity Awards Granted in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(53,553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 Fair Value at Fiscal Year End of Outstanding and Unvested Equity Awards Granted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Plus/(Minus): Change in Fair Value of Outstanding and Unvested Equity Awards Granted in Prior Fiscal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Plus/(Minus): Change in Fair Value as of the Vesting Date of Equity Awards Granted in Prior Fiscal Years that Vested in the Fiscal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(26,909</w:t>
            </w:r>
          </w:p>
        </w:tc>
        <w:tc>
          <w:tcPr>
            <w:tcW w:w="170" w:type="dxa"/>
            <w:tcBorders/>
            <w:shd w:fill="CCEEFF" w:val="clear"/>
            <w:vAlign w:val="center"/>
          </w:tcPr>
          <w:p>
            <w:pPr>
              <w:pStyle w:val="TableContents"/>
              <w:bidi w:val="0"/>
              <w:spacing w:before="0" w:after="283"/>
              <w:jc w:val="left"/>
              <w:rPr/>
            </w:pPr>
            <w:r>
              <w:rPr/>
              <w:t>) </w:t>
            </w:r>
          </w:p>
        </w:tc>
      </w:tr>
      <w:tr>
        <w:trPr/>
        <w:tc>
          <w:tcPr>
            <w:tcW w:w="6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(Minus): Fair Value as of the Prior Fiscal Year End of Equity Awards Granted in Prior Fiscal Years that Failed to Meet Vesting Conditions in the Fiscal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(148,950</w:t>
            </w:r>
          </w:p>
        </w:tc>
        <w:tc>
          <w:tcPr>
            <w:tcW w:w="170" w:type="dxa"/>
            <w:tcBorders/>
            <w:vAlign w:val="center"/>
          </w:tcPr>
          <w:p>
            <w:pPr>
              <w:pStyle w:val="TableContents"/>
              <w:bidi w:val="0"/>
              <w:spacing w:before="0" w:after="283"/>
              <w:jc w:val="left"/>
              <w:rPr/>
            </w:pPr>
            <w:r>
              <w:rPr/>
              <w:t>) </w:t>
            </w:r>
          </w:p>
        </w:tc>
      </w:tr>
      <w:tr>
        <w:trPr/>
        <w:tc>
          <w:tcPr>
            <w:tcW w:w="6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Actually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369,796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249,900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383,419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Company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the Company’s cumulative TSR from December 31, 2022 through December 31, 2025.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545"/>
        <w:gridCol w:w="120"/>
        <w:gridCol w:w="119"/>
        <w:gridCol w:w="1596"/>
        <w:gridCol w:w="60"/>
        <w:gridCol w:w="120"/>
        <w:gridCol w:w="119"/>
        <w:gridCol w:w="1596"/>
        <w:gridCol w:w="350"/>
        <w:gridCol w:w="60"/>
        <w:gridCol w:w="142"/>
        <w:gridCol w:w="1333"/>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Cumulative TSR of</w:t>
            </w:r>
          </w:p>
          <w:p>
            <w:pPr>
              <w:pStyle w:val="TableContents"/>
              <w:bidi w:val="0"/>
              <w:spacing w:before="0" w:after="0"/>
              <w:jc w:val="center"/>
              <w:rPr>
                <w:rFonts w:ascii="Times New Roman" w:hAnsi="Times New Roman"/>
                <w:b/>
                <w:sz w:val="16"/>
              </w:rPr>
            </w:pPr>
            <w:r>
              <w:rPr>
                <w:rFonts w:ascii="Times New Roman" w:hAnsi="Times New Roman"/>
                <w:b/>
                <w:sz w:val="16"/>
              </w:rPr>
              <w:t>$100 Invested Over</w:t>
            </w:r>
          </w:p>
          <w:p>
            <w:pPr>
              <w:pStyle w:val="TableContents"/>
              <w:bidi w:val="0"/>
              <w:spacing w:before="0" w:after="0"/>
              <w:jc w:val="center"/>
              <w:rPr>
                <w:rFonts w:ascii="Times New Roman" w:hAnsi="Times New Roman"/>
                <w:b/>
                <w:sz w:val="16"/>
              </w:rPr>
            </w:pPr>
            <w:r>
              <w:rPr>
                <w:rFonts w:ascii="Times New Roman" w:hAnsi="Times New Roman"/>
                <w:b/>
                <w:sz w:val="16"/>
              </w:rPr>
              <w:t>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20"/>
              <w:jc w:val="center"/>
              <w:rPr>
                <w:rFonts w:ascii="Times New Roman" w:hAnsi="Times New Roman"/>
                <w:b/>
                <w:sz w:val="16"/>
              </w:rPr>
            </w:pPr>
            <w:r>
              <w:rPr>
                <w:rFonts w:ascii="Times New Roman" w:hAnsi="Times New Roman"/>
                <w:b/>
                <w:sz w:val="16"/>
              </w:rPr>
              <w:t>Fiscal Years</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355,425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9.68</w:t>
            </w:r>
          </w:p>
        </w:tc>
        <w:tc>
          <w:tcPr>
            <w:tcW w:w="7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551,158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249,900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right"/>
              <w:rPr/>
            </w:pPr>
            <w:r>
              <w:rPr/>
              <w:t>24.64</w:t>
            </w:r>
          </w:p>
        </w:tc>
        <w:tc>
          <w:tcPr>
            <w:tcW w:w="7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113,594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559,278</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25.53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Relationship Between PEOs and Non-PEO NEO Compensation Actually Paid and Net Income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relationship between the Average Compensation Actually Paid to our PEOs, the average of Compensation Actually Paid to our Non-PEO NEOs, and our Net Income (Loss) during the two most recently completed fiscal years. </w:t>
      </w:r>
    </w:p>
    <w:p>
      <w:pPr>
        <w:pStyle w:val="TextBody"/>
        <w:bidi w:val="0"/>
        <w:spacing w:before="0" w:after="0"/>
        <w:jc w:val="left"/>
        <w:rPr/>
      </w:pPr>
      <w:r>
        <w:rPr/>
        <w:t> </w:t>
      </w:r>
    </w:p>
    <w:tbl>
      <w:tblPr>
        <w:tblW w:w="6330" w:type="dxa"/>
        <w:jc w:val="left"/>
        <w:tblInd w:w="0" w:type="dxa"/>
        <w:tblLayout w:type="fixed"/>
        <w:tblCellMar>
          <w:top w:w="0" w:type="dxa"/>
          <w:left w:w="0" w:type="dxa"/>
          <w:bottom w:w="0" w:type="dxa"/>
          <w:right w:w="0" w:type="dxa"/>
        </w:tblCellMar>
      </w:tblPr>
      <w:tblGrid>
        <w:gridCol w:w="545"/>
        <w:gridCol w:w="120"/>
        <w:gridCol w:w="119"/>
        <w:gridCol w:w="1596"/>
        <w:gridCol w:w="60"/>
        <w:gridCol w:w="120"/>
        <w:gridCol w:w="119"/>
        <w:gridCol w:w="1596"/>
        <w:gridCol w:w="350"/>
        <w:gridCol w:w="60"/>
        <w:gridCol w:w="127"/>
        <w:gridCol w:w="1348"/>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b/>
              </w:rPr>
            </w:pPr>
            <w:r>
              <w:rPr>
                <w:b/>
              </w:rPr>
              <w:t>Year</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w:t>
            </w:r>
          </w:p>
          <w:p>
            <w:pPr>
              <w:pStyle w:val="TableContents"/>
              <w:bidi w:val="0"/>
              <w:spacing w:before="0" w:after="0"/>
              <w:jc w:val="center"/>
              <w:rPr>
                <w:rFonts w:ascii="Times New Roman" w:hAnsi="Times New Roman"/>
                <w:b/>
                <w:sz w:val="16"/>
              </w:rPr>
            </w:pPr>
            <w:r>
              <w:rPr>
                <w:rFonts w:ascii="Times New Roman" w:hAnsi="Times New Roman"/>
                <w:b/>
                <w:sz w:val="16"/>
              </w:rPr>
              <w:t>our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Compensation</w:t>
            </w:r>
          </w:p>
          <w:p>
            <w:pPr>
              <w:pStyle w:val="TableContents"/>
              <w:bidi w:val="0"/>
              <w:spacing w:before="0" w:after="0"/>
              <w:jc w:val="center"/>
              <w:rPr>
                <w:rFonts w:ascii="Times New Roman" w:hAnsi="Times New Roman"/>
                <w:b/>
                <w:sz w:val="16"/>
              </w:rPr>
            </w:pPr>
            <w:r>
              <w:rPr>
                <w:rFonts w:ascii="Times New Roman" w:hAnsi="Times New Roman"/>
                <w:b/>
                <w:sz w:val="16"/>
              </w:rPr>
              <w:t>Actually Paid to our</w:t>
            </w:r>
          </w:p>
          <w:p>
            <w:pPr>
              <w:pStyle w:val="TableContents"/>
              <w:bidi w:val="0"/>
              <w:spacing w:before="0" w:after="0"/>
              <w:jc w:val="center"/>
              <w:rPr>
                <w:rFonts w:ascii="Times New Roman" w:hAnsi="Times New Roman"/>
                <w:b/>
                <w:sz w:val="16"/>
              </w:rPr>
            </w:pPr>
            <w:r>
              <w:rPr>
                <w:rFonts w:ascii="Times New Roman" w:hAnsi="Times New Roman"/>
                <w:b/>
                <w:sz w:val="16"/>
              </w:rPr>
              <w:t>Non-PEO NEOs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Income (Loss)</w:t>
            </w:r>
          </w:p>
          <w:p>
            <w:pPr>
              <w:pStyle w:val="TableContents"/>
              <w:bidi w:val="0"/>
              <w:spacing w:before="0" w:after="0"/>
              <w:jc w:val="center"/>
              <w:rPr>
                <w:rFonts w:ascii="Times New Roman" w:hAnsi="Times New Roman"/>
                <w:b/>
                <w:sz w:val="16"/>
              </w:rPr>
            </w:pPr>
            <w:r>
              <w:rPr>
                <w:rFonts w:ascii="Times New Roman" w:hAnsi="Times New Roman"/>
                <w:b/>
                <w:sz w:val="16"/>
              </w:rPr>
              <w:t>for the Three Most</w:t>
            </w:r>
          </w:p>
          <w:p>
            <w:pPr>
              <w:pStyle w:val="TableContents"/>
              <w:bidi w:val="0"/>
              <w:spacing w:before="0" w:after="0"/>
              <w:jc w:val="center"/>
              <w:rPr>
                <w:rFonts w:ascii="Times New Roman" w:hAnsi="Times New Roman"/>
                <w:b/>
                <w:sz w:val="16"/>
              </w:rPr>
            </w:pPr>
            <w:r>
              <w:rPr>
                <w:rFonts w:ascii="Times New Roman" w:hAnsi="Times New Roman"/>
                <w:b/>
                <w:sz w:val="16"/>
              </w:rPr>
              <w:t>Recently Completed</w:t>
            </w:r>
          </w:p>
          <w:p>
            <w:pPr>
              <w:pStyle w:val="TableContents"/>
              <w:bidi w:val="0"/>
              <w:spacing w:before="0" w:after="0"/>
              <w:jc w:val="center"/>
              <w:rPr>
                <w:rFonts w:ascii="Times New Roman" w:hAnsi="Times New Roman"/>
                <w:b/>
                <w:sz w:val="16"/>
              </w:rPr>
            </w:pPr>
            <w:r>
              <w:rPr>
                <w:rFonts w:ascii="Times New Roman" w:hAnsi="Times New Roman"/>
                <w:b/>
                <w:sz w:val="16"/>
              </w:rPr>
              <w:t>Fiscal Years</w:t>
            </w:r>
          </w:p>
          <w:p>
            <w:pPr>
              <w:pStyle w:val="TableContents"/>
              <w:bidi w:val="0"/>
              <w:spacing w:before="0" w:after="0"/>
              <w:jc w:val="center"/>
              <w:rPr>
                <w:rFonts w:ascii="Times New Roman" w:hAnsi="Times New Roman"/>
                <w:b/>
                <w:sz w:val="16"/>
              </w:rPr>
            </w:pPr>
            <w:r>
              <w:rPr>
                <w:rFonts w:ascii="Times New Roman" w:hAnsi="Times New Roman"/>
                <w:b/>
                <w:sz w:val="16"/>
              </w:rPr>
              <w:t>(in thousands)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572,153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355,425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(3,528</w:t>
            </w:r>
          </w:p>
        </w:tc>
        <w:tc>
          <w:tcPr>
            <w:tcW w:w="170"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551,158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96" w:type="dxa"/>
            <w:tcBorders/>
            <w:vAlign w:val="center"/>
          </w:tcPr>
          <w:p>
            <w:pPr>
              <w:pStyle w:val="TableContents"/>
              <w:bidi w:val="0"/>
              <w:spacing w:before="0" w:after="283"/>
              <w:jc w:val="right"/>
              <w:rPr/>
            </w:pPr>
            <w:r>
              <w:rPr/>
              <w:t>249,900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113,594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596" w:type="dxa"/>
            <w:tcBorders/>
            <w:shd w:fill="CCEEFF" w:val="clear"/>
            <w:vAlign w:val="center"/>
          </w:tcPr>
          <w:p>
            <w:pPr>
              <w:pStyle w:val="TableContents"/>
              <w:bidi w:val="0"/>
              <w:spacing w:before="0" w:after="283"/>
              <w:jc w:val="right"/>
              <w:rPr/>
            </w:pPr>
            <w:r>
              <w:rPr/>
              <w:t>559,278</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(5,263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severance payment to Ms. Gault in 2023 of $214,000 and a separation payment to Ms. Gjino of $204,000. Ms. Gault and Ms. Gjino were our two Non-PEO NEOs in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1069_12"/>
      <w:bookmarkEnd w:id="14"/>
      <w:r>
        <w:rPr>
          <w:rFonts w:ascii="Times New Roman" w:hAnsi="Times New Roman"/>
          <w:b/>
          <w:sz w:val="20"/>
        </w:rPr>
        <w:t xml:space="preserve">CYCLERION NON-EMPLOYEE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provide compensation to our non-employee directors that is designed to enable us to attract and incentivize high quality directors, provide them with compensation at a level that is consistent with our compensation objectives and encourage their ownership of our stock to further align their interests with those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and paid to our non-employee directors for the year ended December 31, 2025: </w:t>
      </w:r>
    </w:p>
    <w:p>
      <w:pPr>
        <w:pStyle w:val="TextBody"/>
        <w:bidi w:val="0"/>
        <w:spacing w:before="0" w:after="0"/>
        <w:jc w:val="left"/>
        <w:rPr/>
      </w:pPr>
      <w:r>
        <w:rPr/>
        <w:t> </w:t>
      </w:r>
    </w:p>
    <w:tbl>
      <w:tblPr>
        <w:tblW w:w="5649" w:type="dxa"/>
        <w:jc w:val="left"/>
        <w:tblInd w:w="0" w:type="dxa"/>
        <w:tblLayout w:type="fixed"/>
        <w:tblCellMar>
          <w:top w:w="0" w:type="dxa"/>
          <w:left w:w="0" w:type="dxa"/>
          <w:bottom w:w="0" w:type="dxa"/>
          <w:right w:w="0" w:type="dxa"/>
        </w:tblCellMar>
      </w:tblPr>
      <w:tblGrid>
        <w:gridCol w:w="2000"/>
        <w:gridCol w:w="120"/>
        <w:gridCol w:w="209"/>
        <w:gridCol w:w="906"/>
        <w:gridCol w:w="60"/>
        <w:gridCol w:w="120"/>
        <w:gridCol w:w="107"/>
        <w:gridCol w:w="468"/>
        <w:gridCol w:w="60"/>
        <w:gridCol w:w="120"/>
        <w:gridCol w:w="146"/>
        <w:gridCol w:w="638"/>
        <w:gridCol w:w="60"/>
        <w:gridCol w:w="120"/>
        <w:gridCol w:w="60"/>
        <w:gridCol w:w="380"/>
        <w:gridCol w:w="7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Fees Earned or</w:t>
            </w:r>
          </w:p>
          <w:p>
            <w:pPr>
              <w:pStyle w:val="TableContents"/>
              <w:bidi w:val="0"/>
              <w:spacing w:before="0" w:after="0"/>
              <w:jc w:val="center"/>
              <w:rPr>
                <w:rFonts w:ascii="Times New Roman" w:hAnsi="Times New Roman"/>
                <w:b/>
                <w:sz w:val="16"/>
              </w:rPr>
            </w:pPr>
            <w:r>
              <w:rPr>
                <w:rFonts w:ascii="Times New Roman" w:hAnsi="Times New Roman"/>
                <w:b/>
                <w:sz w:val="16"/>
              </w:rPr>
              <w:t>Paid in Cash</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Restricted</w:t>
            </w:r>
          </w:p>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20"/>
              <w:jc w:val="center"/>
              <w:rPr>
                <w:rFonts w:ascii="Times New Roman" w:hAnsi="Times New Roman"/>
                <w:b/>
                <w:sz w:val="16"/>
              </w:rPr>
            </w:pPr>
            <w:r>
              <w:rPr>
                <w:rFonts w:ascii="Times New Roman" w:hAnsi="Times New Roman"/>
                <w:b/>
                <w:sz w:val="16"/>
              </w:rPr>
              <w:t>Awards(2)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M. Hecht, Ph.D.</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F. Higgins</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June 14, 2022, each non-employee director (other than Mr. Higgins, Dr. Hyman and Dr. Katabi) was granted an annual stock option award to purchase 500 shares of the Company’s Common Stock having an exercise price per share equal to the closing price on the grant date or $10.60 per share. These stock option awards vested in full on the first anniversary of the grant date subject to the terms and conditions of the stock option award agreement and are all outstanding as of December 31, 2024. On July 25, 2022, in connection with Dr. Hyman joining the Board, he was granted a pro-rata annual stock option award to purchase 887 shares of the Company’s Common Stock and an initial stock option award to purchase 2,000 shares of the Company’s Common Stock, each at an exercise price per share equal to the closing price on the grant date or $15.50 per share. Dr. Hyman’s annual stock option award vests in full on the first anniversary of the grant date and his initial stock option award vests in 36 equal monthly installments over a three-year period following the date of grant, in each case, subject to the terms and conditions of the stock option award agreement and are all outstanding as of December 31, 2024. On May 15, 2023, each of Dr. De Souza and Dr. Hyman was granted an annual stock option award to purchase 1,000 shares of the Company’s Common Stock having an exercise price per share equal to the closing price on the grant date or $3.82 per share. These stock option awards vested in full on the first anniversary of the grant date subject to the terms and conditions of the stock option award agreement and are all outstanding as of December 31, 2025. The amounts in the above table reflect the fair value of stock option awards on the date of grant calculated in accordance with the provisions of Financial Accounting Standards Board Accounting Standard Codification Topic 718, Compensation—Stock Compensation. For a discussion of the assumptions used in the valuation of awards, see Note 8 to our consolidated and combined financial statements for the year ended December 31, 2025, included in our Annual Report on Form 10-K that we filed with the SEC on March 30, 2026. All values reported exclude the effects of potential forfeitures.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granted restricted stock awards during the year ended December 31, 2023 to the members of the Board of Directors for their services as members of the Board of Directors. These director restricted stock awards were issued in November 2023, with each director (other than Mr. McGuire) receiving an award of 20,000 shares of restricted Common Stock. Dr. De Souza, as Chairman of the Board of Directors, received an additional grant of 30,000 shares of restricted Common Stock for his services as Chairman of the Board of Director. All of these grants provided for an initial vesting of a portion of the shares with the remainder vesting ratably over a 42-month period, subject to earlier vesting as set forth in the 2019 Equity Plan. Compensation expense is recognized over the applicable service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1069_13"/>
      <w:bookmarkEnd w:id="15"/>
      <w:r>
        <w:rPr>
          <w:rFonts w:ascii="Times New Roman" w:hAnsi="Times New Roman"/>
          <w:b/>
          <w:sz w:val="20"/>
        </w:rPr>
        <w:t xml:space="preserve">CYCLERION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certain information regarding Cyclerion’s equity compensation plans in effect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8"/>
        <w:gridCol w:w="120"/>
        <w:gridCol w:w="147"/>
        <w:gridCol w:w="1973"/>
        <w:gridCol w:w="285"/>
        <w:gridCol w:w="60"/>
        <w:gridCol w:w="315"/>
        <w:gridCol w:w="1535"/>
        <w:gridCol w:w="60"/>
        <w:gridCol w:w="120"/>
        <w:gridCol w:w="147"/>
        <w:gridCol w:w="1973"/>
        <w:gridCol w:w="302"/>
      </w:tblGrid>
      <w:tr>
        <w:trPr/>
        <w:tc>
          <w:tcPr>
            <w:tcW w:w="31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1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to be issued upon</w:t>
              <w:br/>
              <w:t>exercise of</w:t>
              <w:br/>
              <w:t>outstanding options,</w:t>
              <w:br/>
              <w:t>warrants and rights</w:t>
              <w:br/>
              <w:t>(a)</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 average</w:t>
              <w:br/>
              <w:t>exercise price of</w:t>
              <w:br/>
              <w:t>outstanding</w:t>
              <w:br/>
              <w:t>options, warrants</w:t>
              <w:br/>
              <w:t>and rights</w:t>
            </w:r>
            <w:r>
              <w:rPr/>
              <w:br/>
            </w: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 (c)</w:t>
            </w:r>
          </w:p>
        </w:tc>
        <w:tc>
          <w:tcPr>
            <w:tcW w:w="302"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297,762</w:t>
            </w:r>
          </w:p>
        </w:tc>
        <w:tc>
          <w:tcPr>
            <w:tcW w:w="28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382,900</w:t>
            </w:r>
          </w:p>
        </w:tc>
        <w:tc>
          <w:tcPr>
            <w:tcW w:w="302" w:type="dxa"/>
            <w:tcBorders/>
            <w:shd w:fill="CCEEFF" w:val="clear"/>
            <w:vAlign w:val="center"/>
          </w:tcPr>
          <w:p>
            <w:pPr>
              <w:pStyle w:val="TableContents"/>
              <w:bidi w:val="0"/>
              <w:spacing w:before="0" w:after="283"/>
              <w:jc w:val="left"/>
              <w:rPr/>
            </w:pPr>
            <w:r>
              <w:rPr/>
              <w:t>(2)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— </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right"/>
              <w:rPr/>
            </w:pPr>
            <w:r>
              <w:rPr/>
              <w:t>— </w:t>
            </w:r>
          </w:p>
        </w:tc>
        <w:tc>
          <w:tcPr>
            <w:tcW w:w="302"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297,762</w:t>
            </w:r>
          </w:p>
        </w:tc>
        <w:tc>
          <w:tcPr>
            <w:tcW w:w="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973" w:type="dxa"/>
            <w:tcBorders/>
            <w:shd w:fill="CCEEFF" w:val="clear"/>
            <w:vAlign w:val="center"/>
          </w:tcPr>
          <w:p>
            <w:pPr>
              <w:pStyle w:val="TableContents"/>
              <w:bidi w:val="0"/>
              <w:spacing w:before="0" w:after="283"/>
              <w:jc w:val="right"/>
              <w:rPr/>
            </w:pPr>
            <w:r>
              <w:rPr/>
              <w:t>382,900</w:t>
            </w:r>
          </w:p>
        </w:tc>
        <w:tc>
          <w:tcPr>
            <w:tcW w:w="302"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issuable upon exercise of outstanding options under Cyclerion’s 2019 Equity Incentive Plan (the “2019 Plan”) and Amended and Restated 2010 Equity Incentive Plan (the “2010 Plan”).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291,952 shares available under the 2019 Plan and 2010 Plan and 90,948 shares available under Cyclerion’s 2019 Employee Stock Purchase Plan (“2019 ESPP”). An annual increase to be added on the date of each annual meeting of the stockholders of Cyclerion, the number of shares reserved under the 2019 Plan is automatically increased by 4% of the total number of shares of stock outstanding on a fully diluted basis as of the close of business on the immediately preceding business day, or a lesser number of shares as may be determined by the Cyclerion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1069_14"/>
      <w:bookmarkEnd w:id="16"/>
      <w:r>
        <w:rPr>
          <w:rFonts w:ascii="Times New Roman" w:hAnsi="Times New Roman"/>
          <w:b/>
          <w:sz w:val="20"/>
        </w:rPr>
        <w:t xml:space="preserve">KORSANA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Korsana will become executive officers of the Combined Company. This section sets forth the fiscal year 2025 compensatory arrangements for the following executive officers of Korsana (the “Korsana NEOs”): </w:t>
      </w:r>
    </w:p>
    <w:p>
      <w:pPr>
        <w:pStyle w:val="TextBody"/>
        <w:bidi w:val="0"/>
        <w:spacing w:before="0" w:after="0"/>
        <w:jc w:val="left"/>
        <w:rPr/>
      </w:pPr>
      <w:r>
        <w:rPr/>
        <w:t> </w:t>
      </w:r>
    </w:p>
    <w:tbl>
      <w:tblPr>
        <w:tblW w:w="9720" w:type="dxa"/>
        <w:jc w:val="left"/>
        <w:tblInd w:w="0" w:type="dxa"/>
        <w:tblLayout w:type="fixed"/>
        <w:tblCellMar>
          <w:top w:w="0" w:type="dxa"/>
          <w:left w:w="0" w:type="dxa"/>
          <w:bottom w:w="0" w:type="dxa"/>
          <w:right w:w="0" w:type="dxa"/>
        </w:tblCellMar>
      </w:tblPr>
      <w:tblGrid>
        <w:gridCol w:w="1745"/>
        <w:gridCol w:w="120"/>
        <w:gridCol w:w="5795"/>
        <w:gridCol w:w="120"/>
        <w:gridCol w:w="194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Name(1)</w:t>
            </w:r>
          </w:p>
        </w:tc>
        <w:tc>
          <w:tcPr>
            <w:tcW w:w="120" w:type="dxa"/>
            <w:tcBorders/>
            <w:vAlign w:val="center"/>
          </w:tcPr>
          <w:p>
            <w:pPr>
              <w:pStyle w:val="TableContents"/>
              <w:bidi w:val="0"/>
              <w:spacing w:before="0" w:after="283"/>
              <w:jc w:val="left"/>
              <w:rPr/>
            </w:pPr>
            <w:r>
              <w:rPr/>
              <w:t>  </w:t>
            </w:r>
          </w:p>
        </w:tc>
        <w:tc>
          <w:tcPr>
            <w:tcW w:w="5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Appointment Date</w:t>
            </w:r>
          </w:p>
        </w:tc>
      </w:tr>
      <w:tr>
        <w:trPr/>
        <w:tc>
          <w:tcPr>
            <w:tcW w:w="1745" w:type="dxa"/>
            <w:tcBorders/>
            <w:vAlign w:val="center"/>
          </w:tcPr>
          <w:p>
            <w:pPr>
              <w:pStyle w:val="TableContents"/>
              <w:bidi w:val="0"/>
              <w:spacing w:before="0" w:after="283"/>
              <w:jc w:val="left"/>
              <w:rPr/>
            </w:pPr>
            <w:r>
              <w:rPr/>
              <w:t>Jonathan Violin</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center"/>
              <w:rPr/>
            </w:pPr>
            <w:r>
              <w:rPr/>
              <w:t>Director; Chief Executive Officer, President and Secretary(2)</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August 25, 2025</w:t>
            </w:r>
          </w:p>
        </w:tc>
      </w:tr>
      <w:tr>
        <w:trPr/>
        <w:tc>
          <w:tcPr>
            <w:tcW w:w="1745" w:type="dxa"/>
            <w:tcBorders/>
            <w:vAlign w:val="center"/>
          </w:tcPr>
          <w:p>
            <w:pPr>
              <w:pStyle w:val="TableContents"/>
              <w:bidi w:val="0"/>
              <w:spacing w:before="0" w:after="283"/>
              <w:jc w:val="left"/>
              <w:rPr/>
            </w:pPr>
            <w:r>
              <w:rPr/>
              <w:t>Kyle Breidenstine</w:t>
            </w:r>
          </w:p>
        </w:tc>
        <w:tc>
          <w:tcPr>
            <w:tcW w:w="12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center"/>
              <w:rPr/>
            </w:pPr>
            <w:r>
              <w:rPr/>
              <w:t>Senior Vice President, Finance and Treasurer</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September 10, 2025</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 Vignola, Korsana’s Chief Financial Officer, and Madelyn Zeylikman, Korsana’s General Counsel and Secretary, were not appointed until 2026 and thus did not earn any compensation during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Violin was appointed on August 26, 2025. From August 1, 2025 until December 31, 2025, Dr. Violin provided services to Korsana as a consultant.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total compensation awarded to, earned by, and paid to the Korsana NEOs for the 2025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5"/>
        <w:gridCol w:w="120"/>
        <w:gridCol w:w="60"/>
        <w:gridCol w:w="500"/>
        <w:gridCol w:w="60"/>
        <w:gridCol w:w="120"/>
        <w:gridCol w:w="140"/>
        <w:gridCol w:w="800"/>
        <w:gridCol w:w="60"/>
        <w:gridCol w:w="120"/>
        <w:gridCol w:w="140"/>
        <w:gridCol w:w="800"/>
        <w:gridCol w:w="60"/>
        <w:gridCol w:w="120"/>
        <w:gridCol w:w="140"/>
        <w:gridCol w:w="800"/>
        <w:gridCol w:w="60"/>
        <w:gridCol w:w="120"/>
        <w:gridCol w:w="162"/>
        <w:gridCol w:w="1141"/>
        <w:gridCol w:w="60"/>
        <w:gridCol w:w="120"/>
        <w:gridCol w:w="140"/>
        <w:gridCol w:w="980"/>
        <w:gridCol w:w="77"/>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7"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Jonathan Violin</w:t>
            </w:r>
          </w:p>
          <w:p>
            <w:pPr>
              <w:pStyle w:val="TableContents"/>
              <w:bidi w:val="0"/>
              <w:spacing w:before="0" w:after="20"/>
              <w:jc w:val="left"/>
              <w:rPr>
                <w:rFonts w:ascii="Times New Roman" w:hAnsi="Times New Roman"/>
                <w:i/>
                <w:sz w:val="20"/>
              </w:rPr>
            </w:pPr>
            <w:r>
              <w:rPr>
                <w:rFonts w:ascii="Times New Roman" w:hAnsi="Times New Roman"/>
                <w:i/>
                <w:sz w:val="20"/>
              </w:rPr>
              <w:t>Director; Chief Executive Officer, President and Secretary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565,596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3,237,057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4,177,653</w:t>
            </w:r>
          </w:p>
        </w:tc>
        <w:tc>
          <w:tcPr>
            <w:tcW w:w="77"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Kyle Breidenstine </w:t>
            </w:r>
          </w:p>
          <w:p>
            <w:pPr>
              <w:pStyle w:val="TableContents"/>
              <w:bidi w:val="0"/>
              <w:spacing w:before="0" w:after="20"/>
              <w:jc w:val="left"/>
              <w:rPr>
                <w:rFonts w:ascii="Times New Roman" w:hAnsi="Times New Roman"/>
                <w:i/>
                <w:sz w:val="20"/>
              </w:rPr>
            </w:pPr>
            <w:r>
              <w:rPr>
                <w:rFonts w:ascii="Times New Roman" w:hAnsi="Times New Roman"/>
                <w:i/>
                <w:sz w:val="20"/>
              </w:rPr>
              <w:t>Senior Vice President, Finance and Treasurer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100,527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310,202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489,229</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355" w:type="dxa"/>
        <w:jc w:val="left"/>
        <w:tblInd w:w="0" w:type="dxa"/>
        <w:tblLayout w:type="fixed"/>
        <w:tblCellMar>
          <w:top w:w="0" w:type="dxa"/>
          <w:left w:w="0" w:type="dxa"/>
          <w:bottom w:w="0" w:type="dxa"/>
          <w:right w:w="0" w:type="dxa"/>
        </w:tblCellMar>
      </w:tblPr>
      <w:tblGrid>
        <w:gridCol w:w="305"/>
        <w:gridCol w:w="9050"/>
      </w:tblGrid>
      <w:tr>
        <w:trPr/>
        <w:tc>
          <w:tcPr>
            <w:tcW w:w="305" w:type="dxa"/>
            <w:tcBorders/>
            <w:vAlign w:val="center"/>
          </w:tcPr>
          <w:p>
            <w:pPr>
              <w:pStyle w:val="TableContents"/>
              <w:bidi w:val="0"/>
              <w:spacing w:before="0" w:after="283"/>
              <w:jc w:val="left"/>
              <w:rPr/>
            </w:pPr>
            <w:r>
              <w:rPr/>
              <w:t>(1)</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 this column for 2025 for Dr. Violin represents consulting fees paid for services provided to Korsana.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(i) annual cash bonus compensation paid for performance in 2025,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Annual Bonuses</w:t>
            </w:r>
            <w:r>
              <w:rPr>
                <w:rFonts w:ascii="Times New Roman" w:hAnsi="Times New Roman"/>
                <w:sz w:val="20"/>
              </w:rPr>
              <w:t>” below, and (ii) a $40,000 signing bonus paid to Mr. Breidenstine in connection with his appointment, as described in more information under “</w:t>
            </w:r>
            <w:r>
              <w:rPr>
                <w:rFonts w:ascii="Times New Roman" w:hAnsi="Times New Roman"/>
                <w:i/>
                <w:sz w:val="20"/>
              </w:rPr>
              <w:t>narrative to Summary Compensation Table</w:t>
            </w:r>
            <w:r>
              <w:rPr>
                <w:rFonts w:ascii="Times New Roman" w:hAnsi="Times New Roman"/>
                <w:sz w:val="20"/>
              </w:rPr>
              <w:t>—</w:t>
            </w:r>
            <w:r>
              <w:rPr>
                <w:rFonts w:ascii="Times New Roman" w:hAnsi="Times New Roman"/>
                <w:i/>
                <w:sz w:val="20"/>
              </w:rPr>
              <w:t>NEO Agreements—Mr.</w:t>
            </w:r>
            <w:r>
              <w:rPr>
                <w:rFonts w:ascii="Times New Roman" w:hAnsi="Times New Roman"/>
                <w:sz w:val="20"/>
              </w:rPr>
              <w:t> </w:t>
            </w:r>
            <w:r>
              <w:rPr>
                <w:rFonts w:ascii="Times New Roman" w:hAnsi="Times New Roman"/>
                <w:i/>
                <w:sz w:val="20"/>
              </w:rPr>
              <w:t>Breidenstine</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restricted stock awarded to the Korsana NEOs during 2025, calculated in accordance with Financial Accounting Standard Board Accounting Standards Codification Topic 718 (“FASB ASC Topic 718”) based on a per share value of $0.57. See Note 7 to Korsana’s financial statements included elsewhere in this proxy statement/prospectus for more information on the assumptions used in calculating such amounts.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stock options awarded to the Korsana NEOs during 2025, calculated in accordance with FASB ASC Topic 718. See Note 7 to Korsana’s financial statements included elsewhere in this proxy statement/prospectus for more information on the assumptions used in calculating such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The base salary for each Korsana NEO was established in connection with the commencement of their services or employment with Korsana after taking into account market compensation rates, responsibilities,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Korsana expects to review base salaries for the Korsana NEOs annually and may adjust salaries from time to time to realign with market levels after taking into account individual responsibilities, internal equity, performance, and experience. During 2025, Dr. Violin received a monthly consulting fee of $50,000 (which was not pro-rated for partial months) and his annual base salary, effective as of January 1, 2026, is $600,000. During 2025, the annual base salary for Mr. Breidenstine was $330,000.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Each Korsana NEO is eligible to participate in Korsana’s annual bonus program with target bonuses equal to 50% of his base consulting fee for Dr. Violin and 35% of base salary for Mr. Breidenstine. For 2025, each of Dr. Violin’s and Mr. Breidenstine’s target bonus was pro-rated based on their respective service commencement date with Korsana. </w:t>
      </w:r>
    </w:p>
    <w:p>
      <w:pPr>
        <w:pStyle w:val="TextBody"/>
        <w:bidi w:val="0"/>
        <w:spacing w:before="240" w:after="0"/>
        <w:jc w:val="left"/>
        <w:rPr>
          <w:rFonts w:ascii="Times New Roman" w:hAnsi="Times New Roman"/>
          <w:sz w:val="20"/>
        </w:rPr>
      </w:pPr>
      <w:r>
        <w:rPr>
          <w:rFonts w:ascii="Times New Roman" w:hAnsi="Times New Roman"/>
          <w:sz w:val="20"/>
        </w:rPr>
        <w:t>The 2025 bonuses were paid out based on a holistic evaluation of Korsana’s performance and the Korsana NEOs’ contributions to Korsana during 2025. Based on such performance, the Korsana Board approved the payment of annual bonuses at 100% of target in the amounts set forth in the “</w:t>
      </w:r>
      <w:r>
        <w:rPr>
          <w:rFonts w:ascii="Times New Roman" w:hAnsi="Times New Roman"/>
          <w:i/>
          <w:sz w:val="20"/>
        </w:rPr>
        <w:t>Summary Compensation Table</w:t>
      </w:r>
      <w:r>
        <w:rPr>
          <w:rFonts w:ascii="Times New Roman" w:hAnsi="Times New Roman"/>
          <w:sz w:val="20"/>
        </w:rPr>
        <w:t xml:space="preserve">” above, which were paid in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Incentives </w:t>
      </w:r>
    </w:p>
    <w:p>
      <w:pPr>
        <w:pStyle w:val="TextBody"/>
        <w:bidi w:val="0"/>
        <w:spacing w:before="120" w:after="0"/>
        <w:jc w:val="left"/>
        <w:rPr>
          <w:rFonts w:ascii="Times New Roman" w:hAnsi="Times New Roman"/>
          <w:sz w:val="20"/>
        </w:rPr>
      </w:pPr>
      <w:r>
        <w:rPr>
          <w:rFonts w:ascii="Times New Roman" w:hAnsi="Times New Roman"/>
          <w:sz w:val="20"/>
        </w:rPr>
        <w:t xml:space="preserve">Korsana’s equity grant program is intended to align the interests of the Korsana NEOs with those of Korsana’s stockholders and to motivate them to make important contributions to Korsana’s performance. In connection with their commencement of services with Korsana, on October 27, 2025: (i) Dr. Violin purchased 1,000,000 shares of restricted stock at $0.86 per share, representing the fair market value on such date, which shares vest 25% on June 1, 2026 and monthly thereafter through June 1, 2029; and (ii) Mr. Breidenstine received options to purchase 484,337 shares of Korsana Common Stock, which vest 25% on September 10, 2026 and monthly thereafter until September 10, 2029. In addition, on October 27, 2025, Dr. Violin received options to purchase 5,054,217 shares of Korsana Common Stock, which vest 25% on June 1, 2026 and monthly thereafter until June 1, 2029.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commencement of their services and/or employment with Korsana, Korsana entered into a consulting agreement and/or offer letters with each of the Korsana NEOs, as described below. For purposes of the following descriptions, “cause,” “change in control,” and “good reason” have the meanings provided under the respective offer letter.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Violin </w:t>
      </w:r>
    </w:p>
    <w:p>
      <w:pPr>
        <w:pStyle w:val="TextBody"/>
        <w:bidi w:val="0"/>
        <w:spacing w:before="240" w:after="0"/>
        <w:jc w:val="left"/>
        <w:rPr>
          <w:rFonts w:ascii="Times New Roman" w:hAnsi="Times New Roman"/>
          <w:sz w:val="20"/>
        </w:rPr>
      </w:pPr>
      <w:r>
        <w:rPr>
          <w:rFonts w:ascii="Times New Roman" w:hAnsi="Times New Roman"/>
          <w:sz w:val="20"/>
        </w:rPr>
        <w:t>Prior to the commencement of his employment with Korsana, Dr. Violin provided services pursuant to a consulting agreement with Korsana. Under the consulting agreement, Dr. Violin received monthly consulting fees equal to $50,000 per month and an initial opportunity to purchase shares of restricted stock, as described above under “</w:t>
      </w:r>
      <w:r>
        <w:rPr>
          <w:rFonts w:ascii="Times New Roman" w:hAnsi="Times New Roman"/>
          <w:i/>
          <w:sz w:val="20"/>
        </w:rPr>
        <w:t>Long-Term Incentives</w:t>
      </w:r>
      <w:r>
        <w:rPr>
          <w:rFonts w:ascii="Times New Roman" w:hAnsi="Times New Roman"/>
          <w:sz w:val="20"/>
        </w:rPr>
        <w:t xml:space="preserve">.” In addition, Korsana will periodically grant stock options sufficient to maintain Dr. Violin’s ownership at approximately 5% on a fully-diluted basis until Korsana has raised an additional $200 million in financing following the effective date of his consulting agreement, to vest in equal monthly installments after the applicable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employment, Dr. Violin’s consulting agreement automatically terminated and he entered into an offer letter with Korsana, effective January 1, 2026, which provides for at-will employment. Dr. Violin’s offer letter provides for an annual base salary of $600,000 and an annual target bonus equal to 50% of his base salary. The offer letter also provides for the same periodic grants of stock options as described above under his consulting agreement. The options granted to Dr. Violin on October 27, 2025 were in partial satisfaction (with respect to $151 million in financing) of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Dr. Violin’s offer letter, in the event of Dr. Violin’s termination by Korsana without cause more than three months before or more than 12 months following a change in control of Korsana, he is eligible for the following severance benefits, subject to his execution and non-revocation of a release of claims: (i) severance payments equal to 12 months of his base salary, (ii) any earned but unpaid bonus for the year prior to the year of termination, (iii) if such termination occurs prior to June 1, 2026, acceleration of his outstanding equity awards that were scheduled to vest on June 1, 2026 and if such termination occurs on or after June 1, 2026, the acceleration of 30% of the unvested portion of his time-based equity awards, and (iv) Korsana-subsidized continued health coverage for up to 12 months. Upon a termination by Korsana without cause or his resignation for good reason within three months before or within 12 months following a change in control of Korsana, he will instead be eligible to receive (i) severance payments equal to 18 months of his base salary, (ii) any earned but unpaid bonus for the year prior to the year of termination, (iii) full acceleration of his outstanding time-based equity awards, and (iv) Korsana-subsidized continued health coverage for up to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Mr. Breidenstine </w:t>
      </w:r>
    </w:p>
    <w:p>
      <w:pPr>
        <w:pStyle w:val="TextBody"/>
        <w:bidi w:val="0"/>
        <w:spacing w:before="120" w:after="0"/>
        <w:jc w:val="left"/>
        <w:rPr>
          <w:rFonts w:ascii="Times New Roman" w:hAnsi="Times New Roman"/>
          <w:sz w:val="20"/>
        </w:rPr>
      </w:pPr>
      <w:r>
        <w:rPr>
          <w:rFonts w:ascii="Times New Roman" w:hAnsi="Times New Roman"/>
          <w:sz w:val="20"/>
        </w:rPr>
        <w:t>In connection with his employment, Mr. Breidenstine entered into an offer letter which provides for at-will employment. Mr. Breidenstine’s offer letter provides for an annual base salary of $330,000, an annual target bonus equal to 35% of his base salary, pro-rated for 2025, and a one-time signing bonus of $40,000, which is subject to repayment in the event Mr. Breidenstine is terminated for cause or resigns within 12 months. The offer letter also provides for an initial grant of stock options as described above under “</w:t>
      </w:r>
      <w:r>
        <w:rPr>
          <w:rFonts w:ascii="Times New Roman" w:hAnsi="Times New Roman"/>
          <w:i/>
          <w:sz w:val="20"/>
        </w:rPr>
        <w:t>Long-Term Incentives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Mr. Breidenstine’s offer letter, in the event of his termination by Korsana without cause before or more than 12 months following a change in control of Korsana, he is eligible for the following severance benefits, subject to his execution and non-revocation of a release of claims: (i) severance payments equal to nine months of his base salary, (ii) any earned but unpaid bonus for the year prior to the year of termination, and (iii) Korsana-subsidized continued health coverage for up to nine months. Upon a termination by Korsana without cause or his resignation for good reason within 12 months following a change in control, he will also receive full acceleration of his outstanding time-based equity awards.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each of the Korsana NEOs as of December 31, 2025. </w:t>
      </w:r>
    </w:p>
    <w:p>
      <w:pPr>
        <w:pStyle w:val="TextBody"/>
        <w:bidi w:val="0"/>
        <w:spacing w:before="0" w:after="0"/>
        <w:jc w:val="left"/>
        <w:rPr/>
      </w:pPr>
      <w:r>
        <w:rPr/>
        <w:t> </w:t>
      </w:r>
    </w:p>
    <w:tbl>
      <w:tblPr>
        <w:tblW w:w="10048" w:type="dxa"/>
        <w:jc w:val="left"/>
        <w:tblInd w:w="0" w:type="dxa"/>
        <w:tblLayout w:type="fixed"/>
        <w:tblCellMar>
          <w:top w:w="0" w:type="dxa"/>
          <w:left w:w="0" w:type="dxa"/>
          <w:bottom w:w="0" w:type="dxa"/>
          <w:right w:w="0" w:type="dxa"/>
        </w:tblCellMar>
      </w:tblPr>
      <w:tblGrid>
        <w:gridCol w:w="1505"/>
        <w:gridCol w:w="120"/>
        <w:gridCol w:w="237"/>
        <w:gridCol w:w="1028"/>
        <w:gridCol w:w="60"/>
        <w:gridCol w:w="120"/>
        <w:gridCol w:w="83"/>
        <w:gridCol w:w="1362"/>
        <w:gridCol w:w="350"/>
        <w:gridCol w:w="60"/>
        <w:gridCol w:w="211"/>
        <w:gridCol w:w="664"/>
        <w:gridCol w:w="60"/>
        <w:gridCol w:w="120"/>
        <w:gridCol w:w="60"/>
        <w:gridCol w:w="1100"/>
        <w:gridCol w:w="60"/>
        <w:gridCol w:w="120"/>
        <w:gridCol w:w="66"/>
        <w:gridCol w:w="1078"/>
        <w:gridCol w:w="350"/>
        <w:gridCol w:w="60"/>
        <w:gridCol w:w="163"/>
        <w:gridCol w:w="936"/>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w:t>
              <w:br/>
              <w:t>That Have</w:t>
              <w:br/>
              <w:t>Not</w:t>
              <w:br/>
              <w:t>Vested</w:t>
              <w:br/>
              <w:t>($)(1)</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5,054,217</w:t>
            </w:r>
          </w:p>
        </w:tc>
        <w:tc>
          <w:tcPr>
            <w:tcW w:w="350" w:type="dxa"/>
            <w:tcBorders/>
            <w:shd w:fill="CCEEFF" w:val="clear"/>
            <w:vAlign w:val="center"/>
          </w:tcPr>
          <w:p>
            <w:pPr>
              <w:pStyle w:val="TableContents"/>
              <w:bidi w:val="0"/>
              <w:spacing w:before="0" w:after="283"/>
              <w:jc w:val="left"/>
              <w:rPr/>
            </w:pPr>
            <w:r>
              <w:rPr>
                <w:b/>
              </w:rPr>
              <w:t>(2)</w:t>
            </w: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10/26/2035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1,000,000</w:t>
            </w:r>
          </w:p>
        </w:tc>
        <w:tc>
          <w:tcPr>
            <w:tcW w:w="350" w:type="dxa"/>
            <w:tcBorders/>
            <w:shd w:fill="CCEEFF" w:val="clear"/>
            <w:vAlign w:val="center"/>
          </w:tcPr>
          <w:p>
            <w:pPr>
              <w:pStyle w:val="TableContents"/>
              <w:bidi w:val="0"/>
              <w:spacing w:before="0" w:after="283"/>
              <w:jc w:val="left"/>
              <w:rPr/>
            </w:pPr>
            <w:r>
              <w:rPr>
                <w:b/>
              </w:rPr>
              <w:t>(3)</w:t>
            </w: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860,000</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Kyle Breidenstine</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484,337</w:t>
            </w:r>
          </w:p>
        </w:tc>
        <w:tc>
          <w:tcPr>
            <w:tcW w:w="350" w:type="dxa"/>
            <w:tcBorders/>
            <w:vAlign w:val="center"/>
          </w:tcPr>
          <w:p>
            <w:pPr>
              <w:pStyle w:val="TableContents"/>
              <w:bidi w:val="0"/>
              <w:spacing w:before="0" w:after="283"/>
              <w:jc w:val="left"/>
              <w:rPr/>
            </w:pPr>
            <w:r>
              <w:rPr>
                <w:b/>
              </w:rPr>
              <w:t>(4)</w:t>
            </w: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10/26/2035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135" w:type="dxa"/>
        <w:jc w:val="left"/>
        <w:tblInd w:w="0" w:type="dxa"/>
        <w:tblLayout w:type="fixed"/>
        <w:tblCellMar>
          <w:top w:w="0" w:type="dxa"/>
          <w:left w:w="0" w:type="dxa"/>
          <w:bottom w:w="0" w:type="dxa"/>
          <w:right w:w="0" w:type="dxa"/>
        </w:tblCellMar>
      </w:tblPr>
      <w:tblGrid>
        <w:gridCol w:w="305"/>
        <w:gridCol w:w="9830"/>
      </w:tblGrid>
      <w:tr>
        <w:trPr/>
        <w:tc>
          <w:tcPr>
            <w:tcW w:w="305" w:type="dxa"/>
            <w:tcBorders/>
            <w:vAlign w:val="center"/>
          </w:tcPr>
          <w:p>
            <w:pPr>
              <w:pStyle w:val="TableContents"/>
              <w:bidi w:val="0"/>
              <w:spacing w:before="0" w:after="283"/>
              <w:jc w:val="left"/>
              <w:rPr/>
            </w:pPr>
            <w:r>
              <w:rPr/>
              <w:t>(1)</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reflect the value of restricted stock as of December 31, 2025, based on a per share price of $0.86.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June 1, 2026 and thereafter in approximately equal monthly installments for 36 months, subject to Dr. Violin’s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of restricted stock vest as to 25% on June 1, 2026 and thereafter in approximately equal monthly installments for 36 months, subject to Dr. Violin’s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options vest as to 25% on September 10, 2026 and thereafter in approximately equal monthly installments for 36 months, subject to Mr. Breidenstine’s continued service through the applicable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Narrative Disclosure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Korsana provides employees, including the Korsana NEOs, the opportunity to participate in a tax-qualified defined contribution 401(k) retirement plan; however, Korsana did not provide any matching or other contributions under such plan in 2025. Korsana does not provide any non-qualified deferred compensation plans or defined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Korsana also maintains a 2025 Equity Incentive Plan, the purpose of which is to advance the interests of Korsana’s stockholders by enhancing Korsana’s ability to attract, retain and motivate persons who are expected to make important contributions to Korsana and by providing such persons with equity ownership opportunities and performance-based incentives that are intended to better align the interests of such persons with those of Korsana’s stockholders. Korsana’s 2025 Equity Incentive Plan provides for the issuance of up to 20,584,336 shares of Korsana Common Stock (of which 8,140,038 shares remain available for issuance as of March 30, 2026), which may be granted as stock options, restricted stock, restricted stock units and other stock-based awards to eligible employees, officers, directors, consultants and advisors of Korsana on such terms and conditions as approved by the Korsana Board or any committee appointed by the Korsana Board to administer Korsana’s 2025 Equity Incentive Plan. No grants will be made under Korsana’s 2025 Equity Incentive Plan following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1069_15"/>
      <w:bookmarkEnd w:id="17"/>
      <w:r>
        <w:rPr>
          <w:rFonts w:ascii="Times New Roman" w:hAnsi="Times New Roman"/>
          <w:b/>
          <w:sz w:val="20"/>
        </w:rPr>
        <w:t xml:space="preserve">KORSANA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During 2025, pursuant to the terms of a consulting agreement between Korsana and Ms. Pernice, Korsana granted Ms. Pernice stock options to acquire 138,889 shares of Korsana Common Stock, which vest 25% on November 8, 2025 and monthly thereafter until November 8, 2028. </w:t>
      </w:r>
    </w:p>
    <w:p>
      <w:pPr>
        <w:pStyle w:val="TextBody"/>
        <w:bidi w:val="0"/>
        <w:spacing w:before="240" w:after="0"/>
        <w:jc w:val="left"/>
        <w:rPr>
          <w:rFonts w:ascii="Times New Roman" w:hAnsi="Times New Roman"/>
          <w:sz w:val="20"/>
        </w:rPr>
      </w:pPr>
      <w:r>
        <w:rPr>
          <w:rFonts w:ascii="Times New Roman" w:hAnsi="Times New Roman"/>
          <w:sz w:val="20"/>
        </w:rPr>
        <w:t xml:space="preserve">No members of the Korsana Board received any cash retainers or other fees during 2025, and no members, other than Ms. Pernice, received any other compensation during 2025. Korsana did not implement a formal non-employee director compensation policy during 2025. It is expected that the Combined Company will implement a non-employee director compensation program that is expected to include an annual cash retainer and annual equity grants. </w:t>
      </w:r>
    </w:p>
    <w:p>
      <w:pPr>
        <w:pStyle w:val="TextBody"/>
        <w:bidi w:val="0"/>
        <w:spacing w:before="360" w:after="0"/>
        <w:jc w:val="left"/>
        <w:rPr>
          <w:rFonts w:ascii="Times New Roman" w:hAnsi="Times New Roman"/>
          <w:b/>
          <w:sz w:val="20"/>
        </w:rPr>
      </w:pPr>
      <w:r>
        <w:rPr>
          <w:rFonts w:ascii="Times New Roman" w:hAnsi="Times New Roman"/>
          <w:b/>
          <w:sz w:val="20"/>
        </w:rPr>
        <w:t xml:space="preserve">2025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for each person who served as a non-employee member of the Korsana Board during 2025. Directors who also serve as employees received no additional compensation for their service as directors.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1745"/>
        <w:gridCol w:w="120"/>
        <w:gridCol w:w="272"/>
        <w:gridCol w:w="1323"/>
        <w:gridCol w:w="350"/>
        <w:gridCol w:w="60"/>
        <w:gridCol w:w="140"/>
        <w:gridCol w:w="680"/>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 xml:space="preserve">($)(1)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Nilesh Kumar</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88,954</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88,954</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Harwin</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options awarded to Korsana non-employee directors during 2025, calculated in accordance with FASB ASC Topic 718. See Note 7 to Korsana’s financial statements included elsewhere in this proxy statement/prospectus for more information on the assumptions used in calculating such amounts. </w:t>
            </w:r>
          </w:p>
        </w:tc>
      </w:tr>
    </w:tbl>
    <w:tbl>
      <w:tblPr>
        <w:tblW w:w="9925" w:type="dxa"/>
        <w:jc w:val="left"/>
        <w:tblInd w:w="0" w:type="dxa"/>
        <w:tblLayout w:type="fixed"/>
        <w:tblCellMar>
          <w:top w:w="0" w:type="dxa"/>
          <w:left w:w="0" w:type="dxa"/>
          <w:bottom w:w="0" w:type="dxa"/>
          <w:right w:w="0" w:type="dxa"/>
        </w:tblCellMar>
      </w:tblPr>
      <w:tblGrid>
        <w:gridCol w:w="305"/>
        <w:gridCol w:w="9620"/>
      </w:tblGrid>
      <w:tr>
        <w:trPr/>
        <w:tc>
          <w:tcPr>
            <w:tcW w:w="305" w:type="dxa"/>
            <w:tcBorders/>
            <w:vAlign w:val="center"/>
          </w:tcPr>
          <w:p>
            <w:pPr>
              <w:pStyle w:val="TableContents"/>
              <w:bidi w:val="0"/>
              <w:spacing w:before="0" w:after="283"/>
              <w:jc w:val="left"/>
              <w:rPr/>
            </w:pPr>
            <w:r>
              <w:rPr/>
              <w:t>(2)</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Ms. Pernice held outstanding options to acquire 138,889 shares of Korsana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11069_16"/>
      <w:bookmarkEnd w:id="18"/>
      <w:r>
        <w:rPr>
          <w:rFonts w:ascii="Times New Roman" w:hAnsi="Times New Roman"/>
          <w:b/>
          <w:sz w:val="20"/>
        </w:rPr>
        <w:t xml:space="preserve">MATTERS BEING SUBMITTED TO A VOTE OF CYCLERION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11069_17"/>
      <w:bookmarkEnd w:id="19"/>
      <w:r>
        <w:rPr>
          <w:rFonts w:ascii="Times New Roman" w:hAnsi="Times New Roman"/>
          <w:b/>
          <w:sz w:val="20"/>
        </w:rPr>
        <w:t xml:space="preserve">PROPOSAL NO. 1 - THE NASDAQ STOCK ISSUANCE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(i) the issuance of shares of Cyclerion Common Stock, including shares of Cyclerion Common Stock issuable upon conversion of Cyclerion Series B Preferred Stock, to the stockholders of Korsana pursuant to the Merger Agreement, which shares of Cyclerion Common Stock will represent more than 20% of the shares of Cyclerion Common Stock outstanding immediately prior to the First Merger and (ii) the change of control of Cyclerion resulting from the First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First Merger, Cyclerion securityholders as of immediately prior to the First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Under certain circumstances further described in the Merger Agreement, the ownership percentages may be adjusted up or down, including if Cyclerion’s net cash as of closing is less than or greater than $0. Cyclerion currently estimates that its net cash as of closing will be approximately $(2.5) million, and the currently estimated ownership percentages reflect this projection. </w:t>
      </w:r>
    </w:p>
    <w:p>
      <w:pPr>
        <w:pStyle w:val="TextBody"/>
        <w:bidi w:val="0"/>
        <w:spacing w:before="240" w:after="0"/>
        <w:jc w:val="left"/>
        <w:rPr>
          <w:rFonts w:ascii="Times New Roman" w:hAnsi="Times New Roman"/>
          <w:sz w:val="20"/>
        </w:rPr>
      </w:pPr>
      <w:r>
        <w:rPr>
          <w:rFonts w:ascii="Times New Roman" w:hAnsi="Times New Roman"/>
          <w:sz w:val="20"/>
        </w:rPr>
        <w:t xml:space="preserve">Cyclerion will assume outstanding and unexercised Korsana Options to purchase shares of Korsana Common Stock, Korsana RSUs, and Korsana Warrants to purchase shares of Korsana Common Stock, and such securities will be converted into options to purchase shares of Cyclerion Common Stock, Cyclerion RSUs and Warrants to purchase shares of Cyclerion Common Stock, as applicable, subject to certain adjustments.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and the Merger are described in detail in the section of this proxy statement/prospectus titled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Agreement</w:t>
      </w:r>
      <w:r>
        <w:rPr>
          <w:rFonts w:ascii="Times New Roman" w:hAnsi="Times New Roman"/>
          <w:sz w:val="20"/>
        </w:rPr>
        <w:t xml:space="preserve">.” A copy of the Merger Agreement, including the amendment thereto, is attached as </w:t>
      </w:r>
      <w:r>
        <w:rPr>
          <w:rFonts w:ascii="Times New Roman" w:hAnsi="Times New Roman"/>
          <w:i/>
          <w:sz w:val="20"/>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shareholder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Cyclerion Common Stock in the Merger exceeds the 20% under the Nasdaq Listing Rules and is expected to represent approximately 98.9% of Cyclerion Common Stock on a fully-diluted basis immediately following the Merger. Accordingly, in order to ensure compliance with Nasdaq Listing Rule 5635(a)(1), Cyclerion must obtain the approval of Cyclerion shareholders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shareholder approval prior to an issuance of stock that will result in a “change of control” of the listed company. It is expected that Nasdaq will determine that the Merger constitutes a “change of control” of Cyclerion. Accordingly, in order to ensure compliance with Nasdaq Listing Rule 5635(b), Cyclerion must obtain the approval of Cyclerion shareholders of the change of control resulting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unless, to the extent permitted by applicable law, each of Cyclerion, the Merger Subs, and Korsana waives such condition. Notwithstanding the approval of the Nasdaq Stock Issuance Proposal, if the Authorized Share Increase Proposal or the Reverse Split Proposal are not approved or the other closing conditions under the Merger Agreement are not satisfied or waived,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Nasdaq Stock Issuance Proposal. See “</w:t>
      </w:r>
      <w:r>
        <w:rPr>
          <w:rFonts w:ascii="Times New Roman" w:hAnsi="Times New Roman"/>
          <w:i/>
          <w:sz w:val="20"/>
        </w:rPr>
        <w:t>Agreements Related to the Merger</w:t>
      </w:r>
      <w:r>
        <w:rPr>
          <w:rFonts w:ascii="Times New Roman" w:hAnsi="Times New Roman"/>
          <w:sz w:val="20"/>
        </w:rPr>
        <w:t xml:space="preserve"> — </w:t>
      </w:r>
      <w:r>
        <w:rPr>
          <w:rFonts w:ascii="Times New Roman" w:hAnsi="Times New Roman"/>
          <w:i/>
          <w:sz w:val="20"/>
        </w:rPr>
        <w:t>Support</w:t>
      </w:r>
      <w:r>
        <w:rPr>
          <w:rFonts w:ascii="Times New Roman" w:hAnsi="Times New Roman"/>
          <w:sz w:val="20"/>
        </w:rPr>
        <w:t xml:space="preserve"> </w:t>
      </w:r>
      <w:r>
        <w:rPr>
          <w:rFonts w:ascii="Times New Roman" w:hAnsi="Times New Roman"/>
          <w:i/>
          <w:sz w:val="20"/>
        </w:rPr>
        <w:t>Agreements</w:t>
      </w:r>
      <w:r>
        <w:rPr>
          <w:rFonts w:ascii="Times New Roman" w:hAnsi="Times New Roman"/>
          <w:sz w:val="20"/>
        </w:rPr>
        <w:t xml:space="preserve">” beginning on page 188 of this proxy statement/prospectus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1069_18"/>
      <w:bookmarkEnd w:id="20"/>
      <w:r>
        <w:rPr>
          <w:rFonts w:ascii="Times New Roman" w:hAnsi="Times New Roman"/>
          <w:b/>
          <w:sz w:val="20"/>
        </w:rPr>
        <w:t xml:space="preserve">PROPOSAL NO. 2 - THE AUTHORIZED SHARE INCREASE PROPOSAL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increase the number of authorized shares of Cyclerion Common Stock (the “Cyclerion Share Increase Amendment”). On July 16, 2026, the Cyclerion Board approved a proposal to amend the Cyclerion Articles to increase the number of authorized shares of Cyclerion Common Stock from 400,000,000 shares to 700,000,000, which would also have the effect of increasing the total number of authorized shares from 500,000,000, including Cyclerion preferred stock, to 800,000,000 (the “Cyclerion Share Increase”), in the form attached as </w:t>
      </w:r>
      <w:r>
        <w:rPr>
          <w:rFonts w:ascii="Times New Roman" w:hAnsi="Times New Roman"/>
          <w:i/>
          <w:sz w:val="20"/>
        </w:rPr>
        <w:t>Annex H</w:t>
      </w:r>
      <w:r>
        <w:rPr>
          <w:rFonts w:ascii="Times New Roman" w:hAnsi="Times New Roman"/>
          <w:sz w:val="20"/>
        </w:rPr>
        <w:t xml:space="preserve"> to this proxy statement/prospectus. As of June 30, 2026, there were 4,330,314 shares of Cyclerion Common Stock issued and outstanding, and 20,226,082 shares of Cyclerion Common Stock reserved for issuance. Accordingly, approximately 375,443,604 shares of the total number of Cyclerion Common Stock currently authorized remain available for issuance or may be reserved for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Share Increase Amendment would amend and restate the first paragraph of Article III of the Cyclerion Articles in its entirety as follows: </w:t>
      </w:r>
    </w:p>
    <w:p>
      <w:pPr>
        <w:pStyle w:val="TextBody"/>
        <w:bidi w:val="0"/>
        <w:spacing w:before="120" w:after="0"/>
        <w:jc w:val="left"/>
        <w:rPr/>
      </w:pPr>
      <w:r>
        <w:rPr/>
        <w:t>“</w:t>
      </w:r>
      <w:r>
        <w:rPr>
          <w:rFonts w:ascii="Times New Roman" w:hAnsi="Times New Roman"/>
          <w:sz w:val="20"/>
        </w:rPr>
        <w:t xml:space="preserve">State the total number of shares and par value, if any, of each class of stock that the corporation is authorized to issue. All corporations must authorize stock. If only one class or series is authorized, it is not necessary to specify any particular designation. </w:t>
      </w:r>
    </w:p>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2945"/>
        <w:gridCol w:w="120"/>
        <w:gridCol w:w="1730"/>
        <w:gridCol w:w="120"/>
        <w:gridCol w:w="455"/>
        <w:gridCol w:w="120"/>
        <w:gridCol w:w="1730"/>
        <w:gridCol w:w="120"/>
        <w:gridCol w:w="995"/>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Without Par Value</w:t>
            </w:r>
          </w:p>
        </w:tc>
        <w:tc>
          <w:tcPr>
            <w:tcW w:w="120" w:type="dxa"/>
            <w:tcBorders/>
            <w:vAlign w:val="center"/>
          </w:tcPr>
          <w:p>
            <w:pPr>
              <w:pStyle w:val="TableContents"/>
              <w:bidi w:val="0"/>
              <w:spacing w:before="0" w:after="283"/>
              <w:jc w:val="left"/>
              <w:rPr/>
            </w:pPr>
            <w:r>
              <w:rPr/>
              <w:t>  </w:t>
            </w:r>
          </w:p>
        </w:tc>
        <w:tc>
          <w:tcPr>
            <w:tcW w:w="3420"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 Par Value</w:t>
            </w:r>
          </w:p>
        </w:tc>
      </w:tr>
      <w:tr>
        <w:trPr/>
        <w:tc>
          <w:tcPr>
            <w:tcW w:w="29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12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w:t>
            </w:r>
          </w:p>
        </w:tc>
        <w:tc>
          <w:tcPr>
            <w:tcW w:w="12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12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PAR VALUE</w:t>
            </w:r>
          </w:p>
        </w:tc>
      </w:tr>
      <w:tr>
        <w:trPr/>
        <w:tc>
          <w:tcPr>
            <w:tcW w:w="2945" w:type="dxa"/>
            <w:tcBorders/>
            <w:vAlign w:val="center"/>
          </w:tcPr>
          <w:p>
            <w:pPr>
              <w:pStyle w:val="TableContents"/>
              <w:bidi w:val="0"/>
              <w:spacing w:before="0" w:after="283"/>
              <w:jc w:val="center"/>
              <w:rPr/>
            </w:pPr>
            <w:r>
              <w:rPr/>
              <w:t>Common</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700,000,000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center"/>
              <w:rPr/>
            </w:pPr>
            <w:r>
              <w:rPr/>
              <w:t>Preferred</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99,500,000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center"/>
              <w:rPr/>
            </w:pPr>
            <w:r>
              <w:rPr/>
              <w:t>Series A Convertible Preferred</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500,000</w:t>
            </w:r>
          </w:p>
        </w:tc>
        <w:tc>
          <w:tcPr>
            <w:tcW w:w="12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Corporation is authorized to issue 800 million shares of capital stock of which 700 million are “Common Stock” and 100 million shares 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currently authorizes the issuance of up to 400,000,000 shares of Cyclerion Common Stock and 100,000,000 shares of preferred stock. As of the close of business on June 30, 2026, there were 4,330,314 shares of Cyclerion Common Stock issued and outstanding, and 20,226,082 shares of Cyclerion Common Stock reserved for issuance. Accordingly, 375,443,604 shares of the total number of Cyclerion Common Stock currently authorized remain available for issuance or may be reserved for issuance. </w:t>
      </w:r>
    </w:p>
    <w:p>
      <w:pPr>
        <w:pStyle w:val="TextBody"/>
        <w:bidi w:val="0"/>
        <w:spacing w:before="240" w:after="0"/>
        <w:jc w:val="left"/>
        <w:rPr>
          <w:rFonts w:ascii="Times New Roman" w:hAnsi="Times New Roman"/>
          <w:sz w:val="20"/>
        </w:rPr>
      </w:pPr>
      <w:r>
        <w:rPr>
          <w:rFonts w:ascii="Times New Roman" w:hAnsi="Times New Roman"/>
          <w:sz w:val="20"/>
        </w:rPr>
        <w:t>As described in greater detail in the section of this proxy statement/prospectus titled “</w:t>
      </w:r>
      <w:r>
        <w:rPr>
          <w:rFonts w:ascii="Times New Roman" w:hAnsi="Times New Roman"/>
          <w:i/>
          <w:sz w:val="20"/>
        </w:rPr>
        <w:t>The Merger Agreement</w:t>
      </w:r>
      <w:r>
        <w:rPr>
          <w:rFonts w:ascii="Times New Roman" w:hAnsi="Times New Roman"/>
          <w:sz w:val="20"/>
        </w:rPr>
        <w:t xml:space="preserve">,” pursuant to the Merger Agreement, Cyclerion will be required to issue shares of Cyclerion Common Stock, including shares of Cyclerion Common Stock issuable upon conversion of Cyclerion Series B Preferred Stock, to Korsana stockholders and to assume Korsana’s 2025 Equity Incentive Plan and outstanding Korsana Options, Korsana RSUs, and Korsana Warrants.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Cyclerion Common Stock currently authorized and unissued and not reserved for issuance is not sufficient for (i) the issuance of Cyclerion Common Stock, including shares of Cyclerion Common Stock issuable upon conversion of Cyclerion Series B Preferred Stock, pursuant to the Merger Agreement and (ii) the assumption of Korsana’s 2025 Equity Incentive Plan and Korsana Options, Korsana RSUs, and Korsana Warrants. In addition, there will not be sufficient shares of Cyclerion Common Stock available for issuance in connection with possible future acquisitions, equity and equity-based financings, possible future awards under employee benefit plans and other corporate purposes that the Cyclerion Board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 to be desirable. Therefore, the Cyclerion Board has determined that the Cyclerion Share Increase Amendment is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Cyclerion Share Increase Amendment is approved by shareholders, upon its effectiveness, and without giving effect to the proposed reverse stock split described in Proposal No. 3 of this proxy statement/prospectus, Cyclerion will have a total of 700,000,000 authorized shares of Cyclerion Common Stock, with 4,330,314 shares of Cyclerion Common Stock issued and outstanding (as of June 30, 2026), and 20,226,082 shares reserved for issuance (as of June 30, 2026), leaving a balance of 675,443,604 shares of Cyclerion Common Stock authorized and unissued and not reserved for any specific purpose. Such outstanding share amounts will be correspondingly adjusted to the extent the proposed reverse stock split is effected prior to effectiveness of the Cyclerion Share Increase Amendment, but the reverse stock split will not change the number of authorized shares of common or preferred stock. The Cyclerion Share Increase Amendment will have no effect on the authorized shares of Cyclerion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of Cyclerion Common Stock, including shares of Cyclerion Common Stock issuable upon conversion of Cyclerion Series B Preferred Stock, and (ii) the issuance of shares of Cyclerion Common Stock that may result from the assumption of Korsana’s 2025 Equity Incentive Plan and outstanding options to purchase Korsana Common Stock, Korsana RSUs, and Korsana Warrants, each pursuant to the terms of the Merger Agreement, Cyclerion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Cyclerion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and becomes effective, the additional authorized shares would be available for issuance at the discretion of the Cyclerion Board and without further shareholder approval, except as may be required by law or Nasdaq rules. The additional shares of authorized Cyclerion Common Stock would have the same rights and privileges as the shares of Cyclerion Common Stock currently issued and outstanding. Holders of Cyclerion Common Stock have no preemptive rights. The Cyclerion Share Increase would not change the number of shares of common stock outstanding, nor will it have any immediate dilutive effect; however, the issuance of additional shares of Cyclerion Common Stock authorized by the Cyclerion Share Increase may, among other things, have a dilutive effect on earnings per share and on shareholders’ equity and voting rights. Furthermore, future sales of substantial amounts of Cyclerion Common Stock, or the perception that these sales might occur, could adversely affect the prevailing market price of Cyclerion Common Stock or limit Cyclerion’s ability to raise additional capital. Cyclerion shareholders should recognize that, as a result of this proposal, they will own a smaller percentage of shares relative to the total authorized shares of the company than they presently own. </w:t>
      </w:r>
    </w:p>
    <w:p>
      <w:pPr>
        <w:pStyle w:val="TextBody"/>
        <w:bidi w:val="0"/>
        <w:spacing w:before="240" w:after="0"/>
        <w:jc w:val="left"/>
        <w:rPr>
          <w:rFonts w:ascii="Times New Roman" w:hAnsi="Times New Roman"/>
          <w:sz w:val="20"/>
        </w:rPr>
      </w:pPr>
      <w:r>
        <w:rPr>
          <w:rFonts w:ascii="Times New Roman" w:hAnsi="Times New Roman"/>
          <w:sz w:val="20"/>
        </w:rPr>
        <w:t>Additionally, if the Cyclerion Share Increase Amendment is approved and becomes effective, it will increase the number of unissued authorized shares, which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However, the Cyclerion Share Increase Amendment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Cyclerion Share Increase Amendment or the Cyclerion Share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Effectiveness of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Cyclerion Share Increase Amendment is approved by the shareholders at the Cyclerion Shareholders Meeting, it will become effective upon the filing of a certificate of amendment, a copy of which is attached as </w:t>
      </w:r>
      <w:r>
        <w:rPr>
          <w:rFonts w:ascii="Times New Roman" w:hAnsi="Times New Roman"/>
          <w:i/>
          <w:sz w:val="20"/>
        </w:rPr>
        <w:t>Annex H</w:t>
      </w:r>
      <w:r>
        <w:rPr>
          <w:rFonts w:ascii="Times New Roman" w:hAnsi="Times New Roman"/>
          <w:sz w:val="20"/>
        </w:rPr>
        <w:t xml:space="preserve"> to this proxy statement/prospectus, with the Secretary of the Commonwealth of Massachusetts or such later effective date and time as specified in the certificate of amendment in accordance with Massachusetts law. </w:t>
      </w:r>
    </w:p>
    <w:p>
      <w:pPr>
        <w:pStyle w:val="TextBody"/>
        <w:bidi w:val="0"/>
        <w:spacing w:before="240" w:after="0"/>
        <w:jc w:val="left"/>
        <w:rPr>
          <w:rFonts w:ascii="Times New Roman" w:hAnsi="Times New Roman"/>
          <w:sz w:val="20"/>
        </w:rPr>
      </w:pPr>
      <w:r>
        <w:rPr>
          <w:rFonts w:ascii="Times New Roman" w:hAnsi="Times New Roman"/>
          <w:sz w:val="20"/>
        </w:rPr>
        <w:t xml:space="preserve">Copies of the Cyclerion Articles and the certificates of amendment to the Cyclerion Articles are available as exhibits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Authorized Share Increase Proposal, unless, to the extent permitted by applicable law, each of Cyclerion, the Merger Subs, and Korsana waives such condition. Notwithstanding the approval of the Authorized Share Increase Proposal, if the Nasdaq Stock Issuance Proposal or the Reverse Split Proposal are not approved or the other closing conditions under the Merger Agreement are not satisfied or waived, the actions contemplated by the Authorized Share Increase Proposal will not be effected.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Authorized Share Increase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Authorized Share Increase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1069_19"/>
      <w:bookmarkEnd w:id="21"/>
      <w:r>
        <w:rPr>
          <w:rFonts w:ascii="Times New Roman" w:hAnsi="Times New Roman"/>
          <w:b/>
          <w:sz w:val="20"/>
        </w:rPr>
        <w:t xml:space="preserve">PROPOSAL NO. 3 -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an amendment to the Cyclerion Articles to effect a reverse stock split of Cyclerion’s issued and outstanding common stock at a ratio in the range of one new share for every two shares and one new share for every ten shares outstanding (or any number in between), to be determined mutually by the Cyclerion Board and the Korsana Board (the “Split Ratio”). The final Split Ratio and effectiveness of such amendment and the abandonment of such amendment will be mutually agreed by the Cyclerion Board and the Korsana Board prior to the First Effective Time, assuming this proposal is approved by Cyclerion’s shareholders. On July 16, 2026, the Cyclerion Board adopted resolutions approving the proposed articles of amendment to the Cyclerion Articles in the form attached as </w:t>
      </w:r>
      <w:r>
        <w:rPr>
          <w:rFonts w:ascii="Times New Roman" w:hAnsi="Times New Roman"/>
          <w:i/>
          <w:sz w:val="20"/>
        </w:rPr>
        <w:t>Annex</w:t>
      </w:r>
      <w:r>
        <w:rPr>
          <w:rFonts w:ascii="Times New Roman" w:hAnsi="Times New Roman"/>
          <w:sz w:val="20"/>
        </w:rPr>
        <w:t> </w:t>
      </w:r>
      <w:r>
        <w:rPr>
          <w:rFonts w:ascii="Times New Roman" w:hAnsi="Times New Roman"/>
          <w:i/>
          <w:sz w:val="20"/>
        </w:rPr>
        <w:t>I</w:t>
      </w:r>
      <w:r>
        <w:rPr>
          <w:rFonts w:ascii="Times New Roman" w:hAnsi="Times New Roman"/>
          <w:sz w:val="20"/>
        </w:rPr>
        <w:t xml:space="preserve"> to this proxy statement/prospectus. If this articles of amendment is filed with the Secretary of the Commonwealth of Massachusetts, upon its effectiveness (the “Reverse Stock Split Effective Time”), it will effect the reverse stock split by the Split Ratio but will not increase the par value of Cyclerion Common Stock. At the Reverse Stock Split Effective Time, the issued and outstanding shares of Cyclerion Common Stock immediately prior to the Reverse Stock Split Effective Time will automatically without further action on the part of Cyclerion be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the Reverse Stock Split Proposal, Cyclerion shareholders will approve the amendment to the Cyclerion Articles pursuant to which any whole number of issued and outstanding shares of Cyclerion Common Stock, between and including 2 and 10, would be combined into one share of Cyclerion Common Stock, and will authorize the Cyclerion Board to file the articles of amendment. As of June 30, 2026, 400,000,000 shares of Cyclerion Common Stock were authorized, 4,330,314 shares of Cyclerion Common Stock were outstanding, and no shares of Cyclerion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or preferred stock. </w:t>
      </w:r>
    </w:p>
    <w:p>
      <w:pPr>
        <w:pStyle w:val="TextBody"/>
        <w:bidi w:val="0"/>
        <w:spacing w:before="240" w:after="0"/>
        <w:jc w:val="left"/>
        <w:rPr>
          <w:rFonts w:ascii="Times New Roman" w:hAnsi="Times New Roman"/>
          <w:sz w:val="20"/>
        </w:rPr>
      </w:pPr>
      <w:r>
        <w:rPr>
          <w:rFonts w:ascii="Times New Roman" w:hAnsi="Times New Roman"/>
          <w:sz w:val="20"/>
        </w:rPr>
        <w:t>All holders of Cyclerion Common Stock will be affected proportionately by the reverse stock split. No fractional shares of Cyclerion Common Stock will be issued as a result of the reverse stock split. Instead, Cyclerion shareholders who otherwise would be entitled to receive fractional shares will be entitled to receive cash as set forth below under the caption “</w:t>
      </w:r>
      <w:r>
        <w:rPr>
          <w:rFonts w:ascii="Times New Roman" w:hAnsi="Times New Roman"/>
          <w:i/>
          <w:sz w:val="20"/>
        </w:rPr>
        <w:t>No Fractional Shares</w:t>
      </w:r>
      <w:r>
        <w:rPr>
          <w:rFonts w:ascii="Times New Roman" w:hAnsi="Times New Roman"/>
          <w:sz w:val="20"/>
        </w:rPr>
        <w:t xml:space="preserve">.” Each Cyclerion shareholder will hold the same percentage of the outstanding Cyclerion Common Stock immediately following the reverse stock split as that Cyclerion shareholder did immediately prior to the reverse stock split, except to the extent that the reverse stock split results in Cyclerion shareholders receiving cash in lieu of fractional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Board approved the proposal approving the amendment to the Cyclerion Articles effecting the reverse stock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effecting the reverse stock split will result in an increase in the minimum bid price of Cyclerion Common Stock and reduce the risk of a delisting of Cyclerion Common Stock from Nasdaq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help generate investor interest in Cyclerion, and ultimately the Combined Company, and help Cyclerion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a higher stock price may increase trading volume in Cyclerion Common Stock and facilitate future financings by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the resulting increase in the number of authorized and unissued shares available for future issuance will be necessary for the issuance of shares to the shareholders of Korsana pursuant to the Merger Agreement, as described in the Nasdaq Stock Issuance Proposal,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 of shares of Cyclerion Common Stock that may result from the assumption of Korsana’s 2025 Equity Incentive Plan and outstanding options to purchase Korsana Common Stock, Korsana RSUs, and Korsana Warrants, pursuant to the Merger Agreement, and ultimately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Cyclerion Board believes that a range of reverse stock split ratios provides it with the most flexibility to achieve the desired results of the reverse stock split.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currently listed on The Nasdaq Capital Market under the symbol “CYCN.” Cyclerion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Cyclerion to have, among other things, a $4.00 per share minimum bid price for a certain number of trading days preceding the closing of the Merger.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to the consummation of the Merger that Cyclerion will receive confirmation from Nasdaq that the Combined Company has been approved for listing on Nasdaq, but there can be no assurance such listing condition will be met or that Cyclerion will obtain such confirmation from Nasdaq. If such listing condition is not met or if such confirmation is not obtained, the Merger will not be consummated unless the condition is waived. The Nasdaq condition set forth in the Merger Agreement is not expected to be waived by the applicable parties.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Cyclerion’s management being able to issue more shares without further shareholder approval. The reverse stock split will not affect the number of authorized shares of Cyclerion capital stock, which will continue to be authorized pursuant to the Cyclerion Articles.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July 21, 2026, Cyclerion Common Stock closed at $3.70 per share. An investment in Cyclerion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Cyclerion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Cyclerion cannot predict whether the reverse stock split will increase the market price for Cyclerion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Cyclerion Common Stock after the reverse stock split will rise in proportion to the reduction in the number of shares of Cyclerion Common Stock outstanding before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Cyclerion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Cyclerion Common Stock will also be based on the performance of Cyclerion, and after the Merger, on the performance of the Combined Company, and other factors, some of which are unrelated to the number of shares outstanding. If the reverse stock split is effected and the market price of Cyclerion Common Stock declines, the percentage decline as an absolute number and as a percentage of the overall market capitalization of Cyclerion may be greater than would occur in the absence of a reverse stock split. Furthermore, the liquidity of Cyclerion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implemented, after the Reverse Stock Split Effective Time, the issued and outstanding shares of Cyclerion Common Stock immediately prior to the Reverse Stock Split Effective Time will automatically, without further action on the part of Cyclerion, be combined into a smaller number of shares proportionately based on the Split Ratio and each Cyclerion shareholder will own a reduced number of shares of Cyclerion Common Stock. The reverse stock split will affect all Cyclerion shareholders uniformly and will not affect any shareholder’s percentage ownership interests in Cyclerion, except that Cyclerion shareholders who would have otherwise received fractional shares will receive cash in lieu of such fractional shares. After the reverse stock split, each share of Cyclerion Common Stock will have the same voting rights and rights to dividends and distributions and will be identical in all other respects to the Cyclerion Common Stock now authorized, and Cyclerion Common Stock issued pursuant to the reverse stock split will remain fully paid and non-assessable. The reverse stock split is not intended as, and will not have the effect of, a “going private transaction” covered by Rule 13e-3 under the Exchange Act. Cyclerion will continue to be subject to the periodic reporting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Shares of Cyclerion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Reverse Stock Split Effective Time, Cyclerion Common Stock would have a new committee on uniform securities identification procedures number, which is used to identify Cyclerion Common Stock. Cyclerion Common Stock is currently registered under Section 12(b) of the Exchange Act and Cyclerion is subject to the periodic reporting and other requirements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Cyclerion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change the number of authorized shares of Cyclerion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Reduction in Stated Capital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Cyclerion Common Stock. As a result, after the Reverse Stock Split Effective Time, the stated capital on Cyclerion’s balance sheet attributable to Cyclerion Common Stock will be reduced proportionately based on the Split Ratio, subject to a minor adjustment in respect of the treatment of fractional shares, and the additional paid-in capital account will be credited with the amount by which the stated capital is reduced. Cyclerion shareholders’ equity, in the aggregate, will remain unchanged.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Equity Plans and Outstanding Derivative and Convertible Securities </w:t>
      </w:r>
    </w:p>
    <w:p>
      <w:pPr>
        <w:pStyle w:val="TextBody"/>
        <w:bidi w:val="0"/>
        <w:spacing w:before="120" w:after="0"/>
        <w:jc w:val="left"/>
        <w:rPr>
          <w:rFonts w:ascii="Times New Roman" w:hAnsi="Times New Roman"/>
          <w:sz w:val="20"/>
        </w:rPr>
      </w:pPr>
      <w:r>
        <w:rPr>
          <w:rFonts w:ascii="Times New Roman" w:hAnsi="Times New Roman"/>
          <w:sz w:val="20"/>
        </w:rPr>
        <w:t xml:space="preserve">Proportionate adjustments will be made to the per share exercise price, the number of shares issuable upon the exercise, vesting or settlement of all outstanding options and warrants to purchase or acquire, as applicable, shares of Cyclerion Common Stock, and the number of shares reserved for issuance pursuant to Cyclerion’s existing equity incentive, stock option and employee stock purchase plans will be reduced proportionately based on the Split Ratio.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(i) the Cyclerion shareholders approve the Nasdaq Stock Issuance Proposal and the Reverse Stock Split Proposal, (ii) the Cyclerion Board and the Korsana Board mutually agree that a reverse stock split is necessary, and (iii) the Cyclerion Board still believes that a reverse stock split is in the best interests of Cyclerion and its shareholders, Cyclerion will file the articles of amendment to the Cyclerion Articles with the Secretary of the Commonwealth of Massachusetts at such time as the Cyclerion Board has determined to be the appropriate Reverse Stock Split Effective Time at the Split Ratio. If the Reverse Stock Split Proposal is approved and the Nasdaq Stock Issuance Proposal is not approved by Cyclerion shareholders, the Cyclerion Board and the Korsana Board may mutually agree to delay effecting the reverse stock split without resoliciting shareholder approval or abandon effecting the reverse stock split; otherwise, the Cyclerion Board may, in its sole discretion, delay without resolicitation of shareholder approval or abandon effecting the reverse stock split. Beginning at the Reverse Stock Split Effective Time, each stock certificate representing pre-split shares will be deemed for all corporate purposes to evidence ownership of post-split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Cyclerion intends to treat shares held by shareholders in “street name” (i.e., through a bank, broker, custodian or other nominee), in the same manner as registered shareholders whose shares are registered in their names. Banks, brokers, custodians or other nominees will be instructed to effect the reverse stock split for their beneficial holders holding Cyclerion Common Stock in street name. However, these banks, brokers, custodians or other nominees may have different procedures than registered shareholders for processing the reverse stock split and making payment for fractional shares. If a shareholder holds shares of Cyclerion Common Stock with a bank, broker, custodian or other nominee and has any questions in this regard, shareholders are encouraged to contact their bank, broker, custodian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Registered Holders of Common Stock in Book-Entry Form </w:t>
      </w:r>
    </w:p>
    <w:p>
      <w:pPr>
        <w:pStyle w:val="TextBody"/>
        <w:bidi w:val="0"/>
        <w:spacing w:before="120" w:after="0"/>
        <w:jc w:val="left"/>
        <w:rPr>
          <w:rFonts w:ascii="Times New Roman" w:hAnsi="Times New Roman"/>
          <w:sz w:val="20"/>
        </w:rPr>
      </w:pPr>
      <w:r>
        <w:rPr>
          <w:rFonts w:ascii="Times New Roman" w:hAnsi="Times New Roman"/>
          <w:sz w:val="20"/>
        </w:rPr>
        <w:t xml:space="preserve">Certain of Cyclerion’s registered holders of common stock hold some or all of their shares electronically in book-entry form with Cyclerion’s transfer agent, Equiniti. These shareholders do not hold physical stock certificates evidencing their ownership of Cyclerion Common Stock. However, they are provided with a statement reflecting the number of shares of Cyclerion Common Stock registered in their accounts. If a shareholder holds registered shares in book-entry form with Cyclerion’s transfer agent, no action needs to be taken to receive post-reverse stock split shares or payment in lieu of fractional shares, if applicable. If a shareholder is entitled to post-reverse stock split shares, a transaction statement will automatically be sent to the shareholder’s address of record indicating the number of shares of Cyclerion Common Stock held following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Registered Holders of Common Stock in Certificate Form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Reverse Stock Split Effective Time, the Cyclerion shareholders will be notified that the reverse stock split has been effected. Cyclerion expects that the Cyclerion transfer agent will act as Exchange Agent for purposes of implementing the exchange of stock certificates. Holders of pre-split shares will be asked to surrender to the Exchange Agent certificates representing pre- split shares held in certificated form in exchange for certificates representing post-split shares in accordance with the procedures to be set forth in a letter of transmittal to be sent by Cyclerion. No new certificates will be issued to a shareholder until such shareholder has surrendered such shareholder’s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Shareholders</w:t>
      </w:r>
      <w:r>
        <w:rPr>
          <w:rFonts w:ascii="Times New Roman" w:hAnsi="Times New Roman"/>
          <w:sz w:val="20"/>
        </w:rPr>
        <w:t xml:space="preserve"> </w:t>
      </w:r>
      <w:r>
        <w:rPr>
          <w:rFonts w:ascii="Times New Roman" w:hAnsi="Times New Roman"/>
          <w:b/>
          <w:sz w:val="20"/>
        </w:rPr>
        <w:t>should</w:t>
      </w:r>
      <w:r>
        <w:rPr>
          <w:rFonts w:ascii="Times New Roman" w:hAnsi="Times New Roman"/>
          <w:sz w:val="20"/>
        </w:rPr>
        <w:t xml:space="preserve"> </w:t>
      </w:r>
      <w:r>
        <w:rPr>
          <w:rFonts w:ascii="Times New Roman" w:hAnsi="Times New Roman"/>
          <w:b/>
          <w:sz w:val="20"/>
        </w:rPr>
        <w:t>not</w:t>
      </w:r>
      <w:r>
        <w:rPr>
          <w:rFonts w:ascii="Times New Roman" w:hAnsi="Times New Roman"/>
          <w:sz w:val="20"/>
        </w:rPr>
        <w:t xml:space="preserve"> </w:t>
      </w:r>
      <w:r>
        <w:rPr>
          <w:rFonts w:ascii="Times New Roman" w:hAnsi="Times New Roman"/>
          <w:b/>
          <w:sz w:val="20"/>
        </w:rPr>
        <w:t>destroy</w:t>
      </w:r>
      <w:r>
        <w:rPr>
          <w:rFonts w:ascii="Times New Roman" w:hAnsi="Times New Roman"/>
          <w:sz w:val="20"/>
        </w:rPr>
        <w:t xml:space="preserve"> </w:t>
      </w:r>
      <w:r>
        <w:rPr>
          <w:rFonts w:ascii="Times New Roman" w:hAnsi="Times New Roman"/>
          <w:b/>
          <w:sz w:val="20"/>
        </w:rPr>
        <w:t>any</w:t>
      </w:r>
      <w:r>
        <w:rPr>
          <w:rFonts w:ascii="Times New Roman" w:hAnsi="Times New Roman"/>
          <w:sz w:val="20"/>
        </w:rPr>
        <w:t xml:space="preserve"> </w:t>
      </w:r>
      <w:r>
        <w:rPr>
          <w:rFonts w:ascii="Times New Roman" w:hAnsi="Times New Roman"/>
          <w:b/>
          <w:sz w:val="20"/>
        </w:rPr>
        <w:t>stock</w:t>
      </w:r>
      <w:r>
        <w:rPr>
          <w:rFonts w:ascii="Times New Roman" w:hAnsi="Times New Roman"/>
          <w:sz w:val="20"/>
        </w:rPr>
        <w:t xml:space="preserve"> </w:t>
      </w:r>
      <w:r>
        <w:rPr>
          <w:rFonts w:ascii="Times New Roman" w:hAnsi="Times New Roman"/>
          <w:b/>
          <w:sz w:val="20"/>
        </w:rPr>
        <w:t>certificate(s) and should not submit any certificate(s) unless and until requested to do so</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Shareholders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shareholder would otherwise be entitled multiplied by the closing price of the common stock on Nasdaq on the date of the filing of the articles of amendment to the Cyclerion Articles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should be aware that, under the escheat laws of the various jurisdictions where shareholders reside, where Cyclerion is domiciled and where the funds will be deposited, sums due for fractional interests that are not timely claimed after the effective date of the split may be required to be paid to the designated agent for each such jurisdiction, unless correspondence has been received by Cyclerion or the Exchange Agent concerning ownership of such funds within the time permitted in such jurisdiction. Thereafter, shareholders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Cyclerion Board or contemplating a tender offer or other transaction for the combination of Cyclerion with another company, the reverse stock split is not being proposed in response to any effort of which Cyclerion is aware to accumulate shares of Cyclerion Common Stock or obtain control of Cyclerion, other than in connection with the Merger, nor is it part of a plan by management to recommend a series of similar amendments to the Cyclerion Board and shareholders. Other than the proposals being submitted to the Cyclerion shareholders for their consideration at the Cyclerion Shareholders Meeting, the Cyclerion Board does not currently contemplate recommending the adoption of any other actions that could be construed to affect the ability of third parties to take over or change control of Cyclerion.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114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Cyclerion Common Stock of the reverse stock split. The discussion does not purport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Cyclerion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Cyclerion Common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Cyclerion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Cyclerion Common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Cyclerion Common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Cyclerion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Cyclerion Common Stock, the tax treatment of a partner in the partnership will depend on the status of the partner, the activities of the partnership, and certain determinations made at the partner level. Accordingly, a partnership holding Cyclerion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“U.S. Holder” is any beneficial owner of Cyclerion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U.S. Holder generally should not recognize gain or loss upon the proposed reverse stock split, except with respect to cash received in lieu of a fractional share of Cyclerion Common Stock, as discussed below. A U.S. Holder’s aggregate adjusted tax basis in the shares of Cyclerion Common Stock received pursuant to the proposed reverse stock split should equal the aggregate adjusted tax basis of the shares of the Cyclerion Common Stock surrendered (excluding any portion of such basis that is allocated to any fractional share of Cyclerion Common Stock), and such U.S. Holder’s holding period in the shares of Cyclerion Common Stock received should include the holding period in the shares of Cyclerion Common Stock surrendered. U.S. Treasury Regulations provide detailed rules for allocating the tax basis and holding period of the shares of Cyclerion Common Stock surrendered to the shares of Cyclerion Common Stock received in a recapitalization pursuant to the proposed reverse stock split. Each U.S. Holder of shares of Cyclerion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Cyclerion Common Stock pursuant to the proposed reverse stock split should recognize capital gain or loss in an amount equal to the difference between the amount of cash received and the U.S. Holder’s tax basis in the shares of Cyclerion Common Stock surrendered that is allocated to such fractional share of Cyclerion Common Stock. Such capital gain or loss should be long-term capital gain or loss if the U.S. Holder’s holding period for Cyclerion Common Stock surrendered exceeded one year at the Reverse Stock Split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U.S. Holder who receives shares of Cyclerion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the total outstanding stock of Cyclerion or who owned securities in Cyclerion with a basis of $1,000,000 or more are required to attach a statement to their tax returns for the year in which the reverse stock split is consummated that contains the information listed in Treasury Regulations Section 1.368-3(b). Such statement must include the holder’s tax basis in the U.S. Holder’s Cyclerion Common Stock and the fair market value of such stock. Each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on your specific situation and on factors that are not within Cyclerion’s knowledge or control. Each prospective investor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Cyclerion Common Stock may, under certain circumstances, be subject to information reporting and backup withholding. To avoid backup withholding, each holder of Cyclerion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Cyclerion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MBCA, shareholders are not entitled to appraisal rights or dissenter’s rights with respect to the proposed amendment to the Cyclerion Articles to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unless, to the extent permitted by applicable law, each of Cyclerion, the Merger Subs, and Korsana waives such condition. Notwithstanding the approval of the Reverse Stock Split Proposal, if the Nasdaq Stock Issuance Proposal or the Authorized Share Increase Proposal are not approved or the other closing conditions under the Merger Agreement are not satisfied or waived, the actions contemplated by the Reverse Stock Split Proposal will not be effected. However, the Cyclerion Board may determine to effect the Reverse Stock Split Proposal, if approved by the Cyclerion shareholders, following the Shareholders Meeting, even if the Merger is not otherwise completed.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Reverse Stock Split Proposal. See “</w:t>
      </w:r>
      <w:r>
        <w:rPr>
          <w:rFonts w:ascii="Times New Roman" w:hAnsi="Times New Roman"/>
          <w:i/>
          <w:sz w:val="20"/>
        </w:rPr>
        <w:t>Agreements</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to</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 </w:t>
      </w:r>
      <w:r>
        <w:rPr>
          <w:rFonts w:ascii="Times New Roman" w:hAnsi="Times New Roman"/>
          <w:i/>
          <w:sz w:val="20"/>
        </w:rPr>
        <w:t>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CYCLERION BOARD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1069_20"/>
      <w:bookmarkEnd w:id="22"/>
      <w:r>
        <w:rPr>
          <w:rFonts w:ascii="Times New Roman" w:hAnsi="Times New Roman"/>
          <w:b/>
          <w:sz w:val="20"/>
        </w:rPr>
        <w:t xml:space="preserve">PROPOSAL NO. 4 - THE REDOMESTICATION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annual meeting, Cyclerion shareholders will be asked to approve (i) pursuant to the MBCA, the domestication of Cyclerion from a corporation organized under the laws of the Commonwealth of Massachusetts (the “Massachusetts Corporation”) to an exempted company incorporated under the laws of the Cayman Islands (the “Cayman Company”) and to adopt resolutions approving the domestication (the “Cayman Redomestication Resolutions”) included as </w:t>
      </w:r>
      <w:r>
        <w:rPr>
          <w:rFonts w:ascii="Times New Roman" w:hAnsi="Times New Roman"/>
          <w:i/>
          <w:sz w:val="20"/>
        </w:rPr>
        <w:t xml:space="preserve">Annex M </w:t>
      </w:r>
      <w:r>
        <w:rPr>
          <w:rFonts w:ascii="Times New Roman" w:hAnsi="Times New Roman"/>
          <w:sz w:val="20"/>
        </w:rPr>
        <w:t xml:space="preserve">to this proxy statement/prospectus — Proposal No. 4A — and (ii) pursuant to the Companies Act, the transfer by way of continuation of Cyclerion from the Massachusetts Corporation to the Cayman Company and to adopt the Cayman Redomestication Resolutions and as a special resolution the Cayman Articles (as defined below) — Proposal No. 4B, as more fully described in this Proposal No. 4. The proposed domestication of the Massachusetts Corporation to a Cayman Company pursuant to this Proposal 4 is referred to herein as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Terms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If the Cayman Redomestication is approved by Cyclerion shareholders and the Merger is completed, the Cayman Redomestication will be effected by the Combined Company through a domestication pursuant to Section 9.20 of the MBCA, and the Cayman Company will continue its existence as an exempted company limited by shares under the Companies Act, as amended, of the Cayman Islands (the “Companies Act”), as set forth in the plan of domestication (the “Plan of Domestication”), included as </w:t>
      </w:r>
      <w:r>
        <w:rPr>
          <w:rFonts w:ascii="Times New Roman" w:hAnsi="Times New Roman"/>
          <w:i/>
          <w:sz w:val="20"/>
        </w:rPr>
        <w:t xml:space="preserve">Annex J </w:t>
      </w:r>
      <w:r>
        <w:rPr>
          <w:rFonts w:ascii="Times New Roman" w:hAnsi="Times New Roman"/>
          <w:sz w:val="20"/>
        </w:rPr>
        <w:t xml:space="preserve">to this proxy statement/prospectus. Approval of the Redomestication Proposal will constitute approval of the Plan of 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Through the adoption of the Plan of Domestication, upon the effectuation of the Cayman Redomestication: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continue its existence as a Cayman Islands exempted company and will continue to operate its business under the name “Korsana Biosciences,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internal affairs of the Combined Company will cease to be governed by Massachusetts law and will instead be governed by Cayman Islands law (including but not limited to the Companies Act). See “</w:t>
            </w:r>
            <w:r>
              <w:rPr>
                <w:rFonts w:ascii="Times New Roman" w:hAnsi="Times New Roman"/>
                <w:i/>
                <w:sz w:val="20"/>
              </w:rPr>
              <w:t>Effects of the Cayman Redomestication — Comparison of Shareholder Rights under Massachusetts</w:t>
            </w:r>
            <w:r>
              <w:rPr>
                <w:rFonts w:ascii="Times New Roman" w:hAnsi="Times New Roman"/>
                <w:sz w:val="20"/>
              </w:rPr>
              <w:t xml:space="preserve"> </w:t>
            </w:r>
            <w:r>
              <w:rPr>
                <w:rFonts w:ascii="Times New Roman" w:hAnsi="Times New Roman"/>
                <w:i/>
                <w:sz w:val="20"/>
              </w:rPr>
              <w:t>and Cayman Islands Law</w:t>
            </w:r>
            <w:r>
              <w:rPr>
                <w:rFonts w:ascii="Times New Roman" w:hAnsi="Times New Roman"/>
                <w:sz w:val="20"/>
              </w:rPr>
              <w:t xml:space="preserv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cease to be governed by Cyclerion’s restated articles of organization (as amended, the “Massachusetts Articles” or the “Cyclerion Charter”) and Cyclerion’s amended and restated bylaws (the “Massachusetts Bylaws” or the “Cyclerion Bylaws”) and will instead be governed by the provisions of the proposed Cayman Islands memorandum and articles of association (the “Cayman Articles”), a form of which is included as </w:t>
            </w:r>
            <w:r>
              <w:rPr>
                <w:rFonts w:ascii="Times New Roman" w:hAnsi="Times New Roman"/>
                <w:i/>
                <w:sz w:val="20"/>
              </w:rPr>
              <w:t xml:space="preserve">Annex K </w:t>
            </w:r>
            <w:r>
              <w:rPr>
                <w:rFonts w:ascii="Times New Roman" w:hAnsi="Times New Roman"/>
                <w:sz w:val="20"/>
              </w:rPr>
              <w:t>to this proxy statement/prospectus. See “</w:t>
            </w:r>
            <w:r>
              <w:rPr>
                <w:rFonts w:ascii="Times New Roman" w:hAnsi="Times New Roman"/>
                <w:i/>
                <w:sz w:val="20"/>
              </w:rPr>
              <w:t>Effects of the Cayman Redomestication — Comparison of Rights of Holders of the Massachusetts</w:t>
            </w:r>
            <w:r>
              <w:rPr>
                <w:rFonts w:ascii="Times New Roman" w:hAnsi="Times New Roman"/>
                <w:sz w:val="20"/>
              </w:rPr>
              <w:t xml:space="preserve"> </w:t>
            </w:r>
            <w:r>
              <w:rPr>
                <w:rFonts w:ascii="Times New Roman" w:hAnsi="Times New Roman"/>
                <w:i/>
                <w:sz w:val="20"/>
              </w:rPr>
              <w:t xml:space="preserve">Corporation Capital Stock and the Cayman Company Share Capital </w:t>
            </w:r>
            <w:r>
              <w:rPr>
                <w:rFonts w:ascii="Times New Roman" w:hAnsi="Times New Roman"/>
                <w:sz w:val="20"/>
              </w:rPr>
              <w:t xml:space="preserv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Combined Company will continue to be treated as a U.S. corporation for all purposes under the Code. See “</w:t>
            </w:r>
            <w:r>
              <w:rPr>
                <w:rFonts w:ascii="Times New Roman" w:hAnsi="Times New Roman"/>
                <w:i/>
                <w:sz w:val="20"/>
              </w:rPr>
              <w:t>U.S. Federal Income Tax Considerations of the Cayman Redomestication — U.S. Tax Status of the Cayman Company after the Cayman Redomestication” below</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common stock of the Massachusetts Corporation will be automatically converted into one ordinary share of the Cayman Company (each a “Cayman Share”, together the “Cayman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any series of the preferred stock of the Massachusetts Corporation will be automatically converted into one share of the corresponding series of the preferred shares of the Cayman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Shareholders of the Combined Company will not be required to exchange their existing stock certificates (if any) for new share certificates.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or right to acquire shares of common stock of the Massachusetts Corporation will continue in existence in the form of and will automatically become an option or right to acquire an equal number of Cayman Shares under the same terms and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Cayman Shares resulting from the Cayman Redomestication will continue to be traded on Nasdaq under the symbol “KRSA.” The Cayman Redomestication is not expected to cause any interruption in the trading of such Cayman Shares. </w:t>
      </w:r>
    </w:p>
    <w:p>
      <w:pPr>
        <w:pStyle w:val="TextBody"/>
        <w:bidi w:val="0"/>
        <w:spacing w:before="240" w:after="0"/>
        <w:jc w:val="left"/>
        <w:rPr>
          <w:rFonts w:ascii="Times New Roman" w:hAnsi="Times New Roman"/>
          <w:sz w:val="20"/>
        </w:rPr>
      </w:pPr>
      <w:r>
        <w:rPr>
          <w:rFonts w:ascii="Times New Roman" w:hAnsi="Times New Roman"/>
          <w:sz w:val="20"/>
        </w:rPr>
        <w:t xml:space="preserve">If Cyclerion shareholders approve the Cayman Redomestication and the Merger is completed, Cyclerion and Korsana anticipate that the Cayman Redomestication will become effective as soon as practicable following the Merger (the “Cayman Redomestication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may be delayed by Cyclerion’s board of directors or the Combined Company’s board of directors, or the Plan of Domestication may be terminated and abandoned by action of Cyclerion’s board of directors or the Combined Company’s board of directors, at any time prior to the Cayman Redomestication Effective Time, whether before or after the approval by Cyclerion’s shareholders, if Cyclerion’s board of directors or the Combined Company’s board of directors determines for any reason that such delay or abandonment would be in the best interests of Cyclerion and its shareholders or the Combined Company and its shareholders, as the case may be, including if the Merger is not completed for any reason. In addition, Cyclerion or the Combined Company may face legal challenges to the Cayman Redomestication, including, among others, shareholder challenges under Massachusetts law, seeking to delay or prevent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and Korsana’s board of directors believe that there are several reasons the Cayman Redomestication is in the best interests of the Combined Company and its shareholders. In particular, Cyclerion’s board of directors and Korsana’s board of directors believe that the Cayman Redomestication will allow the Combined Company to take advantage of certain provisions of the corporate laws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reduce the risk of opportunistic and frivolous shareholder demands and litigation for the Combined Company and its directors and officers, which may allow the Combined Company’s directors and officers to focus on the Combined Company’s business and save it the cost of such demands and litigation. The frequency and cost of claims directed towards directors and officers of Massachusetts corporations increases the risk facing directors and officers of public companies in exercising their duties. If the Combined Company were to be targeted by opportunistic and frivolous shareholder demands or lawsuits, the costs or other consequences of responding to or defending such claims could potentially be borne by the Combined Company’s shareholders through, among other things, indemnification obligations, distraction to the Combined Company’s management and employees, and increased insurance premiums. Cyclerion’s board of directors expects fewer opportunistic and frivolous books and records inspection demands under Cayman Islands law as shareholders generally do not have statutory rights to inspect or obtain copies of the register of shareholders or other corporate records under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will potentially provide the Combined Company’s directors and officers with greater protection, which may help the Combined Company attract and retain highly qualified management personnel. Massachusetts law generally authorizes a corporation to adopt provisions eliminating or limiting the personal liability of directors or officers to the corporation for monetary damages for breach of fiduciary duty, except for liability for any breach of the director’s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most cases, 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authorized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In light of the above, the Cayman Redomestication is expected to limit the circumstances in which direct claims may be brought by shareholders against the directors and officers of the Cayman Company as a matter of Cayman Islands law. There is currently no known pending claim or litigation against any of Cyclerion’s directors or officers for breach of fiduciary duty related to their service as directors or officers of Cyclerion. </w:t>
      </w:r>
    </w:p>
    <w:p>
      <w:pPr>
        <w:pStyle w:val="TextBody"/>
        <w:bidi w:val="0"/>
        <w:spacing w:before="240" w:after="0"/>
        <w:jc w:val="left"/>
        <w:rPr>
          <w:rFonts w:ascii="Times New Roman" w:hAnsi="Times New Roman"/>
          <w:sz w:val="20"/>
        </w:rPr>
      </w:pPr>
      <w:r>
        <w:rPr>
          <w:rFonts w:ascii="Times New Roman" w:hAnsi="Times New Roman"/>
          <w:sz w:val="20"/>
        </w:rPr>
        <w:t xml:space="preserve">The Cayman Redomestication could also potentially provide the Combined Company with greater flexibility to consider and engage in certain types of corporate transactions that might provide shareholders with an opportunity to realize greater value for their shares in the Combined Company that the Combined Company’s board of directors determines to be in the best interests of the Combined Company. Under Part I, Title XV, Chapter 110F of the Massachusetts General Laws, a business combination between a corporation and an interested shareholder is prohibited unless it satisfies certain conditions, one or more of which may be impractical in certain instances.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or decisions in relation to corporate transactions. Under Cayman Islands law, in making decisions, directors are required to comply with their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Cayman Redomestication may allow the Combined Company to accomplish certain types of transactions with a reduced risk of litigation or a court overturning the business decisions of the Combined Company’s board of directors, to the detriment of the Combined Company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 such transactions potentially implicating the fairness standard under Massachusetts law are currently being discussed or considered by the Cyclerion’s board of directors. Consequently, the Cayman Redomestication is not being proposed to prevent a change in control, or as a response to any present attempt known to the Cyclerion’s board of directors to acquire control of Cyclerion or obtain representation on the Cyclerion’s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Associated with the Cayman Redomestication </w:t>
      </w:r>
    </w:p>
    <w:p>
      <w:pPr>
        <w:pStyle w:val="TextBody"/>
        <w:bidi w:val="0"/>
        <w:spacing w:before="120" w:after="0"/>
        <w:jc w:val="left"/>
        <w:rPr>
          <w:rFonts w:ascii="Times New Roman" w:hAnsi="Times New Roman"/>
          <w:sz w:val="20"/>
        </w:rPr>
      </w:pPr>
      <w:r>
        <w:rPr>
          <w:rFonts w:ascii="Times New Roman" w:hAnsi="Times New Roman"/>
          <w:sz w:val="20"/>
        </w:rPr>
        <w:t>There can be no assurance that the Cayman Redomestication will result in all or any of the benefits described in this proxy statement/prospectus, including the benefits of or resulting from the transfer by way of continuation of the Combined Company into the Cayman Islands or the application of Cayman Islands law to the internal affairs of the Combined Company. See “</w:t>
      </w:r>
      <w:r>
        <w:rPr>
          <w:rFonts w:ascii="Times New Roman" w:hAnsi="Times New Roman"/>
          <w:i/>
          <w:sz w:val="20"/>
        </w:rPr>
        <w:t>Risk Factors — Risks Related to the Cayman Redomestication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effect a change in the legal domicile of the Combined Company and other changes, the most significant of which are described below. Following the Cayman Redomestication, the Combined Company will be governed by the Companies Act instead of the MBCA, and the Combined Company will be governed by the Cayman Articles. Approval of this Proposal No. 4 will constitute the approval and adoption of the Cayman Articles. The Massachusetts Articles and the Massachusetts Bylaws will no longer be applicable following completion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summaries below do not purport to be complete and are subject to, and qualified in their entirety by reference to, the Companies Act, the Cayman Articles, the MBCA, the Massachusetts Articles and Massachusetts Bylaws, which you should carefully read, together with this entire document and the other referenced documents for a more complete understanding of the differences between being a shareholder of the Massachusetts Corporation before the Cayman Redomestication and being a shareholder of the Cayman Company following the completion of the Cayman Redomestication. Copies of the Cayman Articles, the Cayman Series A Certificate of Designation (as defined below), Cayman Series B Certificate of Designation (as defined below), the Massachusetts Articles, the Massachusetts Bylaws, the Massachusetts Series A Articles of Amendment (as defined below), the Massachusetts Series B Articles of Amendment (as defined below), the form of certificate of amendment to effect the proposed reverse stock split described in Proposal No. 3 and the form of certificate of amendment to effect the increase in the number of authorized shares of Cyclerion common stock described in Proposal No. 2 are included as </w:t>
      </w:r>
      <w:r>
        <w:rPr>
          <w:rFonts w:ascii="Times New Roman" w:hAnsi="Times New Roman"/>
          <w:i/>
          <w:sz w:val="20"/>
        </w:rPr>
        <w:t>Annex K, Annex N, Annex O, Exhibit 3.1 (as amended by Exhibit 3.2 and Exhibit 3.3), Exhibit 3.4, Exhibit 3.3, Annex G, Annex I, and Annex H</w:t>
      </w:r>
      <w:r>
        <w:rPr>
          <w:rFonts w:ascii="Times New Roman" w:hAnsi="Times New Roman"/>
          <w:sz w:val="20"/>
        </w:rPr>
        <w:t xml:space="preserve">, respectively,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Rights of Holders of the Massachusetts Corporation Capital Stock and the Cayman Company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Cayman Articles differ in many respects from the Massachusetts Articles and Massachusetts Bylaws. The differences between the rights of shareholders of the Massachusetts Corporation under the Massachusetts Articles and Massachusetts Bylaws and their rights as shareholders of the Cayman Company immediately after the Cayman Redomestication under the Cayman Articles are summarized below. The following summary gives effect to the proposed increase in the number of authorized shares of Cyclerion common stock described in Proposal No. 2 and the proposed reverse stock split described in Proposal No. 3. The summary below is not intended to be relied upon as an exhaustive list of all differences or a complete description of the differences between the MBCA, the Massachusetts Articles, and the Massachusetts Bylaws, on the one hand, and the Cayman Articles, the Companies Act, and the common law of the Cayman Islands, on the other hand. The summary below is qualified in its entirety by reference to the actual text of the MBCA, the Massachusetts Articles, the Massachusetts Bylaws, the Cayman Articles, and the Companies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36"/>
        <w:gridCol w:w="120"/>
        <w:gridCol w:w="4949"/>
      </w:tblGrid>
      <w:tr>
        <w:trPr/>
        <w:tc>
          <w:tcPr>
            <w:tcW w:w="5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9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5136" w:type="dxa"/>
            <w:tcBorders/>
            <w:vAlign w:val="center"/>
          </w:tcPr>
          <w:p>
            <w:pPr>
              <w:pStyle w:val="TableContents"/>
              <w:bidi w:val="0"/>
              <w:spacing w:before="0" w:after="283"/>
              <w:jc w:val="left"/>
              <w:rPr>
                <w:sz w:val="4"/>
                <w:szCs w:val="4"/>
              </w:rPr>
            </w:pPr>
            <w:r>
              <w:rPr>
                <w:sz w:val="4"/>
                <w:szCs w:val="4"/>
              </w:rPr>
            </w:r>
          </w:p>
        </w:tc>
        <w:tc>
          <w:tcPr>
            <w:tcW w:w="5069" w:type="dxa"/>
            <w:gridSpan w:val="2"/>
            <w:tcBorders/>
            <w:vAlign w:val="center"/>
          </w:tcPr>
          <w:p>
            <w:pPr>
              <w:pStyle w:val="TableContents"/>
              <w:bidi w:val="0"/>
              <w:spacing w:before="0" w:after="283"/>
              <w:jc w:val="left"/>
              <w:rPr>
                <w:sz w:val="4"/>
                <w:szCs w:val="4"/>
              </w:rPr>
            </w:pPr>
            <w:r>
              <w:rPr>
                <w:sz w:val="4"/>
                <w:szCs w:val="4"/>
              </w:rPr>
            </w:r>
          </w:p>
        </w:tc>
      </w:tr>
      <w:tr>
        <w:trPr/>
        <w:tc>
          <w:tcPr>
            <w:tcW w:w="5136" w:type="dxa"/>
            <w:tcBorders/>
            <w:vAlign w:val="center"/>
          </w:tcPr>
          <w:p>
            <w:pPr>
              <w:pStyle w:val="TableContents"/>
              <w:bidi w:val="0"/>
              <w:spacing w:before="0" w:after="283"/>
              <w:jc w:val="left"/>
              <w:rPr/>
            </w:pPr>
            <w:r>
              <w:rPr/>
              <w:t>The rights of Massachusetts Corporation shareholders are governed by the Massachusetts Articles, the Massachusetts Bylaws and the MBCA.</w:t>
            </w:r>
          </w:p>
        </w:tc>
        <w:tc>
          <w:tcPr>
            <w:tcW w:w="120" w:type="dxa"/>
            <w:tcBorders/>
            <w:vAlign w:val="center"/>
          </w:tcPr>
          <w:p>
            <w:pPr>
              <w:pStyle w:val="TableContents"/>
              <w:bidi w:val="0"/>
              <w:spacing w:before="0" w:after="283"/>
              <w:jc w:val="left"/>
              <w:rPr/>
            </w:pPr>
            <w:r>
              <w:rPr/>
              <w:t>  </w:t>
            </w:r>
          </w:p>
        </w:tc>
        <w:tc>
          <w:tcPr>
            <w:tcW w:w="4949" w:type="dxa"/>
            <w:tcBorders/>
            <w:vAlign w:val="center"/>
          </w:tcPr>
          <w:p>
            <w:pPr>
              <w:pStyle w:val="TableContents"/>
              <w:bidi w:val="0"/>
              <w:spacing w:before="0" w:after="283"/>
              <w:jc w:val="left"/>
              <w:rPr/>
            </w:pPr>
            <w:r>
              <w:rPr/>
              <w:t>The rights of Cayman Company shareholders will be governed by the Cayman Articles, the Companies Act, and the common law of the Cayman Islands.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5136" w:type="dxa"/>
            <w:tcBorders/>
            <w:vAlign w:val="center"/>
          </w:tcPr>
          <w:p>
            <w:pPr>
              <w:pStyle w:val="TableContents"/>
              <w:bidi w:val="0"/>
              <w:spacing w:before="0" w:after="283"/>
              <w:jc w:val="left"/>
              <w:rPr>
                <w:sz w:val="4"/>
                <w:szCs w:val="4"/>
              </w:rPr>
            </w:pPr>
            <w:r>
              <w:rPr>
                <w:sz w:val="4"/>
                <w:szCs w:val="4"/>
              </w:rPr>
            </w:r>
          </w:p>
        </w:tc>
        <w:tc>
          <w:tcPr>
            <w:tcW w:w="5069" w:type="dxa"/>
            <w:gridSpan w:val="2"/>
            <w:tcBorders/>
            <w:vAlign w:val="center"/>
          </w:tcPr>
          <w:p>
            <w:pPr>
              <w:pStyle w:val="TableContents"/>
              <w:bidi w:val="0"/>
              <w:spacing w:before="0" w:after="283"/>
              <w:jc w:val="left"/>
              <w:rPr>
                <w:sz w:val="4"/>
                <w:szCs w:val="4"/>
              </w:rPr>
            </w:pPr>
            <w:r>
              <w:rPr>
                <w:sz w:val="4"/>
                <w:szCs w:val="4"/>
              </w:rPr>
            </w:r>
          </w:p>
        </w:tc>
      </w:tr>
      <w:tr>
        <w:trPr/>
        <w:tc>
          <w:tcPr>
            <w:tcW w:w="5136" w:type="dxa"/>
            <w:tcBorders/>
            <w:vAlign w:val="center"/>
          </w:tcPr>
          <w:p>
            <w:pPr>
              <w:pStyle w:val="TableContents"/>
              <w:bidi w:val="0"/>
              <w:spacing w:before="0" w:after="283"/>
              <w:jc w:val="left"/>
              <w:rPr/>
            </w:pPr>
            <w:r>
              <w:rPr/>
              <w:t>The Massachusetts Corporation is authorized to issue two classes of capital stock which are designated, respectively, “common stock” and “preferred stock.” The total number of shares that the Massachusetts Corporation is authorized to issue is 800,000,000, of which 800,000,000 shares are common stock, each</w:t>
            </w:r>
          </w:p>
        </w:tc>
        <w:tc>
          <w:tcPr>
            <w:tcW w:w="120" w:type="dxa"/>
            <w:tcBorders/>
            <w:vAlign w:val="center"/>
          </w:tcPr>
          <w:p>
            <w:pPr>
              <w:pStyle w:val="TableContents"/>
              <w:bidi w:val="0"/>
              <w:spacing w:before="0" w:after="283"/>
              <w:jc w:val="left"/>
              <w:rPr/>
            </w:pPr>
            <w:r>
              <w:rPr/>
              <w:t>  </w:t>
            </w:r>
          </w:p>
        </w:tc>
        <w:tc>
          <w:tcPr>
            <w:tcW w:w="4949" w:type="dxa"/>
            <w:tcBorders/>
            <w:vAlign w:val="center"/>
          </w:tcPr>
          <w:p>
            <w:pPr>
              <w:pStyle w:val="TableContents"/>
              <w:bidi w:val="0"/>
              <w:spacing w:before="0" w:after="283"/>
              <w:jc w:val="left"/>
              <w:rPr/>
            </w:pPr>
            <w:r>
              <w:rPr/>
              <w:t>The authorized share capital of the Cayman Company under the Cayman Articles is US$80,000 divided into 700,000,000 “ordinary shares,” having a par value of US$0.0001 per share; and 100,000,000 “preferred shares,” having a par value of US$0.0001 per share. The Cayman Company may increase 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34"/>
        <w:gridCol w:w="120"/>
        <w:gridCol w:w="5751"/>
      </w:tblGrid>
      <w:tr>
        <w:trPr/>
        <w:tc>
          <w:tcPr>
            <w:tcW w:w="43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r>
      <w:tr>
        <w:trPr/>
        <w:tc>
          <w:tcPr>
            <w:tcW w:w="433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75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having no par value per share, and 100,000,000 shares are preferred stock, each having no par value per share. The preferred stock may be issued from time to time in one or more series.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Massachusetts Corporation preferred stock may be increased or decreased (but not below the number of shares thereof then outstanding) by the affirmative vote of the holders of a majority of the voting power of the stock of the Massachusetts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283"/>
              <w:jc w:val="left"/>
              <w:rPr/>
            </w:pPr>
            <w:r>
              <w:rPr/>
              <w:t>authorized share capital through an ordinary resolution passed by the affirmative vote of a simple majority of the votes cast at a general meeting (an “ordinary resolution”).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4334" w:type="dxa"/>
            <w:tcBorders/>
            <w:vAlign w:val="center"/>
          </w:tcPr>
          <w:p>
            <w:pPr>
              <w:pStyle w:val="TableContents"/>
              <w:bidi w:val="0"/>
              <w:spacing w:before="0" w:after="283"/>
              <w:jc w:val="left"/>
              <w:rPr>
                <w:sz w:val="4"/>
                <w:szCs w:val="4"/>
              </w:rPr>
            </w:pPr>
            <w:r>
              <w:rPr>
                <w:sz w:val="4"/>
                <w:szCs w:val="4"/>
              </w:rPr>
            </w:r>
          </w:p>
        </w:tc>
        <w:tc>
          <w:tcPr>
            <w:tcW w:w="5871"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Massachusetts Corporation’s authorized common stock consists of 700,000,000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Massachusetts Corporation common stock is entitled to one vote for each such share held of record on the applicable record date on each matter properly submitted to the stockholders for their vote.</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Company’s authorized Cayman Shares will consist of 700,000,000 Cayman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Cayman Shares will carry the right to receive notice of, to attend and to vote at any Cayman Company general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4334" w:type="dxa"/>
            <w:tcBorders/>
            <w:vAlign w:val="center"/>
          </w:tcPr>
          <w:p>
            <w:pPr>
              <w:pStyle w:val="TableContents"/>
              <w:bidi w:val="0"/>
              <w:spacing w:before="0" w:after="283"/>
              <w:jc w:val="left"/>
              <w:rPr>
                <w:sz w:val="4"/>
                <w:szCs w:val="4"/>
              </w:rPr>
            </w:pPr>
            <w:r>
              <w:rPr>
                <w:sz w:val="4"/>
                <w:szCs w:val="4"/>
              </w:rPr>
            </w:r>
          </w:p>
        </w:tc>
        <w:tc>
          <w:tcPr>
            <w:tcW w:w="5871"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Massachusetts Corporation preferred stock consists of 100,000,000 shares of preferred stock, each having no par value per share. The voting rights of preferred stockholders can vary depending on the series of preferred stock issued. The Massachusetts Corporation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Massachusetts Corporation preferred stock are designated as Series A Convertible Preferred Stock (“Massachusetts Series A Preferred Stock”) pursuant to articles of amendment to the Massachusetts Articles (the “Massachusetts Series A Articles of Amendment”). Holders of Massachusetts Series A Preferred Stock are not entitled to vote at any meetings of Massachusetts Corporation shareholders. Each share of Massachusetts Series A Preferred Stock is convertible into one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Corporation’s board of directors (the “Massachusetts Corporation Board”) intends to designate 29,470 shares</w:t>
            </w:r>
          </w:p>
        </w:tc>
        <w:tc>
          <w:tcPr>
            <w:tcW w:w="120" w:type="dxa"/>
            <w:tcBorders/>
            <w:vAlign w:val="center"/>
          </w:tcPr>
          <w:p>
            <w:pPr>
              <w:pStyle w:val="TableContents"/>
              <w:bidi w:val="0"/>
              <w:spacing w:before="0" w:after="283"/>
              <w:jc w:val="left"/>
              <w:rPr/>
            </w:pPr>
            <w:r>
              <w:rPr/>
              <w:t>  </w:t>
            </w:r>
          </w:p>
        </w:tc>
        <w:tc>
          <w:tcPr>
            <w:tcW w:w="5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Company’s authorized preferred shares will consist of 100,000,000 preferred shares, par value US$0.0001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will provide that, whenever the capital of the Cayman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Cayman Shares or preferred shares of the relevant class, or with the sanction of a resolution passed at a separate meeting of the holders of the Cayman Shares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545"/>
        <w:gridCol w:w="120"/>
        <w:gridCol w:w="354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5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545" w:type="dxa"/>
            <w:tcBorders/>
            <w:vAlign w:val="center"/>
          </w:tcPr>
          <w:p>
            <w:pPr>
              <w:pStyle w:val="TableContents"/>
              <w:bidi w:val="0"/>
              <w:spacing w:before="0" w:after="283"/>
              <w:jc w:val="left"/>
              <w:rPr/>
            </w:pPr>
            <w:r>
              <w:rPr/>
              <w:t>of undesignated preferred stock as Massachusetts Series B Preferred Stock through an articles of amendment to the Massachusetts Articles in the form attached as Annex H (the “Massachusetts Series B Articles of Amendment”). No shares of Massachusetts Series B Preferred Stock are currently authorized or outstanding. Except as otherwise required by the Massachusetts Series B Articles of Amendment or law, the Massachusetts Series B Preferred Stock will not have voting rights. The Massachusetts Series B Articles of Amendment provides for certain voting rights in relation to the election of directors as discussed under “- Structure of Board of Directors; Term of Directors; Election of Directors” below. As long as shares of Massachusetts Series B Preferred Stock are outstanding, Massachusetts Corporation will not, without the affirmative vote of the holders of a majority of the then outstanding shares of the Massachusetts Series B Preferred Stock, (a) alter or change adversely the powers, preferences or rights given to Massachusetts Series B Preferred Stock, (b) alter or amend the description of rights of Massachusetts Series B Preferred Stock set forth in its articles of organization, (c) amend its articles of organization, bylaws or other charter documents in any manner that adversely affects any rights of the holders of Massachusetts Series B Preferred Stock, (d) file any articles of amendment, description of rights, preferences, limitations and relative rights of any series of Massachusetts Corporation preferred stock (as defined in the Massachusetts Series B Articles of Amendment), if such action would adversely alter or change the preferences, rights, privileges or powers of, or restrictions provided for the benefit of Massachusetts Series B Preferred Stock, (e) issue further shares of the Massachusetts Series B Preferred Stock or increase or decrease (other than by conversion) the number of authorized shares of Massachusetts Series B Preferred Stock, (f) at any time while at least 30% of the originally issued Massachusetts Series B Preferred Stock remains issued and outstanding, (i) consummate either (A) a Fundamental Transaction (as defined in the Massachusetts Series B Articles of Amendment) or (B) any merger or consolidation of the Massachusetts Corporation or other business combination in which the shareholders of the Massachusetts Corporation immediately before such transaction do not hold at least a majority of the capital stock of the Massachusetts Corporation immediately after such transaction, (ii) increase the size of the Massachusetts Corporation Board, (iii) adopt, amend or repeal any written delegation of authority policy, corporate authority</w:t>
            </w:r>
          </w:p>
        </w:tc>
        <w:tc>
          <w:tcPr>
            <w:tcW w:w="120" w:type="dxa"/>
            <w:tcBorders/>
            <w:vAlign w:val="center"/>
          </w:tcPr>
          <w:p>
            <w:pPr>
              <w:pStyle w:val="TableContents"/>
              <w:bidi w:val="0"/>
              <w:spacing w:before="0" w:after="283"/>
              <w:jc w:val="left"/>
              <w:rPr/>
            </w:pPr>
            <w:r>
              <w:rPr/>
              <w:t>  </w:t>
            </w:r>
          </w:p>
        </w:tc>
        <w:tc>
          <w:tcPr>
            <w:tcW w:w="354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Articles will also provide that the rights conferred upon the holders of the Cayman Shares or preferred shares of any class shall not, unless otherwise expressly provided by the terms of issue of the relevant class, be deemed to be materially adversely varied or abrogated by the creation, allotment or issue of Cayman Shares or preferred shares ranking pari passu with them, subsequent to them, with preferred rights (including enhanced voting rights) or the redemption or purchase of any of the relevant class by the Cayman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The Cayman Company’s board of directors (the “Cayman Company Board”) will designate 500,000 preferred shares as Series A Non-Voting Convertible Preferred Shares (the “Cayman Series A Preferred Shares”) through a certificate of designation in the form attached as </w:t>
            </w:r>
            <w:r>
              <w:rPr>
                <w:rFonts w:ascii="Times New Roman" w:hAnsi="Times New Roman"/>
                <w:i/>
                <w:sz w:val="20"/>
              </w:rPr>
              <w:t xml:space="preserve">Annex N </w:t>
            </w:r>
            <w:r>
              <w:rPr>
                <w:rFonts w:ascii="Times New Roman" w:hAnsi="Times New Roman"/>
                <w:sz w:val="20"/>
              </w:rPr>
              <w:t>(the “Cayman Series A Certificate of Designation”). Except as otherwise provided for in the Cayman Articles, the Cayman Series A Certificate of Designation or at law, a holder of Cayman Series A Preferred Shares will not have voting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Assuming the Massachusetts Corporation Board designates 29,470 shares of the Massachusetts Corporation’s preferred stock as the Massachusetts Series B Preferred Stock through the Massachusetts Series B Certificate of Designation, upon the effectiveness of the Cayman Redomestication and the Cayman Articles, the Cayman Company Board will designate 29,470 preferred shares as Series B Non-Voting Convertible Preferred Shares (the “Cayman Series B Preferred Shares”) through a certificate of designation in the form attached as </w:t>
            </w:r>
            <w:r>
              <w:rPr>
                <w:rFonts w:ascii="Times New Roman" w:hAnsi="Times New Roman"/>
                <w:i/>
                <w:sz w:val="20"/>
              </w:rPr>
              <w:t xml:space="preserve">Annex O </w:t>
            </w:r>
            <w:r>
              <w:rPr>
                <w:rFonts w:ascii="Times New Roman" w:hAnsi="Times New Roman"/>
                <w:sz w:val="20"/>
              </w:rPr>
              <w:t xml:space="preserve">(the “Cayman Series B Certificate of Designation”). Except as otherwise provided for in the Cayman Articles, the Cayman Series B Certificate of Designation or at law, a holder of Cayman Series B Preferred Shares will not have voting rights other than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In addition, as long as any Cayman Series B Preferred Shares are issued and outstanding, the Cayman Company will not, without the affirmative vote of the holders of a simple majority of the then issued and outstanding Cayman Series B Preferred Shares: (a) alter or change adversely the powers, preferences or rights given to Cayman Series B Preferred Shares, or alter or amend the rights,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319"/>
        <w:gridCol w:w="120"/>
        <w:gridCol w:w="5766"/>
      </w:tblGrid>
      <w:tr>
        <w:trPr/>
        <w:tc>
          <w:tcPr>
            <w:tcW w:w="4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66" w:type="dxa"/>
            <w:tcBorders/>
            <w:vAlign w:val="center"/>
          </w:tcPr>
          <w:p>
            <w:pPr>
              <w:pStyle w:val="TableContents"/>
              <w:bidi w:val="0"/>
              <w:spacing w:before="0" w:after="283"/>
              <w:jc w:val="left"/>
              <w:rPr>
                <w:sz w:val="4"/>
                <w:szCs w:val="4"/>
              </w:rPr>
            </w:pPr>
            <w:r>
              <w:rPr>
                <w:sz w:val="4"/>
                <w:szCs w:val="4"/>
              </w:rPr>
            </w:r>
          </w:p>
        </w:tc>
      </w:tr>
      <w:tr>
        <w:trPr/>
        <w:tc>
          <w:tcPr>
            <w:tcW w:w="431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7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319" w:type="dxa"/>
            <w:tcBorders/>
            <w:vAlign w:val="center"/>
          </w:tcPr>
          <w:p>
            <w:pPr>
              <w:pStyle w:val="TableContents"/>
              <w:bidi w:val="0"/>
              <w:spacing w:before="0" w:after="283"/>
              <w:jc w:val="left"/>
              <w:rPr/>
            </w:pPr>
            <w:r>
              <w:rPr/>
              <w:t>matrix or similar document, framework or schedule unless approved by the unanimous vote of the Massachusetts Corporation Board, or (iv) retain or replace the Massachusetts Corporation’s registered independent public accounting firm, independent compensation consultant or corporate counsel, or (g) enter into any agreement with respect to any of the foregoing. Following the closing of the Merger, each share of Massachusetts Series B Preferred Stock then outstanding will be convertible, at any time and from time to time, at the option of the holder of Massachusetts Series B Preferred Stock, into a number of shares equal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5766" w:type="dxa"/>
            <w:tcBorders/>
            <w:vAlign w:val="center"/>
          </w:tcPr>
          <w:p>
            <w:pPr>
              <w:pStyle w:val="TableContents"/>
              <w:bidi w:val="0"/>
              <w:spacing w:before="0" w:after="283"/>
              <w:jc w:val="left"/>
              <w:rPr/>
            </w:pPr>
            <w:r>
              <w:rPr/>
              <w:t>powers, preferences and other terms of the Cayman Series B Preferred Shares set forth in the Cayman Series B Certificate of Designation, amend or repeal any provision of, or add any provision to, the Cayman Articles and the Cayman Series B Certificate of Designation, or file any articles of amendment, description of rights, preferences, limitations and relative rights of any series of Preferred Shares (as defined in the Cayman Series B Certificate of Designation), if such action would adversely alter or change the preferences, rights, privileges or powers of, or restrictions provided for the benefit of Cayman Series B Preferred Shares, (b) issue further Cayman Series B Preferred Shares or increase or decrease (other than by conversion) the number of authorized Cayman Series B Preferred Shares, (c) at any time while at least 30% of the originally issued Cayman Series B Preferred Shares remains issued and outstanding, (i) consummate either (A) a Fundamental Transaction (as defined in the Cayman Series B Certificate of Designation) or (B) any merger or consolidation of the Cayman Company or other business combination in which the shareholders of the Cayman Company immediately before such transaction do not hold at least a majority of the shares in the capital of the Cayman Company immediately after such transaction, (ii) increase the size of the Cayman Company Board, (iii) adopt, amend or repeal any written delegation of authority policy, corporate authority matrix or similar document, framework or schedule unless approved by the unanimous vote of the Cayman Company Board, or (iv) retain or replace the Cayman Company’s registered independent public accounting firm, independent compensation consultant or corporate counsel, or (d) enter into any agreement with respect to any of the foregoing.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4319" w:type="dxa"/>
            <w:tcBorders/>
            <w:vAlign w:val="center"/>
          </w:tcPr>
          <w:p>
            <w:pPr>
              <w:pStyle w:val="TableContents"/>
              <w:bidi w:val="0"/>
              <w:spacing w:before="0" w:after="283"/>
              <w:jc w:val="left"/>
              <w:rPr>
                <w:sz w:val="4"/>
                <w:szCs w:val="4"/>
              </w:rPr>
            </w:pPr>
            <w:r>
              <w:rPr>
                <w:sz w:val="4"/>
                <w:szCs w:val="4"/>
              </w:rPr>
            </w:r>
          </w:p>
        </w:tc>
        <w:tc>
          <w:tcPr>
            <w:tcW w:w="5886"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vAlign w:val="center"/>
          </w:tcPr>
          <w:p>
            <w:pPr>
              <w:pStyle w:val="TableContents"/>
              <w:bidi w:val="0"/>
              <w:spacing w:before="0" w:after="283"/>
              <w:jc w:val="left"/>
              <w:rPr/>
            </w:pPr>
            <w:r>
              <w:rPr/>
              <w:t>The number of Massachusetts Corporation directors shall be not less than three directors and may be increased or decreased to a size fixed exclusively by vote of a majority of the directors then serving. No decrease in the authorized number of directors constituting the Massachusetts Corporation Board will shorten the term of any incumbent director. Directors need not be stockholders of the Massachusetts Corporation. Following the completion of the Merger, the Combined Company’s Board is expected to consist of six members.</w:t>
            </w:r>
          </w:p>
        </w:tc>
        <w:tc>
          <w:tcPr>
            <w:tcW w:w="120" w:type="dxa"/>
            <w:tcBorders/>
            <w:vAlign w:val="center"/>
          </w:tcPr>
          <w:p>
            <w:pPr>
              <w:pStyle w:val="TableContents"/>
              <w:bidi w:val="0"/>
              <w:spacing w:before="0" w:after="283"/>
              <w:jc w:val="left"/>
              <w:rPr/>
            </w:pPr>
            <w:r>
              <w:rPr/>
              <w:t>  </w:t>
            </w:r>
          </w:p>
        </w:tc>
        <w:tc>
          <w:tcPr>
            <w:tcW w:w="5766" w:type="dxa"/>
            <w:tcBorders/>
            <w:vAlign w:val="center"/>
          </w:tcPr>
          <w:p>
            <w:pPr>
              <w:pStyle w:val="TableContents"/>
              <w:bidi w:val="0"/>
              <w:spacing w:before="0" w:after="283"/>
              <w:jc w:val="left"/>
              <w:rPr/>
            </w:pPr>
            <w:r>
              <w:rPr/>
              <w:t>The size of the Cayman Company Board will be fixed by the Cayman Company Board and may be increased or decreased at any time by the affirmative vote of a simple majority of the voting power of the Cayman Company Board present, or in accordance with terms set out in the Cayman Articles. No decrease in the authorized number of directors constituting the Cayman Company Board will shorten the term of any incumbent director. Directors need not be shareholders of the Cayman Company. The Cayman Company Board is expected to consist of six members.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111"/>
        <w:gridCol w:w="120"/>
        <w:gridCol w:w="5974"/>
      </w:tblGrid>
      <w:tr>
        <w:trPr/>
        <w:tc>
          <w:tcPr>
            <w:tcW w:w="4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74"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97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6094" w:type="dxa"/>
            <w:gridSpan w:val="2"/>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statute, the Massachusetts Articles or the Massachusetts Bylaws, when a quorum is present, (i) in the event there are at least as many 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(i) the holders of Massachusetts Series B Preferred Stock, exclusively and voting together as a separate class on an as-converted to common stock basis, shall be entitled to elect four directors (“Massachusetts Preferred Directors”); and (ii) the holders of Massachusetts Corporation common stock and of any other class or series of voting stock (including the Massachusetts Series B Preferred Stock), exclusively and voting together as a single class on an as-converted to common stock basis, shall be entitled to elect the balance of the total number of directors of the Massachusetts Corporation. Each Massachusetts Preferred Director shall be entitled to three votes on each matter presented to the Massachusetts Corporation Board.</w:t>
            </w:r>
          </w:p>
        </w:tc>
        <w:tc>
          <w:tcPr>
            <w:tcW w:w="120" w:type="dxa"/>
            <w:tcBorders/>
            <w:vAlign w:val="center"/>
          </w:tcPr>
          <w:p>
            <w:pPr>
              <w:pStyle w:val="TableContents"/>
              <w:bidi w:val="0"/>
              <w:spacing w:before="0" w:after="283"/>
              <w:jc w:val="left"/>
              <w:rPr/>
            </w:pPr>
            <w:r>
              <w:rPr/>
              <w:t>  </w:t>
            </w:r>
          </w:p>
        </w:tc>
        <w:tc>
          <w:tcPr>
            <w:tcW w:w="5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Company Board will be divided into three classes designated as: Class I, Class II, and Class III. The Cayman Company Board will be authorized to assign directors already in office to such classes in accordance with a resolution or resolutions adopted by the Cayman Company Board. At the first annual general meeting of shareholders following the date of adoption of the Cayman Articles, the term of office of the Class I directors shall expire and Class I directors shall be elected for a full term of three years. At the second annual general meeting of shareholders following the date of adoption of the Cayman Articles, the term of office of the Class II directors shall expire and Class II directors shall be elected for a full term of three years. At the third annual general meeting of shareholders following the date of adoption of the Cayman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particular class whose terms expire at such annual general meeting. Notwithstanding the foregoing provisions, each director shall serve until his or her successor is duly elected and qualified or until his or her earlier death, resignation, or removal. Any election of directors by shareholders shall be determined by a plurality of the votes properly cast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(i) the holders of record of the Cayman Series B Preferred Shares, exclusively and voting together as a separate class on an as-converted to Cayman Shares basis, shall be entitled to elect four directors (“Cayman Preferred Directors”); and (ii) the holders of the Cayman Shares and of any other class or series of voting shares (including the Cayman Series B Preferred Shares), exclusively and voting together as a single class on an as-converted to Cayman Shares basis, shall be entitled to elect the balance of the total number of directors of the Cayman Company, provided, however, for administrative convenience, the initial Cayman Preferred Directors may also be appointed by the Cayman Company Board in connection with the approval of the initial issuance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58"/>
        <w:gridCol w:w="120"/>
        <w:gridCol w:w="6027"/>
      </w:tblGrid>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7" w:type="dxa"/>
            <w:tcBorders/>
            <w:vAlign w:val="center"/>
          </w:tcPr>
          <w:p>
            <w:pPr>
              <w:pStyle w:val="TableContents"/>
              <w:bidi w:val="0"/>
              <w:spacing w:before="0" w:after="283"/>
              <w:jc w:val="left"/>
              <w:rPr>
                <w:sz w:val="4"/>
                <w:szCs w:val="4"/>
              </w:rPr>
            </w:pPr>
            <w:r>
              <w:rPr>
                <w:sz w:val="4"/>
                <w:szCs w:val="4"/>
              </w:rPr>
            </w:r>
          </w:p>
        </w:tc>
      </w:tr>
      <w:tr>
        <w:trPr/>
        <w:tc>
          <w:tcPr>
            <w:tcW w:w="40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60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283"/>
              <w:jc w:val="left"/>
              <w:rPr/>
            </w:pPr>
            <w:r>
              <w:rPr/>
              <w:t>Cayman Series B Preferred Shares without a separate action by the holders of Cayman Series B Preferred Shares. Each Cayman Preferred Director shall be entitled to three votes on each matter presented to the Cayman Company Board.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6147" w:type="dxa"/>
            <w:gridSpan w:val="2"/>
            <w:tcBorders/>
            <w:vAlign w:val="center"/>
          </w:tcPr>
          <w:p>
            <w:pPr>
              <w:pStyle w:val="TableContents"/>
              <w:bidi w:val="0"/>
              <w:spacing w:before="0" w:after="283"/>
              <w:jc w:val="left"/>
              <w:rPr>
                <w:sz w:val="4"/>
                <w:szCs w:val="4"/>
              </w:rPr>
            </w:pPr>
            <w:r>
              <w:rPr>
                <w:sz w:val="4"/>
                <w:szCs w:val="4"/>
              </w:rPr>
            </w:r>
          </w:p>
        </w:tc>
      </w:tr>
      <w:tr>
        <w:trPr/>
        <w:tc>
          <w:tcPr>
            <w:tcW w:w="4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Massachusetts Corporation shareholders called at least in part for such purpose, any director may by the affirmative vote of the holders of at least a majority of the shares entitled to vote for the election of directors, be removed for cause. The Massachusetts Corporation Board may remove any director or directors, for cause, at a meeting of the Massachusetts Corporation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Massachusetts Preferred Director may be removed without cause only by the affirmative vote of the holders of a majority of the Massachusetts Series B Preferred Stock.</w:t>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 Cayman Articles or any certificate of designation, any individual director or the Cayman Company Board may only be removed with cause by an ordinary resolution. In addition, the Cayman Company Board is authorized to remove any director or directors, for cause, by the affirmative vote of a simple majority of directors present or in accordance with the terms set out in the Cayman Articles.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At all times when at least 30% of the originally issued Cayman Series B Preferred Shares remains issued and outstanding, any Cayman Preferred Director may be removed without cause only by the affirmative vote of the holders of a majority of the Cayman Series B Preferred Shares, given either at a special meeting of such shareholders duly called for that purpose or pursuant to a written consent of shareholders.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4058" w:type="dxa"/>
            <w:tcBorders/>
            <w:vAlign w:val="center"/>
          </w:tcPr>
          <w:p>
            <w:pPr>
              <w:pStyle w:val="TableContents"/>
              <w:bidi w:val="0"/>
              <w:spacing w:before="0" w:after="283"/>
              <w:jc w:val="left"/>
              <w:rPr>
                <w:sz w:val="4"/>
                <w:szCs w:val="4"/>
              </w:rPr>
            </w:pPr>
            <w:r>
              <w:rPr>
                <w:sz w:val="4"/>
                <w:szCs w:val="4"/>
              </w:rPr>
            </w:r>
          </w:p>
        </w:tc>
        <w:tc>
          <w:tcPr>
            <w:tcW w:w="6147" w:type="dxa"/>
            <w:gridSpan w:val="2"/>
            <w:tcBorders/>
            <w:vAlign w:val="center"/>
          </w:tcPr>
          <w:p>
            <w:pPr>
              <w:pStyle w:val="TableContents"/>
              <w:bidi w:val="0"/>
              <w:spacing w:before="0" w:after="283"/>
              <w:jc w:val="left"/>
              <w:rPr>
                <w:sz w:val="4"/>
                <w:szCs w:val="4"/>
              </w:rPr>
            </w:pPr>
            <w:r>
              <w:rPr>
                <w:sz w:val="4"/>
                <w:szCs w:val="4"/>
              </w:rPr>
            </w:r>
          </w:p>
        </w:tc>
      </w:tr>
      <w:tr>
        <w:trPr/>
        <w:tc>
          <w:tcPr>
            <w:tcW w:w="4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any vacancies on the Massachusetts Corporation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Massachusetts Corporation Board,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Massachusetts Series B Preferred Stock remains issued and outstanding, any vacancies of a Massachusetts Preferred Director directorship resulting from death, resignation, disqualification, removal, or other causes</w:t>
            </w:r>
          </w:p>
        </w:tc>
        <w:tc>
          <w:tcPr>
            <w:tcW w:w="120" w:type="dxa"/>
            <w:tcBorders/>
            <w:vAlign w:val="center"/>
          </w:tcPr>
          <w:p>
            <w:pPr>
              <w:pStyle w:val="TableContents"/>
              <w:bidi w:val="0"/>
              <w:spacing w:before="0" w:after="283"/>
              <w:jc w:val="left"/>
              <w:rPr/>
            </w:pPr>
            <w:r>
              <w:rPr/>
              <w:t>  </w:t>
            </w:r>
          </w:p>
        </w:tc>
        <w:tc>
          <w:tcPr>
            <w:tcW w:w="6027" w:type="dxa"/>
            <w:tcBorders/>
            <w:vAlign w:val="center"/>
          </w:tcPr>
          <w:p>
            <w:pPr>
              <w:pStyle w:val="TableContents"/>
              <w:bidi w:val="0"/>
              <w:spacing w:before="0" w:after="283"/>
              <w:jc w:val="left"/>
              <w:rPr/>
            </w:pPr>
            <w:r>
              <w:rPr/>
              <w:t>Subject to the rights of the holders of any series of preferred shares, including pursuant to any certificate of designation, any vacancies on the Cayman Company Board resulting from death, resignation, disqualification, removal or other causes, and any newly created directorships resulting from any increase in the number of directors, shall, unless the Cayman Company Board determines by resolution that any such vacancies or newly created directorships shall be filled by the shareholders as permitted in accordance with the Cayman Articles and any certificate of designation, be filled only by the affirmative vote of a simple majority of the voting power of the directors present,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167"/>
        <w:gridCol w:w="120"/>
        <w:gridCol w:w="5918"/>
      </w:tblGrid>
      <w:tr>
        <w:trPr/>
        <w:tc>
          <w:tcPr>
            <w:tcW w:w="41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18" w:type="dxa"/>
            <w:tcBorders/>
            <w:vAlign w:val="center"/>
          </w:tcPr>
          <w:p>
            <w:pPr>
              <w:pStyle w:val="TableContents"/>
              <w:bidi w:val="0"/>
              <w:spacing w:before="0" w:after="283"/>
              <w:jc w:val="left"/>
              <w:rPr>
                <w:sz w:val="4"/>
                <w:szCs w:val="4"/>
              </w:rPr>
            </w:pPr>
            <w:r>
              <w:rPr>
                <w:sz w:val="4"/>
                <w:szCs w:val="4"/>
              </w:rPr>
            </w:r>
          </w:p>
        </w:tc>
      </w:tr>
      <w:tr>
        <w:trPr/>
        <w:tc>
          <w:tcPr>
            <w:tcW w:w="416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9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167" w:type="dxa"/>
            <w:tcBorders/>
            <w:vAlign w:val="center"/>
          </w:tcPr>
          <w:p>
            <w:pPr>
              <w:pStyle w:val="TableContents"/>
              <w:bidi w:val="0"/>
              <w:spacing w:before="0" w:after="283"/>
              <w:jc w:val="left"/>
              <w:rPr/>
            </w:pPr>
            <w:r>
              <w:rPr/>
              <w:t>shall be filled by the affirmative vote of the holders of a majority of the Massachusetts Series B Preferred Stock.</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the Cayman Series B Preferred Shares fail to elect a sufficient number of directors to fill all directorships for which they are entitled to elect pursuant to the Cayman Series B Certificate of Designation, then any directorship not so filled shall remain vacant until such time as the holders of the Cayman Series B Preferred Shares fill such directorship in accordance with the Cayman Series B Certificate of Designation.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Shareholder Action by Written Consent</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Any action required or permitted to be taken by the Massachusetts Corporation shareholders may be taken without a meeting if evidenced by consents signed by all Massachusetts Corporation shareholders entitled to vote on the matter.</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A resolution in writing signed by all the shareholders entitled to receive notice of and to attend and vote at general meetings of the Cayman Company (or being corporations by their duly authorized representatives) shall be as valid and effective as if the same had been passed at a general meeting of the Cayman Company duly convened and held for the purposes of passing a special resolution or an ordinary resolution.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At all meetings of stockholders, except where otherwise provided by statute or by the Massachusetts Articles or the Massachusetts Bylaws, at any meeting of Massachusetts Corporation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At all meetings of shareholders, except where otherwise provided by the Cayman Articles or any certificate of designation, the holders of record of one-third of the issued and outstanding shares entitled to vote, present in person or 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for in the Cayman Articles. A meeting will be adjourned until quorum is present. At such adjourned meeting at which a quorum is present, any business may be transacted which might have been transacted at the original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Special Meetings of Shareholders</w:t>
            </w:r>
          </w:p>
        </w:tc>
      </w:tr>
      <w:tr>
        <w:trPr/>
        <w:tc>
          <w:tcPr>
            <w:tcW w:w="4167" w:type="dxa"/>
            <w:tcBorders/>
            <w:vAlign w:val="center"/>
          </w:tcPr>
          <w:p>
            <w:pPr>
              <w:pStyle w:val="TableContents"/>
              <w:bidi w:val="0"/>
              <w:spacing w:before="0" w:after="283"/>
              <w:jc w:val="left"/>
              <w:rPr>
                <w:sz w:val="4"/>
                <w:szCs w:val="4"/>
              </w:rPr>
            </w:pPr>
            <w:r>
              <w:rPr>
                <w:sz w:val="4"/>
                <w:szCs w:val="4"/>
              </w:rPr>
            </w:r>
          </w:p>
        </w:tc>
        <w:tc>
          <w:tcPr>
            <w:tcW w:w="6038" w:type="dxa"/>
            <w:gridSpan w:val="2"/>
            <w:tcBorders/>
            <w:vAlign w:val="center"/>
          </w:tcPr>
          <w:p>
            <w:pPr>
              <w:pStyle w:val="TableContents"/>
              <w:bidi w:val="0"/>
              <w:spacing w:before="0" w:after="283"/>
              <w:jc w:val="left"/>
              <w:rPr>
                <w:sz w:val="4"/>
                <w:szCs w:val="4"/>
              </w:rPr>
            </w:pPr>
            <w:r>
              <w:rPr>
                <w:sz w:val="4"/>
                <w:szCs w:val="4"/>
              </w:rPr>
            </w:r>
          </w:p>
        </w:tc>
      </w:tr>
      <w:tr>
        <w:trPr/>
        <w:tc>
          <w:tcPr>
            <w:tcW w:w="4167" w:type="dxa"/>
            <w:tcBorders/>
            <w:vAlign w:val="center"/>
          </w:tcPr>
          <w:p>
            <w:pPr>
              <w:pStyle w:val="TableContents"/>
              <w:bidi w:val="0"/>
              <w:spacing w:before="0" w:after="283"/>
              <w:jc w:val="left"/>
              <w:rPr/>
            </w:pPr>
            <w:r>
              <w:rPr/>
              <w:t>Special meetings of the Massachusetts Corporation shareholders may be called, for any purpose as is a proper matter for shareholder action under the Massachusetts Articles, the Massachusetts Bylaws and the MBCA, by (i) subject to certain conditions, holders of at least forty percent (40%) of all the votes entitled to be cast on any issue to be considered at the proposed special meeting, or (ii) the Massachusetts Corporation Board pursuant to a resolution adopted by a majority of the directors at a meeting of directors where a quorum is</w:t>
            </w:r>
          </w:p>
        </w:tc>
        <w:tc>
          <w:tcPr>
            <w:tcW w:w="120" w:type="dxa"/>
            <w:tcBorders/>
            <w:vAlign w:val="center"/>
          </w:tcPr>
          <w:p>
            <w:pPr>
              <w:pStyle w:val="TableContents"/>
              <w:bidi w:val="0"/>
              <w:spacing w:before="0" w:after="283"/>
              <w:jc w:val="left"/>
              <w:rPr/>
            </w:pPr>
            <w:r>
              <w:rPr/>
              <w:t>  </w:t>
            </w:r>
          </w:p>
        </w:tc>
        <w:tc>
          <w:tcPr>
            <w:tcW w:w="5918" w:type="dxa"/>
            <w:tcBorders/>
            <w:vAlign w:val="center"/>
          </w:tcPr>
          <w:p>
            <w:pPr>
              <w:pStyle w:val="TableContents"/>
              <w:bidi w:val="0"/>
              <w:spacing w:before="0" w:after="283"/>
              <w:jc w:val="left"/>
              <w:rPr/>
            </w:pPr>
            <w:r>
              <w:rPr/>
              <w:t>Subject to certain conditions set forth in the Cayman Articles, general meetings of the Cayman Company may be called, for any purpose as is a proper matter for shareholder action under Cayman Islands law, by (i) the Cayman Company Board or (ii) the holders of at least 40% of all the votes entitled to be cast on any issue to be considered at the proposed general meeting delivered to an executive officer of the Cayman Company at the principal executive offices of the Cayman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401"/>
        <w:gridCol w:w="120"/>
        <w:gridCol w:w="4684"/>
      </w:tblGrid>
      <w:tr>
        <w:trPr/>
        <w:tc>
          <w:tcPr>
            <w:tcW w:w="54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4" w:type="dxa"/>
            <w:tcBorders/>
            <w:vAlign w:val="center"/>
          </w:tcPr>
          <w:p>
            <w:pPr>
              <w:pStyle w:val="TableContents"/>
              <w:bidi w:val="0"/>
              <w:spacing w:before="0" w:after="283"/>
              <w:jc w:val="left"/>
              <w:rPr>
                <w:sz w:val="4"/>
                <w:szCs w:val="4"/>
              </w:rPr>
            </w:pPr>
            <w:r>
              <w:rPr>
                <w:sz w:val="4"/>
                <w:szCs w:val="4"/>
              </w:rPr>
            </w:r>
          </w:p>
        </w:tc>
      </w:tr>
      <w:tr>
        <w:trPr/>
        <w:tc>
          <w:tcPr>
            <w:tcW w:w="54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8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4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or by unanimous written consent of the Massachusetts Corporation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Massachusetts Corporation Board or an officer designed by the Massachusetts Corporation Board shall determine the time and place of such special meeting. Upon determination of the time and place of the meeting, the Massachusetts Corporation secretary shall cause a notice of meeting to be given to the Massachusetts Corporation shareholders entitled to vote, in accordance with the Massachusetts Bylaws. No business may be transacted as such special meeting other than the business specified in the notice of meeting. Special meetings called by Massachusetts Corporation shareholders will be scheduled not fewer than sixty (60) nor more than ninety (90) days after the date of delivery of a written request to the Massachusetts Corporation secretary for such meeting to be called by shareholders holding at least forty percent (40%) of the votes entitled to be cast on any issue to be considered at the proposed special meeting, subject to certain conditions in the Massachusetts Bylaws.</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Company Board shall determine the date, time, and place (and, if the general meeting is to be a hybrid meeting or an electronic meeting, the details of the electronic facilities for attendance and participation by electronic means at the general meeting) of such meeting, if any. Upon such determination, the Cayman Company Board or executive officer of the Cayman Company shall cause a notice of general meeting to be given to the Cayman Company shareholders entitled to vote, in accordance with the Cayman Articles.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Shareholder Meetings</w:t>
            </w:r>
          </w:p>
        </w:tc>
      </w:tr>
      <w:tr>
        <w:trPr/>
        <w:tc>
          <w:tcPr>
            <w:tcW w:w="5401" w:type="dxa"/>
            <w:tcBorders/>
            <w:vAlign w:val="center"/>
          </w:tcPr>
          <w:p>
            <w:pPr>
              <w:pStyle w:val="TableContents"/>
              <w:bidi w:val="0"/>
              <w:spacing w:before="0" w:after="283"/>
              <w:jc w:val="left"/>
              <w:rPr>
                <w:sz w:val="4"/>
                <w:szCs w:val="4"/>
              </w:rPr>
            </w:pPr>
            <w:r>
              <w:rPr>
                <w:sz w:val="4"/>
                <w:szCs w:val="4"/>
              </w:rPr>
            </w:r>
          </w:p>
        </w:tc>
        <w:tc>
          <w:tcPr>
            <w:tcW w:w="4804" w:type="dxa"/>
            <w:gridSpan w:val="2"/>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283"/>
              <w:jc w:val="left"/>
              <w:rPr/>
            </w:pPr>
            <w:r>
              <w:rPr/>
              <w:t>Except as otherwise provided by law, notice, given in writing or by electronic transmission, of each meeting of Massachusetts Corporation shareholders shall be given not less than seven (7) nor more than sixty (60) days before the date of the meeting to each stockholder entitled to vote at such meeting. Notice of any special meeting requested by Massachusetts Corporation shareholders in accordance with the Massachusetts Bylaws shall be given in writing or electronic transmission within thirty (30) days of the date of delivery of a written request for such special meeting to be called. Notice delivered to Massachusetts Corporation shareholders of shareholder meetings will specify the date, place and time of such meeting and the purposes of such meeting.</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Except as otherwise provided by law, a notice of each meeting of shareholders stating the time, date and place of such meeting (and, if the meeting is to be a hybrid meeting or an electronic meeting, the details of the electronic facilities for attendance and participation by electronic means at the meeting) by which shareholders and proxy holders may be deemed to be present in person and vote at any such meeting shall be given not less than seven (7) nor more than sixty (60) days before the date of the meeting to each shareholder entitled to vote at such meeting as of the record date for such meeting, such notice to specify, in the case of general meetings, the business, purpose or purposes for which the meeting has been called . No business may be transacted at an annual general meeting otherwise than specified in the notice of annual general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accidental omission to give notice of a meeting to or the non-receipt of a notice of a meeting by any shareholder shall not invalidate the proceedings at any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Shareholder Proposals</w:t>
            </w:r>
          </w:p>
        </w:tc>
      </w:tr>
      <w:tr>
        <w:trPr/>
        <w:tc>
          <w:tcPr>
            <w:tcW w:w="5401" w:type="dxa"/>
            <w:tcBorders/>
            <w:vAlign w:val="center"/>
          </w:tcPr>
          <w:p>
            <w:pPr>
              <w:pStyle w:val="TableContents"/>
              <w:bidi w:val="0"/>
              <w:spacing w:before="0" w:after="283"/>
              <w:jc w:val="left"/>
              <w:rPr>
                <w:sz w:val="4"/>
                <w:szCs w:val="4"/>
              </w:rPr>
            </w:pPr>
            <w:r>
              <w:rPr>
                <w:sz w:val="4"/>
                <w:szCs w:val="4"/>
              </w:rPr>
            </w:r>
          </w:p>
        </w:tc>
        <w:tc>
          <w:tcPr>
            <w:tcW w:w="4804" w:type="dxa"/>
            <w:gridSpan w:val="2"/>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283"/>
              <w:jc w:val="left"/>
              <w:rPr/>
            </w:pPr>
            <w:r>
              <w:rPr/>
              <w:t>Nominations of persons for election to the Massachusetts Corporation Board may be made at an annual meeting or special meeting of shareholders, and</w:t>
            </w:r>
          </w:p>
        </w:tc>
        <w:tc>
          <w:tcPr>
            <w:tcW w:w="120" w:type="dxa"/>
            <w:tcBorders/>
            <w:vAlign w:val="center"/>
          </w:tcPr>
          <w:p>
            <w:pPr>
              <w:pStyle w:val="TableContents"/>
              <w:bidi w:val="0"/>
              <w:spacing w:before="0" w:after="283"/>
              <w:jc w:val="left"/>
              <w:rPr/>
            </w:pPr>
            <w:r>
              <w:rPr/>
              <w:t>  </w:t>
            </w:r>
          </w:p>
        </w:tc>
        <w:tc>
          <w:tcPr>
            <w:tcW w:w="468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Nominations of persons for election to the Cayman Company Board and the proposal of business to be considered by the shareholders may be made at 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433"/>
        <w:gridCol w:w="120"/>
        <w:gridCol w:w="4652"/>
      </w:tblGrid>
      <w:tr>
        <w:trPr/>
        <w:tc>
          <w:tcPr>
            <w:tcW w:w="5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52" w:type="dxa"/>
            <w:tcBorders/>
            <w:vAlign w:val="center"/>
          </w:tcPr>
          <w:p>
            <w:pPr>
              <w:pStyle w:val="TableContents"/>
              <w:bidi w:val="0"/>
              <w:spacing w:before="0" w:after="283"/>
              <w:jc w:val="left"/>
              <w:rPr>
                <w:sz w:val="4"/>
                <w:szCs w:val="4"/>
              </w:rPr>
            </w:pPr>
            <w:r>
              <w:rPr>
                <w:sz w:val="4"/>
                <w:szCs w:val="4"/>
              </w:rPr>
            </w:r>
          </w:p>
        </w:tc>
      </w:tr>
      <w:tr>
        <w:trPr/>
        <w:tc>
          <w:tcPr>
            <w:tcW w:w="54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5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433" w:type="dxa"/>
            <w:tcBorders/>
            <w:vAlign w:val="center"/>
          </w:tcPr>
          <w:p>
            <w:pPr>
              <w:pStyle w:val="TableContents"/>
              <w:bidi w:val="0"/>
              <w:spacing w:before="0" w:after="283"/>
              <w:jc w:val="left"/>
              <w:rPr/>
            </w:pPr>
            <w:r>
              <w:rPr/>
              <w:t>the proposal of business to be considered by the shareholders may be made at an annual meeting of shareholders, by any Massachusetts Corporation shareholder who was a shareholder of record at the time of giving the shareholder’s notice, who is entitled to vote at the meeting and who complied with the notice procedures set forth in the Massachusetts Bylaws. Such notice must be received by the Massachusetts Corporation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Massachusetts Corporation Board to be elected at such meeting, in the case of a special meeting nomination.</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general meeting of shareholders: (i) pursuant to the Cayman Company’s notice of meeting of shareholders (with respect to business other than nominations); (ii) brought specifically by or at the direction of the Cayman Company Board; or (iii) by any shareholder of the Cayman Company who was a shareholder of record at the time of giving the shareholders’ notice provided for in the Cayman Articles below, who is entitled to vote at the meeting and who complied with the notice procedures set forth in Cayman Articles. Such notice must be received by the Cayman Company not later than the close of business on the ninetieth day and no earlier than the close of business on the one hundred twentieth day prior to the first anniversary of the preceding year’s annual meeting, or if no annual meeting was held in the preceding year, not later than the close of business on the later of the ninetieth day prior to such meeting or the tenth day following the day on which public announcement is first made of the date of such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director nominations or other business to be properly brought before an annual general meeting by a shareholder, the shareholder must (i) have given Timely Notice in writing and (ii) must comply with the requirements in the Cayman Articles as to the contents of the Timely Notice.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Certificate of Incorporation and Memorandum of Association</w:t>
            </w:r>
          </w:p>
        </w:tc>
      </w:tr>
      <w:tr>
        <w:trPr/>
        <w:tc>
          <w:tcPr>
            <w:tcW w:w="5433" w:type="dxa"/>
            <w:tcBorders/>
            <w:vAlign w:val="center"/>
          </w:tcPr>
          <w:p>
            <w:pPr>
              <w:pStyle w:val="TableContents"/>
              <w:bidi w:val="0"/>
              <w:spacing w:before="0" w:after="283"/>
              <w:jc w:val="left"/>
              <w:rPr>
                <w:sz w:val="4"/>
                <w:szCs w:val="4"/>
              </w:rPr>
            </w:pPr>
            <w:r>
              <w:rPr>
                <w:sz w:val="4"/>
                <w:szCs w:val="4"/>
              </w:rPr>
            </w:r>
          </w:p>
        </w:tc>
        <w:tc>
          <w:tcPr>
            <w:tcW w:w="4772" w:type="dxa"/>
            <w:gridSpan w:val="2"/>
            <w:tcBorders/>
            <w:vAlign w:val="center"/>
          </w:tcPr>
          <w:p>
            <w:pPr>
              <w:pStyle w:val="TableContents"/>
              <w:bidi w:val="0"/>
              <w:spacing w:before="0" w:after="283"/>
              <w:jc w:val="left"/>
              <w:rPr>
                <w:sz w:val="4"/>
                <w:szCs w:val="4"/>
              </w:rPr>
            </w:pPr>
            <w:r>
              <w:rPr>
                <w:sz w:val="4"/>
                <w:szCs w:val="4"/>
              </w:rPr>
            </w:r>
          </w:p>
        </w:tc>
      </w:tr>
      <w:tr>
        <w:trPr/>
        <w:tc>
          <w:tcPr>
            <w:tcW w:w="5433" w:type="dxa"/>
            <w:tcBorders/>
            <w:vAlign w:val="center"/>
          </w:tcPr>
          <w:p>
            <w:pPr>
              <w:pStyle w:val="TableContents"/>
              <w:bidi w:val="0"/>
              <w:spacing w:before="0" w:after="283"/>
              <w:jc w:val="left"/>
              <w:rPr/>
            </w:pPr>
            <w:r>
              <w:rPr/>
              <w:t>The Massachusetts Articles may be amended by the affirmative vote of the majority of the outstanding shares of capital stock entitled to vote on such amendment at a duly constituted meeting of shareholders called expressly for such purpose.</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i) a majority of not less than two-thirds of the shareholders as, being entitled to do so, vote in person or, where proxies are allowed, by proxy at a general meeting of the Cayman Company of which notice specifying the intention to propose the resolution as a special resolution has been duly given and where a poll is taken regard shall be had in computing a majority to the number of votes to which each shareholder is entitled or ii) approved in writing by all of the shareholders entitled to vote at a general meeting of the Cayman Company in one or more instruments each signed by one or more of the shareholders (a “special resolution”) alter or amend the memorandum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459"/>
        <w:gridCol w:w="120"/>
        <w:gridCol w:w="5626"/>
      </w:tblGrid>
      <w:tr>
        <w:trPr/>
        <w:tc>
          <w:tcPr>
            <w:tcW w:w="44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44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56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283"/>
              <w:jc w:val="left"/>
              <w:rPr/>
            </w:pPr>
            <w:r>
              <w:rPr/>
              <w:t>of association and articles of association forming a part of the Cayman Articles, in whole or in part.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 and Articles of Association</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Except as otherwise provided by law, the Massachusetts Bylaws may be adopted, amended, or repealed by the Massachusetts Corporation Board. Any adoption, amendment, or repeal of the Massachusetts Bylaws by the Massachusetts Corporation Board pursuant to a resolution adopted by a majority of the directors at a meeting of directors where a quorum is present or by unanimous written consent of the Massachusetts Corporation Board. The Massachusetts Bylaws may also be adopted, amended, or repealed by the shareholders votes cast in favor representing a majority of the votes entitled to be cast on the matter.</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consist of a memorandum of association and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Subject to the Companies Act and the rights attaching to the various classes, including pursuant to any certificate of designation, the Cayman Company may at any time and from time to time by special resolution alter or amend the articles of association forming a part of the Cayman Articles in whole or in part.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Limitation on Director and Officer Liability</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Directors shall not be liable to the Massachusetts Corporation or its shareholders for damages for any breach of fiduciary duty, except to the extent that the elimination or limitations of liability is not permitted under law.</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Companies Act does not restrict the authority of a Cayman exempted company to indemnify its directors, officers, employees, or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Cayman Articles provide that no Indemnified Person (as defined below) shall be liable: (a) for the acts, receipts, neglects, defaults or omissions of any other director or officer or agent of the Cayman Company; or (b) for any loss on account of defect of title to any property of the Cayman Company; or (c) on account of the insufficiency of any security in or upon which any money of the Cayman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4459" w:type="dxa"/>
            <w:tcBorders/>
            <w:vAlign w:val="center"/>
          </w:tcPr>
          <w:p>
            <w:pPr>
              <w:pStyle w:val="TableContents"/>
              <w:bidi w:val="0"/>
              <w:spacing w:before="0" w:after="283"/>
              <w:jc w:val="left"/>
              <w:rPr>
                <w:sz w:val="4"/>
                <w:szCs w:val="4"/>
              </w:rPr>
            </w:pPr>
            <w:r>
              <w:rPr>
                <w:sz w:val="4"/>
                <w:szCs w:val="4"/>
              </w:rPr>
            </w:r>
          </w:p>
        </w:tc>
        <w:tc>
          <w:tcPr>
            <w:tcW w:w="5746" w:type="dxa"/>
            <w:gridSpan w:val="2"/>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The Massachusetts Corporation will indemnify and hold harmless its directors and officers from and against any and all claims and liabilities to which he or she may be or become subject by reason of being or having been a director or officer of the Massachusetts Corporation or by reason of alleged acts or omissions as a director or</w:t>
            </w:r>
          </w:p>
        </w:tc>
        <w:tc>
          <w:tcPr>
            <w:tcW w:w="120" w:type="dxa"/>
            <w:tcBorders/>
            <w:vAlign w:val="center"/>
          </w:tcPr>
          <w:p>
            <w:pPr>
              <w:pStyle w:val="TableContents"/>
              <w:bidi w:val="0"/>
              <w:spacing w:before="0" w:after="283"/>
              <w:jc w:val="left"/>
              <w:rPr/>
            </w:pPr>
            <w:r>
              <w:rPr/>
              <w:t>  </w:t>
            </w:r>
          </w:p>
        </w:tc>
        <w:tc>
          <w:tcPr>
            <w:tcW w:w="5626" w:type="dxa"/>
            <w:tcBorders/>
            <w:vAlign w:val="center"/>
          </w:tcPr>
          <w:p>
            <w:pPr>
              <w:pStyle w:val="TableContents"/>
              <w:bidi w:val="0"/>
              <w:spacing w:before="0" w:after="283"/>
              <w:jc w:val="left"/>
              <w:rPr/>
            </w:pPr>
            <w:r>
              <w:rPr/>
              <w:t>The Cayman Articles provide that, to the fullest extent permitted by law, every director (including any alternate director appointed pursuant to the provisions of the Cayman Articles), secretary, assistant secretary, or other officer (but not including the Cayman Company’s auditors) and the personal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941"/>
        <w:gridCol w:w="120"/>
        <w:gridCol w:w="6144"/>
      </w:tblGrid>
      <w:tr>
        <w:trPr/>
        <w:tc>
          <w:tcPr>
            <w:tcW w:w="39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44" w:type="dxa"/>
            <w:tcBorders/>
            <w:vAlign w:val="center"/>
          </w:tcPr>
          <w:p>
            <w:pPr>
              <w:pStyle w:val="TableContents"/>
              <w:bidi w:val="0"/>
              <w:spacing w:before="0" w:after="283"/>
              <w:jc w:val="left"/>
              <w:rPr>
                <w:sz w:val="4"/>
                <w:szCs w:val="4"/>
              </w:rPr>
            </w:pPr>
            <w:r>
              <w:rPr>
                <w:sz w:val="4"/>
                <w:szCs w:val="4"/>
              </w:rPr>
            </w:r>
          </w:p>
        </w:tc>
      </w:tr>
      <w:tr>
        <w:trPr/>
        <w:tc>
          <w:tcPr>
            <w:tcW w:w="39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614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3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officer of the Massachusetts Corporation,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the Massachusetts Corporation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Massachusetts Corporation will also indemnify and hold harmless persons who serve at the Massachusetts Corporation’s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the Massachusetts Corporation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Massachusetts Articles will be in addition to and not exclusive of any other rights to which any officer or director of the Massachusetts Corporation may otherwise be lawfully entitled.</w:t>
            </w:r>
          </w:p>
        </w:tc>
        <w:tc>
          <w:tcPr>
            <w:tcW w:w="120" w:type="dxa"/>
            <w:tcBorders/>
            <w:vAlign w:val="center"/>
          </w:tcPr>
          <w:p>
            <w:pPr>
              <w:pStyle w:val="TableContents"/>
              <w:bidi w:val="0"/>
              <w:spacing w:before="0" w:after="283"/>
              <w:jc w:val="left"/>
              <w:rPr/>
            </w:pPr>
            <w:r>
              <w:rPr/>
              <w:t>  </w:t>
            </w:r>
          </w:p>
        </w:tc>
        <w:tc>
          <w:tcPr>
            <w:tcW w:w="61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representatives of the same (each an “Indemnified Person”) shall be indemnified and secured harmless out of the assets and funds of the Cayman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Cayman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Cayman Company or its affairs in any court whether in the Cayman Islands or elsewhere.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shareholder waives any claim or right of action they might have, whether individually or by or in the right of the Cayman Company, against any director or officer on account of any action taken by such director or officer, or the failure of such director or officer to take any action in the performance of his or her duties with or for the Cayman Company; provided that such waiver shall not extend to any matter in respect of any actual fraud, willful default or willful neglect which may attach to such director or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Cayman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Cayman Articles or otherwise.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to indemnification and advancement of expenses conferred on any Indemnified Person as set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397"/>
        <w:gridCol w:w="120"/>
        <w:gridCol w:w="4688"/>
      </w:tblGrid>
      <w:tr>
        <w:trPr/>
        <w:tc>
          <w:tcPr>
            <w:tcW w:w="5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8" w:type="dxa"/>
            <w:tcBorders/>
            <w:vAlign w:val="center"/>
          </w:tcPr>
          <w:p>
            <w:pPr>
              <w:pStyle w:val="TableContents"/>
              <w:bidi w:val="0"/>
              <w:spacing w:before="0" w:after="283"/>
              <w:jc w:val="left"/>
              <w:rPr>
                <w:sz w:val="4"/>
                <w:szCs w:val="4"/>
              </w:rPr>
            </w:pPr>
            <w:r>
              <w:rPr>
                <w:sz w:val="4"/>
                <w:szCs w:val="4"/>
              </w:rPr>
            </w:r>
          </w:p>
        </w:tc>
      </w:tr>
      <w:tr>
        <w:trPr/>
        <w:tc>
          <w:tcPr>
            <w:tcW w:w="539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468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out above will not be exclusive of any other rights that any Indemnified Person may have or hereafter acquire pursuant to an agreement with the Cayman Company or otherwise.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Massachusetts Corporation common stock is neither convertible nor redeemable.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Holders of Massachusetts Series A Preferred Stock have the right to convert such shares into shares of Massachusetts Corporation common stock at any time at a ratio of 1 share of Massachusetts Series A Preferred Stock to 1 share of Massachusetts Corporation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the Massachusetts Series B Preferred Stock is issued in connection with the Merger, the holders of the Massachusetts Series B Preferred Stock will have the right to convert such shares into Massachusetts Corporation common stock at any time at a ratio of 1 share of Massachusetts Series B Preferred Stock to 1,000 shares of Massachusetts Corporation common stock, subject to certain limitations, including that a holder of Massachusetts Series B Preferred Stock is prohibited from converting shares of Massachusetts Series B Preferred Stock into shares of Massachusetts Corporation common stock if, as a result of such conversion, such holder, together with its affiliates, would beneficially own more than a specified percentage (initially set at 19.99%) of the total number of shares of Massachusetts Corporation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accordance with the Cayman Series A Certificate of Designation, each Cayman Series A Preferred Shares then issued and outstanding shall be convertible, at any time and from time to time, at the option of the holder thereof, at a ratio of 1 Cayman Series A Preferred Share to 1 Cayman Share, subject to adjustment for share splits, combinations and similar events provided for in the Cayman Series A Certificate of Designation.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accordance with the Cayman Series B Certificate of Designation, each Cayman Series B Preferred Shares then issued and outstanding shall be convertible, at any time and from time to time, at the option of the holder thereof, at a ratio of 1 Cayman Series B Preferred Share to 1,000 Cayman Shares, subject to certain limitations, including that a holder of Cayman Series B Preferred Shares will be prohibited from converting Cayman Series B Preferred Shares into Cayman Shares if, as a result of such conversion, such holder, together with its affiliates, would beneficially own more than a specified percentage (initially set at 19.99%) of the total number of Cayman Shares issued and outstanding immediately after giving effect to such conversion.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283"/>
              <w:jc w:val="left"/>
              <w:rPr/>
            </w:pPr>
            <w:r>
              <w:rPr/>
              <w:t>Massachusetts Corporation shareholders do not have preemptive rights. Thus, if additional shares of Massachusetts Corporation common stock are issued, the current holders of Massachusetts Corporation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Cayman Company shareholders will not have preemptive rights. Thus, if additional Cayman Shares are issued, the current holders of Cayman Shares will own a proportionately smaller interest in a larger number of outstanding Cayman Shares to the extent that they do not participate in the additional issuance.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Shareholders</w:t>
            </w:r>
          </w:p>
        </w:tc>
      </w:tr>
      <w:tr>
        <w:trPr/>
        <w:tc>
          <w:tcPr>
            <w:tcW w:w="5397" w:type="dxa"/>
            <w:tcBorders/>
            <w:vAlign w:val="center"/>
          </w:tcPr>
          <w:p>
            <w:pPr>
              <w:pStyle w:val="TableContents"/>
              <w:bidi w:val="0"/>
              <w:spacing w:before="0" w:after="283"/>
              <w:jc w:val="left"/>
              <w:rPr>
                <w:sz w:val="4"/>
                <w:szCs w:val="4"/>
              </w:rPr>
            </w:pPr>
            <w:r>
              <w:rPr>
                <w:sz w:val="4"/>
                <w:szCs w:val="4"/>
              </w:rPr>
            </w:r>
          </w:p>
        </w:tc>
        <w:tc>
          <w:tcPr>
            <w:tcW w:w="4808" w:type="dxa"/>
            <w:gridSpan w:val="2"/>
            <w:tcBorders/>
            <w:vAlign w:val="center"/>
          </w:tcPr>
          <w:p>
            <w:pPr>
              <w:pStyle w:val="TableContents"/>
              <w:bidi w:val="0"/>
              <w:spacing w:before="0" w:after="283"/>
              <w:jc w:val="left"/>
              <w:rPr>
                <w:sz w:val="4"/>
                <w:szCs w:val="4"/>
              </w:rPr>
            </w:pPr>
            <w:r>
              <w:rPr>
                <w:sz w:val="4"/>
                <w:szCs w:val="4"/>
              </w:rPr>
            </w:r>
          </w:p>
        </w:tc>
      </w:tr>
      <w:tr>
        <w:trPr/>
        <w:tc>
          <w:tcPr>
            <w:tcW w:w="5397" w:type="dxa"/>
            <w:tcBorders/>
            <w:vAlign w:val="center"/>
          </w:tcPr>
          <w:p>
            <w:pPr>
              <w:pStyle w:val="TableContents"/>
              <w:bidi w:val="0"/>
              <w:spacing w:before="0" w:after="283"/>
              <w:jc w:val="left"/>
              <w:rPr/>
            </w:pPr>
            <w:r>
              <w:rPr/>
              <w:t>Subject to preferences that may be applicable to any outstanding shares of Massachusetts Corporation preferred stock, the holders of Massachusetts Corporation common stock are entitled to receive ratably such dividends as may be declared by the</w:t>
            </w:r>
          </w:p>
        </w:tc>
        <w:tc>
          <w:tcPr>
            <w:tcW w:w="120" w:type="dxa"/>
            <w:tcBorders/>
            <w:vAlign w:val="center"/>
          </w:tcPr>
          <w:p>
            <w:pPr>
              <w:pStyle w:val="TableContents"/>
              <w:bidi w:val="0"/>
              <w:spacing w:before="0" w:after="283"/>
              <w:jc w:val="left"/>
              <w:rPr/>
            </w:pPr>
            <w:r>
              <w:rPr/>
              <w:t>  </w:t>
            </w:r>
          </w:p>
        </w:tc>
        <w:tc>
          <w:tcPr>
            <w:tcW w:w="4688" w:type="dxa"/>
            <w:tcBorders/>
            <w:vAlign w:val="center"/>
          </w:tcPr>
          <w:p>
            <w:pPr>
              <w:pStyle w:val="TableContents"/>
              <w:bidi w:val="0"/>
              <w:spacing w:before="0" w:after="283"/>
              <w:jc w:val="left"/>
              <w:rPr/>
            </w:pPr>
            <w:r>
              <w:rPr/>
              <w:t>Subject to the Companies Act, the Cayman Articles, and any certificate of designation, and except as otherwise provided by the rights attached to any shares, the directors may resolve to declare dividends (including interim dividends) and other distributions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93"/>
        <w:gridCol w:w="120"/>
        <w:gridCol w:w="3792"/>
      </w:tblGrid>
      <w:tr>
        <w:trPr/>
        <w:tc>
          <w:tcPr>
            <w:tcW w:w="62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629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7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293" w:type="dxa"/>
            <w:tcBorders/>
            <w:vAlign w:val="center"/>
          </w:tcPr>
          <w:p>
            <w:pPr>
              <w:pStyle w:val="TableContents"/>
              <w:bidi w:val="0"/>
              <w:spacing w:before="0" w:after="283"/>
              <w:jc w:val="left"/>
              <w:rPr/>
            </w:pPr>
            <w:r>
              <w:rPr/>
              <w:t>Massachusetts Corporation Board out of legally available funds.</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shares in issue and authorize payment of the dividends or other distributions out of the funds of the Cayman Company lawfully available therefor. All dividends shall be declared and paid according to the amounts paid up on the Cayman Shares, but if and for so long as nothing is paid up on any of the Cayman Shares, dividends may be declared and paid according to the par value of the Cayman Shares. Dividends may be paid in cash, in property, or in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Cayman Islands company may only make distributions by way of a dividend out of its profits, retained earnings, and/or share premium account.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Where dividends are paid from share premium, a statutory solvency test applies immediately following payment such that the company shall be able to pay its debts as they fall due in the ordinary course of business. Where dividends are paid from profits or retained earnings directors are also required to assess solvency, although the test is not expressly set out in the Companies Act.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6293" w:type="dxa"/>
            <w:tcBorders/>
            <w:vAlign w:val="center"/>
          </w:tcPr>
          <w:p>
            <w:pPr>
              <w:pStyle w:val="TableContents"/>
              <w:bidi w:val="0"/>
              <w:spacing w:before="0" w:after="283"/>
              <w:jc w:val="left"/>
              <w:rPr>
                <w:sz w:val="4"/>
                <w:szCs w:val="4"/>
              </w:rPr>
            </w:pPr>
            <w:r>
              <w:rPr>
                <w:sz w:val="4"/>
                <w:szCs w:val="4"/>
              </w:rPr>
            </w:r>
          </w:p>
        </w:tc>
        <w:tc>
          <w:tcPr>
            <w:tcW w:w="3912" w:type="dxa"/>
            <w:gridSpan w:val="2"/>
            <w:tcBorders/>
            <w:vAlign w:val="center"/>
          </w:tcPr>
          <w:p>
            <w:pPr>
              <w:pStyle w:val="TableContents"/>
              <w:bidi w:val="0"/>
              <w:spacing w:before="0" w:after="283"/>
              <w:jc w:val="left"/>
              <w:rPr>
                <w:sz w:val="4"/>
                <w:szCs w:val="4"/>
              </w:rPr>
            </w:pPr>
            <w:r>
              <w:rPr>
                <w:sz w:val="4"/>
                <w:szCs w:val="4"/>
              </w:rPr>
            </w:r>
          </w:p>
        </w:tc>
      </w:tr>
      <w:tr>
        <w:trPr/>
        <w:tc>
          <w:tcPr>
            <w:tcW w:w="6293" w:type="dxa"/>
            <w:tcBorders/>
            <w:vAlign w:val="center"/>
          </w:tcPr>
          <w:p>
            <w:pPr>
              <w:pStyle w:val="TableContents"/>
              <w:bidi w:val="0"/>
              <w:spacing w:before="0" w:after="283"/>
              <w:jc w:val="left"/>
              <w:rPr/>
            </w:pPr>
            <w:r>
              <w:rPr/>
              <w:t>The Massachusetts Articles provide that unless the Massachusetts Corporation Board consents in writing to the selection of an alternative forum, a state or federal court located within the Commonwealth of Massachusetts shall be the sole and exclusive forum for (i) any derivative action or proceeding brought on behalf of the Massachusetts Corporation; (ii) any action asserting a claim of breach of a fiduciary duty owed by any director, officer or other employee of the Massachusetts Corporation to the Massachusetts Corporation or its shareholders; (iii) any action asserting a claim against the Massachusetts Corporation arising pursuant to any provision of the MBCA or any successor statute; or (iv) any action asserting a claim against the Massachusetts Corporation governed by the internal affairs doctrine.</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Cayman Articles will provide that, unless the Cayman Company consents in writing to the selection of an alternative forum, the courts of the Cayman Islands shall have exclusive jurisdiction over any claim or dispute arising out of or in connection with the Cayman Articles or otherwise related in any way to each member’s shareholding in the Cayman Company, including but not limited to:</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any derivative action or proceeding brought on behalf of the Cayman Company; (b) any action asserting a claim of breach of any fiduciary or other duty owed by any current or former director, officer, or other employee of the Cayman Company to the Cayman Company or the members; (c) any action asserting a claim arising pursuant to any provision of the Companies Act, the Cayman Articles; or (d) any action asserting a claim against the Company concerning its internal affairs.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6293" w:type="dxa"/>
            <w:tcBorders/>
            <w:vAlign w:val="center"/>
          </w:tcPr>
          <w:p>
            <w:pPr>
              <w:pStyle w:val="TableContents"/>
              <w:bidi w:val="0"/>
              <w:spacing w:before="0" w:after="283"/>
              <w:jc w:val="left"/>
              <w:rPr>
                <w:sz w:val="4"/>
                <w:szCs w:val="4"/>
              </w:rPr>
            </w:pPr>
            <w:r>
              <w:rPr>
                <w:sz w:val="4"/>
                <w:szCs w:val="4"/>
              </w:rPr>
            </w:r>
          </w:p>
        </w:tc>
        <w:tc>
          <w:tcPr>
            <w:tcW w:w="3912" w:type="dxa"/>
            <w:gridSpan w:val="2"/>
            <w:tcBorders/>
            <w:vAlign w:val="center"/>
          </w:tcPr>
          <w:p>
            <w:pPr>
              <w:pStyle w:val="TableContents"/>
              <w:bidi w:val="0"/>
              <w:spacing w:before="0" w:after="283"/>
              <w:jc w:val="left"/>
              <w:rPr>
                <w:sz w:val="4"/>
                <w:szCs w:val="4"/>
              </w:rPr>
            </w:pPr>
            <w:r>
              <w:rPr>
                <w:sz w:val="4"/>
                <w:szCs w:val="4"/>
              </w:rPr>
            </w:r>
          </w:p>
        </w:tc>
      </w:tr>
      <w:tr>
        <w:trPr/>
        <w:tc>
          <w:tcPr>
            <w:tcW w:w="62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the Massachusetts Corporation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the Massachusetts Corporation will enter into a registration rights</w:t>
            </w:r>
          </w:p>
        </w:tc>
        <w:tc>
          <w:tcPr>
            <w:tcW w:w="120" w:type="dxa"/>
            <w:tcBorders/>
            <w:vAlign w:val="center"/>
          </w:tcPr>
          <w:p>
            <w:pPr>
              <w:pStyle w:val="TableContents"/>
              <w:bidi w:val="0"/>
              <w:spacing w:before="0" w:after="283"/>
              <w:jc w:val="left"/>
              <w:rPr/>
            </w:pPr>
            <w:r>
              <w:rPr/>
              <w:t>  </w:t>
            </w:r>
          </w:p>
        </w:tc>
        <w:tc>
          <w:tcPr>
            <w:tcW w:w="3792" w:type="dxa"/>
            <w:tcBorders/>
            <w:vAlign w:val="center"/>
          </w:tcPr>
          <w:p>
            <w:pPr>
              <w:pStyle w:val="TableContents"/>
              <w:bidi w:val="0"/>
              <w:spacing w:before="0" w:after="283"/>
              <w:jc w:val="left"/>
              <w:rPr/>
            </w:pPr>
            <w:r>
              <w:rPr/>
              <w:t>Assuming the Massachusetts Corporation enters into a registration rights agreement with the investors participating in the Korsana Pre-Closing Financing, the Cayman Company will have comparable obligations pursuant to the registration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57"/>
        <w:gridCol w:w="120"/>
        <w:gridCol w:w="3828"/>
      </w:tblGrid>
      <w:tr>
        <w:trPr/>
        <w:tc>
          <w:tcPr>
            <w:tcW w:w="62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62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Massachusetts Corporation</w:t>
            </w:r>
          </w:p>
        </w:tc>
        <w:tc>
          <w:tcPr>
            <w:tcW w:w="120" w:type="dxa"/>
            <w:tcBorders/>
            <w:vAlign w:val="center"/>
          </w:tcPr>
          <w:p>
            <w:pPr>
              <w:pStyle w:val="TableContents"/>
              <w:bidi w:val="0"/>
              <w:spacing w:before="0" w:after="283"/>
              <w:jc w:val="left"/>
              <w:rPr/>
            </w:pPr>
            <w:r>
              <w:rPr/>
              <w:t>  </w:t>
            </w:r>
          </w:p>
        </w:tc>
        <w:tc>
          <w:tcPr>
            <w:tcW w:w="38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Cayman Company</w:t>
            </w:r>
          </w:p>
        </w:tc>
      </w:tr>
      <w:tr>
        <w:trPr/>
        <w:tc>
          <w:tcPr>
            <w:tcW w:w="6257" w:type="dxa"/>
            <w:tcBorders/>
            <w:vAlign w:val="center"/>
          </w:tcPr>
          <w:p>
            <w:pPr>
              <w:pStyle w:val="TableContents"/>
              <w:bidi w:val="0"/>
              <w:spacing w:before="0" w:after="283"/>
              <w:jc w:val="left"/>
              <w:rPr/>
            </w:pPr>
            <w:r>
              <w:rPr/>
              <w:t>agreement with the investors participating in the Korsana Pre-Closing Financing, pursuant to which, among other things, the Combined Company will agree to prepare and file a resale registration statement covering the resale of certain shares of Massachusetts Corporation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120" w:type="dxa"/>
            <w:tcBorders/>
            <w:vAlign w:val="center"/>
          </w:tcPr>
          <w:p>
            <w:pPr>
              <w:pStyle w:val="TableContents"/>
              <w:bidi w:val="0"/>
              <w:spacing w:before="0" w:after="283"/>
              <w:jc w:val="left"/>
              <w:rPr/>
            </w:pPr>
            <w:r>
              <w:rPr/>
              <w:t>  </w:t>
            </w:r>
          </w:p>
        </w:tc>
        <w:tc>
          <w:tcPr>
            <w:tcW w:w="38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 Transfer Restrictions Applicable to Shareholders</w:t>
            </w:r>
          </w:p>
        </w:tc>
      </w:tr>
      <w:tr>
        <w:trPr/>
        <w:tc>
          <w:tcPr>
            <w:tcW w:w="6257" w:type="dxa"/>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6257" w:type="dxa"/>
            <w:tcBorders/>
            <w:vAlign w:val="center"/>
          </w:tcPr>
          <w:p>
            <w:pPr>
              <w:pStyle w:val="TableContents"/>
              <w:bidi w:val="0"/>
              <w:spacing w:before="0" w:after="283"/>
              <w:jc w:val="left"/>
              <w:rPr/>
            </w:pPr>
            <w:r>
              <w:rPr/>
              <w:t>Shares of Massachusetts Corporation common stock are transferable in the manner prescribed by the MBCA.</w:t>
            </w:r>
          </w:p>
        </w:tc>
        <w:tc>
          <w:tcPr>
            <w:tcW w:w="120" w:type="dxa"/>
            <w:tcBorders/>
            <w:vAlign w:val="center"/>
          </w:tcPr>
          <w:p>
            <w:pPr>
              <w:pStyle w:val="TableContents"/>
              <w:bidi w:val="0"/>
              <w:spacing w:before="0" w:after="283"/>
              <w:jc w:val="left"/>
              <w:rPr/>
            </w:pPr>
            <w:r>
              <w:rPr/>
              <w:t>  </w:t>
            </w:r>
          </w:p>
        </w:tc>
        <w:tc>
          <w:tcPr>
            <w:tcW w:w="3828" w:type="dxa"/>
            <w:tcBorders/>
            <w:vAlign w:val="center"/>
          </w:tcPr>
          <w:p>
            <w:pPr>
              <w:pStyle w:val="TableContents"/>
              <w:bidi w:val="0"/>
              <w:spacing w:before="0" w:after="283"/>
              <w:jc w:val="left"/>
              <w:rPr/>
            </w:pPr>
            <w:r>
              <w:rPr/>
              <w:t>Transfer of Cayman Shares in record form may be subject to the restrictions that may be set out from time to time in the Cayman Articles, including, without limitation, the receipt of an instrument of transfer in such form as the directors may in their absolute discretion approve and such other evidence as the directors may reasonably require to show the right of the transferor to make the transfer.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Comparison of Shareholder Rights under Massachusetts and Shareholder Rights under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and the common law of the Cayman Islands are similar in many respects to the statutory corporate laws of Massachusetts, as governed by the MBCA. However, there are certain differences that may affect the rights of a shareholder or shareholder of the Combined Company, as well as the corporate governance of the Combined Company. The following are brief summaries of material differences between the current rights of shareholders of the Massachusetts Corporation under the MBCA and the rights of shareholders of the Cayman Company following completion of the Cayman Redomestication under the Companies Act. This section does not include a complete description of all differences among such rights, nor does it include a complete description of such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or Decreasing Authorized Capital Stock or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shareholders must approve an amendment to the corporation’s charter to increase or decrease the number of authorized shares in accordance with the provisions of the applicable statute.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memorandum and articles of association of a Cayman Islands exempted company sets the authorized share capital. Any changes made to the authorized share capital of a Cayman Islands exempted company will require an ordinary resolution and any amendment to the memorandum and articles of association of a Cayman Islands exempted company will require a special resolution.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The board of directors of a public Massachusetts company may unilaterally opt back into the default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Companies Act does not provide for the classification of directors into classes with staggered terms of office, Cayman Islands law allows companies to implement a classified board structure through their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cumulative voting for directors entitles each shareholder to multiply the number of votes they are entitled to cast by the number of directors for whom they are entitled to vote and cast the product for a single candidate or distribute the product among two or more candidates. Cumulative voting may enable a minority shareholder or group of shareholders to elect at least one representative to the board of directors where such shareholders would not be able to elect any directors without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Although the MBCA does not generally grant shareholders cumulative voting rights, a Massachusetts corporation may provide in its certificate of incorporation or bylaws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out in its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do not provide for cumulative voting in the election of directors. Similarly, the Cayman Articles do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rule governing how board of director vacancies may be filled. Instead, the process is governed by a Cayman Islands exempted company’s articles of association, which generally give the remaining directors discretion to appoint a replacement until the next annual meeting or for the remainder of the term, and may also require shareholder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subject to the articles of organization or the bylaws and the rights of any holders of any outstanding series of preferred stock, the shareholders may remove one or more directors with or without cause. In the case of directors of a public corporation whose terms are staggered pursuant to Section 8.06(b) of the MBCA, shareholders may effect, by the affirmative vote of a majority of the shares outstanding and entitled to vote in the election of directors, the removal of any director or directors or the entire board of directors only for cause. If a director is elected by a voting group of shareholders, only the shareholders of that voting group may participate in the vote to remove him. If cumulative voting is authorized, a director may not be removed by the shareholders if the number of votes sufficient to elect him under cumulative voting is voted against his removal. If cumulative voting is not authorized, a director may be removed by the shareholders only if the number of votes cast to remove him exceeds the number of votes cast not to remove him. A director may be removed by the shareholders or the directors only at a meeting called for the purpose of removing him. Currently, under the Massachusetts Articles, except as otherwise determined by the Massachusetts Corporation Board in establishing a series of preferred stock, any director or directors may be removed from office for cause at any special meeting of the shareholders called at least in part for such purpose by the affirmative vote of the holders of at least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the stock entitled to vote for the election of directors. In addition, the Massachusetts Corporation Board is authorized to remove any director or directors, for cause, at a meeting of the board of directors, by vote of a majority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remove directors. Instead, the removal process is governed by a Cayman Islands exempted company’s articles of association. Under the Cayman Articles, subject to the rights and restrictions of holders of any series of preferred shares to remove directors specified by the Cayman Articles or any certificate of designation, neither the Cayman Company Board nor any individual director may be removed without cause. Subject to the rights and restrictions of holders of any series of preferred shares to remove directors specified by the Cayman Articles or any certificate of designation, any individual director or the Cayman Company Board may be removed with cause by an ordinary resolution of the shareholders or the affirmative vote of a simple majority of the directors present. Additionally, under the Cayman Certificate of Designation for the Cayman Series B Preferred Shares, any Cayman Preferred Director may be removed without cause only by the affirmative vote of the holders of a simple majority of the Cayman Series B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Fiduciary Duties and Business Judgment </w:t>
      </w:r>
    </w:p>
    <w:p>
      <w:pPr>
        <w:pStyle w:val="TextBody"/>
        <w:bidi w:val="0"/>
        <w:spacing w:before="120" w:after="0"/>
        <w:jc w:val="left"/>
        <w:rPr>
          <w:rFonts w:ascii="Times New Roman" w:hAnsi="Times New Roman"/>
          <w:sz w:val="20"/>
        </w:rPr>
      </w:pPr>
      <w:r>
        <w:rPr>
          <w:rFonts w:ascii="Times New Roman" w:hAnsi="Times New Roman"/>
          <w:sz w:val="20"/>
        </w:rPr>
        <w:t xml:space="preserve">Under Massachusetts law, members of the board of directors are entitled to rely in good faith upon information, opinions, reports, or statements, including financial statements and other financial data, if prepared or presented by officers or employees of the corporation whom the director reasonably believes to be reliable and competent with respect to the information, opinions, reports or statements presented or legal counsel, public accountants, or other persons retained by the corporation, as to matters involving skills or expertise the director reasonably believes are matters (i) within the particular person’s professional or expert competence or (ii) as to which the particular person merits confidence. A director is not liable for any action taken as a director, or any failure to take any action, if he performed the duties of his office in compliance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240" w:after="0"/>
        <w:jc w:val="left"/>
        <w:rPr>
          <w:rFonts w:ascii="Times New Roman" w:hAnsi="Times New Roman"/>
          <w:sz w:val="20"/>
        </w:rPr>
      </w:pPr>
      <w:r>
        <w:rPr>
          <w:rFonts w:ascii="Times New Roman" w:hAnsi="Times New Roman"/>
          <w:sz w:val="20"/>
        </w:rPr>
        <w:t xml:space="preserve">Similar to Massachusetts law, Cayman Islands law permits directors to rely on information, opinions, reports, and statements prepared by officers, employees, committees or professional advisors, provided such reliance is reasonable and made in good faith. As a matter of Cayman Islands law, a director is under a general fiduciary duty to avoid conflicts of interest and Cayman Islands courts will generally defer to directors’ decisions if made in good faith, for a proper purpose and without conflicts of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Flexibility for Decisions, Including Takeovers </w:t>
      </w:r>
    </w:p>
    <w:p>
      <w:pPr>
        <w:pStyle w:val="TextBody"/>
        <w:bidi w:val="0"/>
        <w:spacing w:before="120" w:after="0"/>
        <w:jc w:val="left"/>
        <w:rPr>
          <w:rFonts w:ascii="Times New Roman" w:hAnsi="Times New Roman"/>
          <w:sz w:val="20"/>
        </w:rPr>
      </w:pPr>
      <w:r>
        <w:rPr>
          <w:rFonts w:ascii="Times New Roman" w:hAnsi="Times New Roman"/>
          <w:sz w:val="20"/>
        </w:rPr>
        <w:t xml:space="preserve">The MBCA does not provide a list of statutory factors that corporate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provide a list of statutory facts that directors and officers may consider in making takeover decisions.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directors owe fiduciary duties to the company, including duties of loyalty, honesty, fidelity, good faith and acting in the best interests of the company. Directors must also act with skill, care and diligence with a standard measured against both objective and subjective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Personal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MBCA authorizes a corporation to adopt a charter provision eliminating or limiting the personal liability of directors and officers to the corporation for monetary damages for breach of fiduciary duty, except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for, any breach of the director’s or officer’s duty of loyalty to the corporation or its shareholders, acts or omissions not in good faith or involving intentional misconduct or knowing violations of law or any improper distributions to shareholders under the MBCA, or any transaction from which the director derived any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specifically restrict a Cayman Islands exempted company from exempting its directors or officers from liability for negligence or a breach of duty or a breach of trust,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MBCA has statutory mechanisms that permit corporations to indemnify directors, officers, employees, and agents in similar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Articles provide that the liability of Massachusetts Corporation directors for damages for any breach of fiduciary duty shall be limited to the fullest extent permitted by law. The Massachusetts Articles also provides that the Massachusetts Corporation will indemnify, and advance funds to and reimburse expenses of, Massachusetts Articles directors and officers that have been appointed the Massachusetts Corporation Board to the fullest extent permitted by law, and that the Massachusetts Corporation may indemnify, and advance funds to and reimburse expenses of, such other officers and employees as determined by the Massachusetts Corporation Board. The right of indemnification provided under the Massachusetts Bylaws is in addition to and not exclusive of any other rights to which any of the Massachusetts Corporation directors, officers or any other persons may otherwise be lawfully entitled. The Massachusetts Corporation has also entered into indemnification agreements with Massachusetts Corporation directors and officers, and the Massachusetts Corporation carries insurance policies insuring Massachusetts Corporation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Massachusetts Articles and the Massachusetts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Cayman Company will be the proper plaintiff in any claim based on a breach of duty owed to it, and a claim against (for example) the Cayman Company’s directors or officers usually may not be brought by a shareholder. In principle, a shareholder does not have a direct right of action against directors of the Cayman Company. However, based on Cayman Islands authorities and English authorities (which will be of persuasive authority in the Cayman Islands), there are exceptions to the foregoing principle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that a shareholder may be entitled to bring a derivate action on behalf of the Cayman Company, but only in limited circumstances, including but not limited to: the Cayman Company acts or proposes to act illegally or ultra vires; the act complained of (although not ultra vires) could be affected if duly authorised by a special resolution that has not been obtained; and those who control the Cayman Company are perpetuating a “fraud on the minority”. A shareholder may have a direct right of action against the Cayman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statutory indemnification mechanism in Massachusetts law, no corporation may indemnify a party unless it decides that indemnification is proper. Under the MBCA, the corporation through its shareholders, directors or independent legal counsel will determine whether the conduct of the person seeking indemnity conformed to the statutory provisions governing indemnity.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Cayman Articles provide for indemnification for every director and officer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Advancement of Expenses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a corporation to advance expenses relating to the defense of any proceeding to directors and officers contingent upon such individuals’ commitment to repay any advances unless it is determined ultimately that such individuals are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ability to advance expenses is typically addressed in a Cayman Islands exempted company’s articles of association. The Cayman Articles provide for expense advancement provisions for indemnified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Both the MBCA and the Companies Act do not have a specific statute governing either the establishment of director compensation, or the fairness of director compensation. The Combined Company’s board of directors after the Cayman Redomestication will establish the compensation of its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unless the articles of organization or the bylaws provide otherwise, any action required or permitted to be taken at a meeting of the directors or a committee thereof may be taken without a meeting if all members of the board or committee, as the case may be, consent to the action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does not prescribe rules for the written consent of directors and the process is governed by a Cayman Islands exempted company’s articles of association which typically allows board decisions to be made by unanimous written consent in lieu of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Neither the Massachusetts Articles or Massachusetts Bylaws, nor the Cayman Articles, limit the type or nature of a board action taken by written consent. A resolution in writing passed by the directors of the Cayman Company will be required to be executed by all the directors or committee thereof, entitled to receive notice of meetings of directors or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Actions by Written Consent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any action required or permitted to be taken at a meeting of the shareholders may be taken without a meeting if the action is taken either: (1) by all shareholders entitled to vote on the action; or (2) to the extent permitted by the articles of organization, by shareholders having not less than the minimum number of votes necessary to take the action at a meeting at which all shareholders entitled to vote on the action are present and voting. In addition, the MBCA requires the corporation to give notice of the taking of corporate action without a meeting by less than unanimous written consent to those shareholders who did not consent in writing at least seven days before the action pursuant to the consent is taken. Any action required or permitted to be taken by the Massachusetts Corporation shareholders may be taken without a meeting if evidenced by consents signed by all Massachusetts Corporation shareholders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restriction on shareholder action by written consent and the process is governed by a Cayman Islands exempted company’s articles of association. The Cayman Articles provide that an ordinary resolution or a special resolution in writing signed by all shareholders entitled to receive notice of and to attend and vote at a general meeting of the Cayman Company will be as valid and effective as if such resolution had been passed at a meeting of the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Unless further restricted in the certificate of incorporation, the MBCA permits a corporation to declare and pay dividends unless, if the corporation is a going concern, the corporation would not be able to pay its existing and reasonably foreseeable debts, liabilities and obligations, whether or not liquidated, matured, asserted or contingent, as they become due in the usual course of business or the corporation’s total assets would be less than the sum of its total liabilities plus, unless the articles of organization permit otherwise, the amount that would be needed, if the corporation were to be dissolved at the time of the distribution, to satisfy the preferential rights upon dissolution of shareholders whose preferential rights are superior to those receiving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Companies Act and the Cayman Articles, the directors, by resolution, may declare dividends on shares in issue and authorize payment out of the funds of the Cayman Company lawfully available therefor. The directors may, subject to the preference of any classes of shares, authorize a dividend at such time and of such an amount as they think fit if they are satisfied that the Cayman Company will, have sufficient profits, retained earnings and/or share premium lawfully available therefor and, immediately after the payment of the dividend, satisfy the solvency test (that is, if the directors can determine based on the facts at the time that the company can in the future, following the payment of the dividend, pay its debts as they fall due in the ordinary course of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Business Combinations </w:t>
      </w:r>
    </w:p>
    <w:p>
      <w:pPr>
        <w:pStyle w:val="TextBody"/>
        <w:bidi w:val="0"/>
        <w:spacing w:before="120" w:after="0"/>
        <w:jc w:val="left"/>
        <w:rPr>
          <w:rFonts w:ascii="Times New Roman" w:hAnsi="Times New Roman"/>
          <w:sz w:val="20"/>
        </w:rPr>
      </w:pPr>
      <w:r>
        <w:rPr>
          <w:rFonts w:ascii="Times New Roman" w:hAnsi="Times New Roman"/>
          <w:sz w:val="20"/>
        </w:rPr>
        <w:t>While Massachusetts law provides certain protections to shareholders in connection with certain business combinations, which can be found in Chapter 110F of the MBCA, Cayman Islands law does not provide equivalent statutory protections to shareholders. Under Cayman Islands law, any specific provisions relating to business combinations needs to be set out expressly in the articles of association of a Cayman Islands exempted company. See “</w:t>
      </w:r>
      <w:r>
        <w:rPr>
          <w:rFonts w:ascii="Times New Roman" w:hAnsi="Times New Roman"/>
          <w:i/>
          <w:sz w:val="20"/>
        </w:rPr>
        <w:t>Shareholder and Shareholder Vote for Mergers and Other Corporation Reorganizations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The Massachusetts Corporation is subject to the provisions of Chapter 110F of the MBCA. In general, Chapter 110F prohibits a publicly held Massachusetts corporation from engaging in a “business combination” with an “interested shareholder” for a three-year period following the time that this shareholder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five percent or more of the corporation’s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Chapter 110F, a business combination between a corporation and an interested shareholder is prohibited unless it satisfies one of the following conditions: before the shareholder became interested, the corporation’s board of directors approved either the business combination or the transaction which resulted in the shareholder becoming an interested shareholder; upon consummation of the transaction which resulted in the shareholder becoming an interested shareholder, the interested shareholder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shareholder became interested, the business combination was approved by the corporation’s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shareholders’ amendment approved by at least a majority of the outstanding voting shares. The Massachusetts Corporation has not opted out of these provisions. As a result, mergers or other takeover or change in control attempts of the Massachusetts Corporation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merger, share exchange and sale of all or substantially all assets of a corporation must be approved by the board of directors and, unless (1) a greater percentage vote is required by the corporation’s articles of organization, by-laws, or board, or (2) a lesser percentage vote is required by the articles of organization, the merger, share exchange or sale of assets must be approved by two-thirds of all the shares entitled to vote on the matter. The articles of organization may provide for a lesser vote than two-thirds but not less than a majority of the shares entitled to vote on the matter. The Massachusetts Articles provide that a merger, consolidation, or sale of substantially all of the assets of the corporation may be approved by a majority of all of the shares entitled to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Cayman Company requires (i) not less than a two-thirds majority of the votes cast by such shareholders attending and voting in person or, where proxies are allowed, by proxy at a quorate general meeting of the Cayman Company and where a poll is taken, regard shall be had in computing a majority to the number of votes to which each shareholder is entitled or (ii)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Cayman Company’s shares (excluding any shares already beneficially owned by the offeror) have within four months of the making of an offer accepted an offer for their shares in the Cayman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Cayman Company’s shares but does not exercise its “squeeze out” right, then the non-accepting shareholders have no statutory right to require the offeror to acquire their shares on the same terms as the original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requires.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shareholders have appraisal rights in the event of certain corporate actions such as a merger, share exchange or action that materially and adversely affects the rights of a shareholder. If a proposed corporate action requiring appraisal rights is submitted to vote at a shareholder meeting, a shareholder who wishes to assert appraisal rights must: (1) deliver to the corporation, before the vote is taken, written notice of intent to demand payment for shares if the proposed action is effected; and (2) not vote any shares in favor of the proposed action. The corporation is required to pay fair value to a shareholder exercising appraisal rights for the shares held by such shareholder. If fair value is unsettled, the MBCA provides for resolution of fair value in a single equitable proceeding in a court in the county in Massachusetts where the corporation’s principal office or registered office is located. </w:t>
      </w:r>
    </w:p>
    <w:p>
      <w:pPr>
        <w:pStyle w:val="TextBody"/>
        <w:bidi w:val="0"/>
        <w:spacing w:before="24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mechanics and timing procedures vary somewhat between Massachusetts and the Cayman Islands, but both require technical compliance with specific notice and payment protocols.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Shareholders and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permits special meetings of shareholders to be called by the board of directors or by any other person authorized in the certificate of incorporation or bylaws to call a special shareholder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Pursuant to Petition of Shareholders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a shareholder of a corporation may apply to superior court of the county where a corporation’s principal office or, if none, in the Commonwealth of Massachusetts, its registered office is located if an annual meeting was not held within the earlier of six months after the end of the corporation’s fiscal year or 15 months after its last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provision allowing shareholders to petition a court to compel a general meeting and Cayman Islands exempted companies are not required to hold annual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meetings,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Adjournment of Shareholder and 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if a meeting of shareholders is adjourned due to lack of a quorum and the adjournment is for more than 120 days, or if after the adjournment a new record date is fixed for the adjourned meeting, notice of the adjourned meeting must be given to each shareholder of record entitled to vote at the meeting. At the adjourned meeting the corporation may transact any business that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 adjournment of shareholder meetings is not regulated by statute and is instead governed by a Cayman Islands exempted company’s articles of association. Typically, a Cayman Islands exempted company’s articles provide that if a meeting is not quorate, it may be adjourned to a later date without requiring new notice. There is no statutory requirement to provide notice of an adjourned meeting unless otherwise set out expressly in the articles of association of a Cayman Islands exempted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Under the MBCA, a proxy executed by a shareholder will remain valid for a period of eleven months,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there is no statutory equivalent.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the certificate of incorporation and bylaws may establish quorum and voting requirements. If the certificate of incorporation and bylaws are silent as to specific quorum and voting requirements: (a) a majority of the votes entitled to be cast on a matter constitutes a quorum for action on a matter; (b) favorable action on a matter, other than the election of directors, is taken by a voting group if the votes cast within the group favoring the action exceed the votes cast opposing the action; (c) directors are elected by a plurality of the votes cast by the shares entitled to vote in the election at a meeting at which a quorum is present.; and (d) where a separate vote by a class or series is required, majority of the votes entitled to be cast on the matter by the voting group constitutes a quorum of that voting group for action on that matter and, favorable action on a matter, other than the election of directors, is taken by a voting group if the votes cast within the group favoring the action exceed the votes cast opposing the action. A bylaw dealing with quorum or voting requirements for shareholders, including additional voting groups, may not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quorum requirements are not regulated by statute and are instead governed by a Cayman Islands exempted company’s articles of association. Business may only be transacted at a meeting of shareholders of a Cayman Islands exempted company if a quorum is present. The Cayman Articles provide that the holders of record of one-third of the issued and outstanding shares entitled to vote, present in person or represented by proxy, shall constitute a quorum at any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and 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upon five days written notice a shareholder of a corporation is entitled to inspect and copy, during regular business hours at the office where they are maintained, copies of any of the following records of the corporation: (1) articles of organization and bylaws, (2) resolutions adopted by the board of directors creating one or more classes or series of shares and fixing their rights and preferences, (3) minutes and written consents of all shareholders’ meetings for the past three years, (4) all written communications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generally within the past three years, including financial statements furnished, (5) a list of the names and business addresses of the corporation’s current directors and officers, and (6) the corporation’s most recent annual report delivered to the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Doesn’t Change After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Apart from being governed by the Cayman Articles, the Companies Act, and the common law of the Cayman Islands, following completion of the Cayman Redomestication, the Combined Company will continue to exist in the form of a Cayman exempt company and will continue to be treated as a U.S. corporation for all purposes under the Code. By virtue of the Cayman Redomestication, all of the rights, privileges and powers of the Massachusetts Corporation, and all property, real, personal, and mixed, and all debts due to the Massachusetts Corporation, as well as all other things and causes of action belonging to the Massachusetts Corporation, will remain vested in the Cayman Company and will be the property of the Cayman Company. In addition, all debts, liabilities, and duties of the Massachusetts Corporation will remain attached to the Cayman Company and may be enforced against the Cayman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The Cayman Redomestication will not result in any change in the Combined Company’s business, management, obligations, assets, or liabilities (other than as a result of the transaction costs related to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management, including all directors and officers, will remain the same in connection with the Cayman Redomestication and will have the same positions with the Cayman Company. To the extent that the Cayman Redomestication will require the consent or waiver of a third party, the Combined Company will use commercially reasonable effects to obtain such consent or waiver before completing the Cayman Redomestication. Cyclerion and Korsana do not expect that any such required consent will impede the Combined Company’s ability to redomesticate to the Cayman Islands. The Cayman Redomestication will not otherwise adversely affect any of the Combined Company’s material contracts with any third parties, and the Combined Company’s rights and obligations under such material contractual arrangements will continue as rights and obligations of the Cayman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Stock Exchange Listing or Securities Act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continue to be a publicly held company following completion of the Cayman Redomestication, and the Cayman Shares will continue to be listed on Nasdaq and traded under the symbol “KRSA”. We expect that the Cayman Shares will trade under a new CUSIP. The Combined Company will continue to file required periodic reports and other documents with the SEC. Except as related to the implementation of a new CUSIP, there is not expected to be any interruption in the trading of the Cayman Shares as a result of the Cayman Redomestication. The Combined Company and its shareholders will be in the same respective positions under the federal securities laws after the Cayman Redomestication as the Combined Company and its shareholders were prior to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Material Accounting Implications </w:t>
      </w:r>
    </w:p>
    <w:p>
      <w:pPr>
        <w:pStyle w:val="TextBody"/>
        <w:bidi w:val="0"/>
        <w:spacing w:before="120" w:after="0"/>
        <w:jc w:val="left"/>
        <w:rPr>
          <w:rFonts w:ascii="Times New Roman" w:hAnsi="Times New Roman"/>
          <w:sz w:val="20"/>
        </w:rPr>
      </w:pPr>
      <w:r>
        <w:rPr>
          <w:rFonts w:ascii="Times New Roman" w:hAnsi="Times New Roman"/>
          <w:sz w:val="20"/>
        </w:rPr>
        <w:t xml:space="preserve">Effecting the Cayman Redomestication will not have any material accounting implications.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 Exchange of Stock Certificates Required </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not be required to exchange their existing stock certificates (if any) for new share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U.S. Holders (as defined below) of the Combined Company common stock and the Combined Company convertible preferred stock (the “Combined Company stock”) of the Cayman Redomestication, and, subject to the limitations, qualifications, and assumptions described herein and in the opinion filed as Exhibit 8.1 hereto, insofar as it describes matters of federal income tax law or conclusions with respect thereto, constitutes the opinion of Gibson, legal counsel to Korsana.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The Combined Company has not sought and will not seek any rulings from the IRS regarding the matters discussed below. There can be no assurance the IRS or a court will not take a contrary position to that discussed below regarding the tax considerations of the Cayman Redomestication.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U.S. Holder that holds the Combined Company stock as a “capital asset” within the meaning of Section 1221 of the Code (generally, property held for investment). This discussion does not address all U.S. federal income tax considerations relevant to a U.S. Holder’s particular circumstances, including without limitation the effect of the Medicare contribution tax on net investment income, the alternative minimum tax, or the special tax accounting rules under Section 451(b) of the Code. In addition, it does not address considerations relevant to U.S. Holders subject to special rules, such as: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Holders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the Combined Company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the Combined Company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the Combined Company stock under the constructive sale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the Combined Company stock pursuant to the exercise of any employee stock option or otherwise as compensation;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that own, or have owned, actually or constructively, more than 5% of the Combined Company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an entity or arrangement classified as a partnership for U.S. federal income tax purposes holds the Combined Company stock, the tax treatment of a partner in the partnership will depend on the status of the partner, the activities of the partnership, and certain determinations made at the partner level. Accordingly, a partnership holding Combined Company stock and each partner in such partnership is urged to consult its tax advisor regarding the U.S. federal income tax considerations to it of the Cayman Redomestication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the Combined Company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b/>
          <w:sz w:val="20"/>
        </w:rPr>
        <w:t>This discussion is for informational purposes only and is not tax advice. Each prospective investor is urged to consult its tax advisor with respect to the application of the U.S. federal income tax laws to its particular situation as well as any tax considerations of the Cayman Redomestication arising under U.S. federal estate or gift tax laws, the laws of any state, local or non-U.S. taxing jurisdiction or any applicable income tax treaty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Tax Status of the Cayman Company after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7874 of the Code, the Combined Company after the Cayman Redomestication is and will continue to be treated as a U.S. corporation for all purposes under the Code. As such, the Combined Company after the Cayman Redomestication is subject to U.S. federal income tax on the Combined Company’s worldwide taxable income (regardless of whether such income is “U.S. source” or “foreign source”) and is required to file a U.S. federal income tax return annually with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registration statement, Gibson, legal counsel to Korsana, will deliver an opinion that, subject to the limitations, qualifications, and assumptions described herein and in the opinion filed as Exhibit 8.1 hereto, the Cayman Redomestication will qualify as a “reorganization” for U.S. federal income tax purposes pursuant to Section 368(a)(1)(F) of the Code. As a result, a U.S. Holder will not recognize gain or loss upon the proposed Cayman Redomestication. A U.S. Holder will have the same aggregate basis in its Combined Company stock after the Cayman Redomestication as such U.S. Holder had in the corresponding Combined Company stock immediately prior to the Cayman Redomestication. A U.S. Holder’s holding period in the Combined Company stock immediately following the Cayman Redomestication will include such U.S. Holder’s holding period in the corresponding the Combined Company stock immediately prior to the Cayman Redomestication. Each U.S. Holder of shares of the Combined Company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Reporting Regarding the Cayman Redomestication </w:t>
      </w:r>
    </w:p>
    <w:p>
      <w:pPr>
        <w:pStyle w:val="TextBody"/>
        <w:bidi w:val="0"/>
        <w:spacing w:before="120" w:after="0"/>
        <w:jc w:val="left"/>
        <w:rPr>
          <w:rFonts w:ascii="Times New Roman" w:hAnsi="Times New Roman"/>
          <w:sz w:val="20"/>
        </w:rPr>
      </w:pPr>
      <w:r>
        <w:rPr>
          <w:rFonts w:ascii="Times New Roman" w:hAnsi="Times New Roman"/>
          <w:sz w:val="20"/>
        </w:rPr>
        <w:t xml:space="preserve">Each U.S. Holder that receives shares of the Combined Company stock in the Cayman Redomestication is required to retain permanent records pertaining to the Cayman Redomestication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U.S. Holder who owned at least five percent (by vote or value) of the total outstanding stock of the Combined Company stock or who owned securities in the Combined Company stock with a basis of $1,000,000 or more is required to attach a statement to their tax returns for the year in which the Cayman Redomestication is consummated that contains the information listed in Treasury Regulations Section 1.368-3(b). Such statement must include the U.S. Holder’s tax basis in the holder’s Combined Company stock and the fair market value of such stock. Each U.S. Holder is urged to consult with its tax advisor to comply with these rules. </w:t>
      </w:r>
    </w:p>
    <w:p>
      <w:pPr>
        <w:pStyle w:val="TextBody"/>
        <w:bidi w:val="0"/>
        <w:spacing w:before="240" w:after="0"/>
        <w:jc w:val="left"/>
        <w:rPr>
          <w:rFonts w:ascii="Times New Roman" w:hAnsi="Times New Roman"/>
          <w:sz w:val="20"/>
        </w:rPr>
      </w:pPr>
      <w:r>
        <w:rPr>
          <w:rFonts w:ascii="Times New Roman" w:hAnsi="Times New Roman"/>
          <w:b/>
          <w:sz w:val="20"/>
        </w:rPr>
        <w:t>This discussion of U.S. federal income tax considerations of the Cayman Redomestication is for general information purposes only and is not intended to be, and should not be construed as, tax advice. Determining the actual tax considerations of the Cayman Redomestication to a holder may be complex and will depend on such holder’s specific situation and on factors that are not within Cyclerion’s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Cayman Redomestication does not require any Cayman Islands regulatory approval but certain documents will be required to be filed with the Cayman Islands Registrar of Companies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director’s undertaking confirming that the Cayman Company is able to pay its debts as they become due in the ordinary course of business together with a statement of the Cayman Company’s assets and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sworn affidavit from a director stating that the Cayman Company is not in liquidation, subject to insolvency proceedings, or in the process of being wound up in any jurisdiction together with certain other declarations required under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certificate good standing provided by the Secretary of the Commonwealth of Massachusetts immediately prior to the Cayman Redomestication in together with the charter documents of the Massachusetts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formal notice of continuation to be filed with the Cayman Islands Registrar of Companies, notifying it of the Cayman Company’s intent to continue as a Cayman Islands exempted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directors’ resolution resolving to change the domicile of the Massachusetts Corporation from Massachusetts to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the above requirements are satisfied, the Cayman Islands Registrar of Companies will issue a Certificate of Continuation, which serves as evidence that the Cayman Company has been duly registered in the Cayman Islands and migrated out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Cayman Redomestication requires the filing of the Plan of Domestication with Secretary of the Commonwealth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No other regulatory or governmental approvals or consents will be required in connection with the Cayman Redomestication.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Massachusetts Corporation Common Stock are not entitled to appraisal rights with respect to the Cayman Redomestication described in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Cyclerion may become subject to various legal proceedings and claims that arise in the ordinary course of its business activities. As of the date of this proxy statement/prospectus, Cyclerion is not currently a party to any claim or litigation, the outcome of which, if determined adversely to it, would individually or in the aggregate be reasonably expected to have a material adverse effect on its business. Regardless of the outcome, litigation can have an adverse impact on Cyclerion because of defense and settlement costs, diversion of management resources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the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of Certain Persons </w:t>
      </w:r>
    </w:p>
    <w:p>
      <w:pPr>
        <w:pStyle w:val="TextBody"/>
        <w:bidi w:val="0"/>
        <w:spacing w:before="120" w:after="0"/>
        <w:jc w:val="left"/>
        <w:rPr>
          <w:rFonts w:ascii="Times New Roman" w:hAnsi="Times New Roman"/>
          <w:sz w:val="20"/>
        </w:rPr>
      </w:pPr>
      <w:r>
        <w:rPr>
          <w:rFonts w:ascii="Times New Roman" w:hAnsi="Times New Roman"/>
          <w:sz w:val="20"/>
        </w:rPr>
        <w:t xml:space="preserve">Cyclerion’s board of directors believes that the corporate laws of the Commonwealth of Massachusetts and the Cayman Islands are substantially comparable as to the rights of shareholders, at least on balance of the relevant considerations against one another and as relevant to the Combined Company. As part of its process, Cyclerion’s board of directors considered if domestication to the Cayman Islands would convey any non-ratable benefits on any of the Combined Company’s directors or officers and did not identify any such non-ratable benefits. However, others may allege, and shareholders should be aware in voting on the Redomestication Proposal and the Cayman Redomestication Resolutions, that the Combined Company’s directors and executive officers may be considered to have interests in the Cayman Redomestication that are different from, or in addition to, the interests of the shareholders generally to the extent that it might afford them greater limitations on liability under the common law of the Cayman Islands for acts in their capacities as directors or officers occurring after the Cayman Redomestication. Cyclerion’s board of directors has considered these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among other matters, in reaching the decision to approve the Cayman Redomestication and to recommend that Cyclerion’s shareholders vote in favor of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4A: To approve the domestication of Cyclerion from the Commonwealth of Massachusetts to the Cayman Islands by domestication pursuant to the MBCA and adopt the Cayman Redomestication Resolutions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Cayman Redomestication and the adoption of the Cayman Redomestication. </w:t>
      </w:r>
    </w:p>
    <w:p>
      <w:pPr>
        <w:pStyle w:val="TextBody"/>
        <w:bidi w:val="0"/>
        <w:spacing w:before="360" w:after="0"/>
        <w:jc w:val="left"/>
        <w:rPr>
          <w:rFonts w:ascii="Times New Roman" w:hAnsi="Times New Roman"/>
          <w:b/>
          <w:sz w:val="20"/>
        </w:rPr>
      </w:pPr>
      <w:r>
        <w:rPr>
          <w:rFonts w:ascii="Times New Roman" w:hAnsi="Times New Roman"/>
          <w:b/>
          <w:sz w:val="20"/>
        </w:rPr>
        <w:t xml:space="preserve">Proposal No. 4B: To resolve as a special resolution that: (i) the domestication of Cyclerion from the Commonwealth of Massachusetts to the Cayman Islands by way of continuation pursuant to the Companies Act and the Cayman Redomestication Resolutions be approved; and (ii) with effect from the registration of Cyclerion in the Cayman Islands, the memorandum of association and articles of association in the form presented to the Cyclerion Annual Meeting (with such further consequential amendments as may be deemed necessary by the Cyclerion Board) be and are adopted as the memorandum of association and articles of association of the Cayman Company with the name of the company as set out therein. </w:t>
      </w:r>
    </w:p>
    <w:p>
      <w:pPr>
        <w:pStyle w:val="TextBody"/>
        <w:bidi w:val="0"/>
        <w:spacing w:before="12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Proposal No. 4B. </w:t>
      </w:r>
    </w:p>
    <w:p>
      <w:pPr>
        <w:pStyle w:val="TextBody"/>
        <w:bidi w:val="0"/>
        <w:spacing w:before="240" w:after="0"/>
        <w:jc w:val="left"/>
        <w:rPr>
          <w:rFonts w:ascii="Times New Roman" w:hAnsi="Times New Roman"/>
          <w:sz w:val="20"/>
        </w:rPr>
      </w:pPr>
      <w:r>
        <w:rPr>
          <w:rFonts w:ascii="Times New Roman" w:hAnsi="Times New Roman"/>
          <w:sz w:val="20"/>
        </w:rPr>
        <w:t>Certain Cyclerion shareholders have agreed to vote any shares of Cyclerion Common Stock owned by them in favor of the Redomestication Proposal. See “</w:t>
      </w:r>
      <w:r>
        <w:rPr>
          <w:rFonts w:ascii="Times New Roman" w:hAnsi="Times New Roman"/>
          <w:i/>
          <w:sz w:val="20"/>
        </w:rPr>
        <w:t>Agreements Related to the Merger — Support Agreements</w:t>
      </w:r>
      <w:r>
        <w:rPr>
          <w:rFonts w:ascii="Times New Roman" w:hAnsi="Times New Roman"/>
          <w:sz w:val="20"/>
        </w:rPr>
        <w:t xml:space="preserve">” beginning on page 188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EACH OF PROPOSALS NOS. 4A AND 4B AND THE ADOPTION OF THE CAYMAN REDOMESTICATION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1069_21"/>
      <w:bookmarkEnd w:id="23"/>
      <w:r>
        <w:rPr>
          <w:rFonts w:ascii="Times New Roman" w:hAnsi="Times New Roman"/>
          <w:b/>
          <w:sz w:val="20"/>
        </w:rPr>
        <w:t xml:space="preserve">PROPOSAL NO. 5 - THE DIRECTOR ELECTION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Cyclerion’s Bylaws provide that the Cyclerion Board shall consist of no less than three directors (except when there are fewer than three shareholders), and that the number of directors may be increased or decreased at any time by a vote of a majority of the directors then in office. The Cyclerion Board currently consists of six directors, all of whose current terms will expire at the Cyclerion Shareholders Meeting. The following individuals are being nominated to serve on the Cyclerion Board: Errol B. De Souza, Ph.D., Regina M. Graul, Ph.D., Peter M. Hecht, Ph.D., Michael Higgins, Steven E. Hyman, M.D., and Dina Katabi, Ph.D.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about each of the nominees and the Cyclerion Board generally, please see “Cyclerion Directors, Officers and Corporate Governance” elsewhere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elected, the nominees will hold office until the next Annual Meeting and until a respective successor is elected and has been qualified, or until such director resigns or is removed from office. </w:t>
      </w:r>
    </w:p>
    <w:p>
      <w:pPr>
        <w:pStyle w:val="TextBody"/>
        <w:bidi w:val="0"/>
        <w:spacing w:before="240" w:after="0"/>
        <w:jc w:val="left"/>
        <w:rPr>
          <w:rFonts w:ascii="Times New Roman" w:hAnsi="Times New Roman"/>
          <w:sz w:val="20"/>
        </w:rPr>
      </w:pPr>
      <w:r>
        <w:rPr>
          <w:rFonts w:ascii="Times New Roman" w:hAnsi="Times New Roman"/>
          <w:sz w:val="20"/>
        </w:rPr>
        <w:t xml:space="preserve">Cyclerion shareholders should understand, however, that if the Merger is consummated, the approval of the director nominees named in the Director Election Proposal will only have an effect until the completion of the Merger because the composition of the Cyclerion Board will be reconstituted upon completion of the Merger, in accordance with the Merger Agreement. Following the Merger, the Combined Company’s board of directors will consist of six members designated by Korsana, including Andrew Gottesdiener, Heidi Henson, Tomas Kiselak, Michelle Pernice, Nimish Shah, and Dr. Jonathan Violin. All of Cyclerion’s current directors are expected to resign from their positions as directors of Cyclerion, effective by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election of the director nominees named in the Director Election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election of the director nominees named in the Director Election Proposal. However, if the nominee is unable to serve or for good cause will not serve as a director, the proxies will be voted for the election of such substitute nominee as the Cyclerion Board may designate.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DIRECTOR NOMINEES NAMED IN THE DIRECTOR ELECTION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1069_22"/>
      <w:bookmarkEnd w:id="24"/>
      <w:r>
        <w:rPr>
          <w:rFonts w:ascii="Times New Roman" w:hAnsi="Times New Roman"/>
          <w:b/>
          <w:sz w:val="20"/>
        </w:rPr>
        <w:t xml:space="preserve">PROPOSAL NO. 6 - THE AUDITOR RATIFICATION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ratify the appointment by the audit committee of the Cyclerion Board (the “Cyclerion audit committee”) of Ernst &amp; Young LLP as Cyclerion’s independent registered public accounting firm for the fiscal year ending December 31, 2026. Ernst &amp; Young LLP has served as Cyclerion’s independent registered public accounting firm since 2019. </w:t>
      </w:r>
    </w:p>
    <w:p>
      <w:pPr>
        <w:pStyle w:val="TextBody"/>
        <w:bidi w:val="0"/>
        <w:spacing w:before="240" w:after="0"/>
        <w:jc w:val="left"/>
        <w:rPr>
          <w:rFonts w:ascii="Times New Roman" w:hAnsi="Times New Roman"/>
          <w:sz w:val="20"/>
        </w:rPr>
      </w:pPr>
      <w:r>
        <w:rPr>
          <w:rFonts w:ascii="Times New Roman" w:hAnsi="Times New Roman"/>
          <w:sz w:val="20"/>
        </w:rPr>
        <w:t xml:space="preserve">Neither the Cyclerion’s Bylaws nor other governing documents or law require shareholder ratification of the selection of Ernst &amp; Young LLP as Cyclerion’s independent registered public accounting firm. However, the Cyclerion audit committee has requested the Cyclerion Board submit the selection of Ernst &amp; Young LLP to the shareholders for ratification as a matter of good corporate practice. If the shareholders fail to ratify the selection, the Cyclerion audit committee of the will reconsider whether or not to retain that firm. Even if the selection is ratified, the Cyclerion audit committee in its discretion may direct the appointment of different independent auditors at any time during the year if they determine that such a change would be in the best interests of Cyclerion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A representative of Ernst &amp; Young LLP is expected to be present at the Cyclerion Shareholders Meeting and will have an opportunity to make a statement if he or she desires to do so and to respond to appropriate questions from Cyclerion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aggregate fees billed to Cyclerion for the fiscal years ended December 31, 2025 and 2024 by Ernst &amp; Young LLP, Cyclerion’s principal accountant. </w:t>
      </w:r>
    </w:p>
    <w:p>
      <w:pPr>
        <w:pStyle w:val="TextBody"/>
        <w:bidi w:val="0"/>
        <w:spacing w:before="0" w:after="0"/>
        <w:jc w:val="left"/>
        <w:rPr/>
      </w:pPr>
      <w:r>
        <w:rPr/>
        <w:t> </w:t>
      </w:r>
    </w:p>
    <w:tbl>
      <w:tblPr>
        <w:tblW w:w="4282" w:type="dxa"/>
        <w:jc w:val="left"/>
        <w:tblInd w:w="0" w:type="dxa"/>
        <w:tblLayout w:type="fixed"/>
        <w:tblCellMar>
          <w:top w:w="0" w:type="dxa"/>
          <w:left w:w="0" w:type="dxa"/>
          <w:bottom w:w="0" w:type="dxa"/>
          <w:right w:w="0" w:type="dxa"/>
        </w:tblCellMar>
      </w:tblPr>
      <w:tblGrid>
        <w:gridCol w:w="1475"/>
        <w:gridCol w:w="120"/>
        <w:gridCol w:w="177"/>
        <w:gridCol w:w="1015"/>
        <w:gridCol w:w="76"/>
        <w:gridCol w:w="152"/>
        <w:gridCol w:w="177"/>
        <w:gridCol w:w="1015"/>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385,000</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385,000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70,000</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455,000</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400,000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Audit fees were for professional services rendered for the audit of Cyclerion’s annual financial statements and reviews of interim financial statements included in Cyclerion’s quarterly reports on Form 10-Q, including accounting consultations, as well as for services that are normally provided in connection with regulatory filings or engagements. </w:t>
      </w:r>
    </w:p>
    <w:p>
      <w:pPr>
        <w:pStyle w:val="TextBody"/>
        <w:bidi w:val="0"/>
        <w:spacing w:before="240" w:after="0"/>
        <w:jc w:val="left"/>
        <w:rPr>
          <w:rFonts w:ascii="Times New Roman" w:hAnsi="Times New Roman"/>
          <w:sz w:val="20"/>
        </w:rPr>
      </w:pPr>
      <w:r>
        <w:rPr>
          <w:rFonts w:ascii="Times New Roman" w:hAnsi="Times New Roman"/>
          <w:sz w:val="20"/>
        </w:rPr>
        <w:t xml:space="preserve">All of the services of Ernst &amp; Young LLP for the years ended December 31, 2025 and 2024 described above were pre-approved by the Cyclerion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adopted a policy for the pre-approval of audit and non-audit services rendered by Cyclerion’s independent registered public accounting firm, Ernst &amp; Young LLP. The policy generally pre-approves specified services in the defined categories of audit services, audit-related services and tax services up to specified amounts. Pre-approval may also be given as part of the Cyclerion audit committee’s approval of the scope of the engagement of the independent auditor or on an individual, explicit, case-by-case basis before the independent auditor is engaged to provide each service. The pre-approval of services may be delegated to one or more of the Cyclerion audit committee’s members, but the decision must be reported to the full Cyclerion audit committee at its next scheduled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audit committee has determined that the rendering of services other than audit services by Ernst &amp; Young LLP is compatible with maintaining the principal accountant’s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Audit Committee Report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audit committee has reviewed and discussed the audited financial statements for the fiscal year ended December 31, 2025 with management of Cyclerion and Ernst &amp; Young LLP, Cyclerion’s independent registered public accounting firm. The Cyclerion audit committee has also received from, and discussed with, Cyclerion’s independent registered public accounting firm the written disclosures and other communications that Cyclerion’s independent registered public accounting firm is required to provide to the Cyclerion audit committee, including, the matters required to be discussed by the applicable requirements of the Public Company Accounting Oversight Board (“PCAOB”) and the SEC. The Cyclerion audit committee has also received the written disclosures and the letter from the independent registered public accounting firm required by applicable requirements of the PCAOB regarding the independent accountants’ communications with the Cyclerion audit committee concerning independence and has discussed with the independent registered public accounting firm the accounting firm’s independence. Based on the foregoing, the Cyclerion audit committee has recommended to the Cyclerion Board that the audited financial statements be included in Cyclerion’s Annual Report on Form 10-K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By the Audit Committee of the Board of Directors of Cyclerion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Michael J. Higgins, Chair </w:t>
      </w:r>
    </w:p>
    <w:p>
      <w:pPr>
        <w:pStyle w:val="TextBody"/>
        <w:bidi w:val="0"/>
        <w:spacing w:before="240" w:after="0"/>
        <w:jc w:val="left"/>
        <w:rPr>
          <w:rFonts w:ascii="Times New Roman" w:hAnsi="Times New Roman"/>
          <w:sz w:val="20"/>
        </w:rPr>
      </w:pPr>
      <w:r>
        <w:rPr>
          <w:rFonts w:ascii="Times New Roman" w:hAnsi="Times New Roman"/>
          <w:sz w:val="20"/>
        </w:rPr>
        <w:t xml:space="preserve">Errol B. De Souza, Ph.D. </w:t>
      </w:r>
    </w:p>
    <w:p>
      <w:pPr>
        <w:pStyle w:val="TextBody"/>
        <w:bidi w:val="0"/>
        <w:spacing w:before="240" w:after="0"/>
        <w:jc w:val="left"/>
        <w:rPr>
          <w:rFonts w:ascii="Times New Roman" w:hAnsi="Times New Roman"/>
          <w:sz w:val="20"/>
        </w:rPr>
      </w:pPr>
      <w:r>
        <w:rPr>
          <w:rFonts w:ascii="Times New Roman" w:hAnsi="Times New Roman"/>
          <w:sz w:val="20"/>
        </w:rPr>
        <w:t xml:space="preserve">Steven E. Hyman, M.D.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Auditor Ratification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AUDITOR RATIFICATION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material in this report is not “soliciting material,” is not deemed “filed” with the SEC and is not to be incorporated by reference in any filing of Cyclerion under the Securities Act of 1933, as amended, or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1069_23"/>
      <w:bookmarkEnd w:id="25"/>
      <w:r>
        <w:rPr>
          <w:rFonts w:ascii="Times New Roman" w:hAnsi="Times New Roman"/>
          <w:b/>
          <w:sz w:val="20"/>
        </w:rPr>
        <w:t xml:space="preserve">PROPOSAL NO. 7 -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Stock Incentive Plan (the “2026 Stock Plan”) to be effective on the closing date of the Merger. The 2026 Stock Plan was approved by the Cyclerion Board on July 16, 2026, subject to stockholder approval and the consummation of the Merger. If the 2026 Stock Plan is approved by stockholders and the Merger is consummated, no further awards will be granted under Cyclerion’s 2019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P </w:t>
      </w:r>
      <w:r>
        <w:rPr>
          <w:rFonts w:ascii="Times New Roman" w:hAnsi="Times New Roman"/>
          <w:sz w:val="20"/>
        </w:rPr>
        <w:t xml:space="preserve">to this proxy statement/prospectus. Stockholders are urged to read the 2026 Stock Plan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Stock Plan will be administered by the compensation committee of the Combined Company board of directors, or another committee designated by the Combined Company board of directors to administer the 2026 Stock Plan, which is referred to herein as the “Administrator.” The Administrator will have broad authority, subject to the provisions of the 2026 Stock Plan, to administer and interpret the 2026 Stock Plan and Awards granted thereunder. All decisions and actions of the Administrator will be final.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Stock Plan will be 10% of the total number of shares of outstanding capital stock immediately following the consummation of the Merger (including Combined Company common stock, preferred stock and unexercised pre-funded warrants on an as-converted basis), plus the shares of stock available for issuance under the Korsana 2025 Equity Incentive Plan as of the effective date of the 2026 Stock Plan (after giving effect to the Merger) and shares subject to outstanding awards under the Korsana 2025 Equity Incentive Plan that are not issued because such award is forfeited, canceled, terminated, expires or otherwise lapses without being exercised, or is settled in cash after the effective date of the 2026 Stock Plan, subject to certain adjustments in the event of a change in the Combined Company’s capitalization. The shares that may be issued under the 2026 Stock Plan will be automatically increased on January 1 of each year beginning in 2027 and ending with a final increase on January 1, 2036 in an amount equal to 5% of the diluted stock (including Combined Company common stock, preferred stock and unexercised pre-funded warrants) on the preceding December 31, unless a lower, or no, increase is determined by the Administrator. Only 60,000,000 shares of Combined Company common stock may be issued under the 2026 Stock Plan as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2026 Stock Plan may be either authorized and unissued shares or previously issued shares acquired by the Combined Company. On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expiration of an Award under the 2026 Stock Plan, in whole or in part, the number of shares of Combined Company common stock subject to such Award but not issued thereunder or that are otherwise forfeited back to the Combined Company will again become available for grant under the 2026 Stock Plan. Additionally, shares retained or withheld in payment of any exercise price, purchase price, or tax withholding obligation of an Award will again become available for grant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As of July 21, 2026, the closing price of a share of Cyclerion Common Stock was $3.70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Current or prospective employees, officers, non-employee directors, and other individual service providers of the Combined Company and its subsidiaries will be eligible to participate in the 2026 Stock Plan, if selected by the Administrator. Following the Merger, it is expected that approximately 32 employees (including three executive officers), five non-employee directors and approximately 14 other individual service providers of the Combined Company will be eligible to participate in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dollar value of equity-based (based on the grant date fair market value of equity-based Awards) and cash compensation granted under the 2026 Stock Plan or otherwise to any non-employee director for service on the board may not exceed $750,000 during any full calendar year following the effective date;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u w:val="single"/>
        </w:rPr>
        <w:t>Stock Options</w:t>
      </w:r>
      <w:r>
        <w:rPr>
          <w:rFonts w:ascii="Times New Roman" w:hAnsi="Times New Roman"/>
          <w:sz w:val="20"/>
        </w:rPr>
        <w:t xml:space="preserve">. All stock options granted under the 2026 Stock Plan will be evidenced by a written agreement with the participant, which provides, among other things, whether the option is intended to be an incentive stock option or a non-qualified stock option, the number of shares subject to the option, the exercise price, exercisability (or vesting), the term of the option, which may not generally exceed ten years, and other terms and conditions. Subject to the express provisions of the 2026 Stock Plan, options generally may be exercised over such period, in installments or otherwise, as the Administrator may determine. The exercise price for any stock option granted may not generally be less than the fair market value of the Combined Company common stock subject to that option on the grant date. The exercise price may be paid in cash or such other method as determined by the Administrator, including an irrevocable commitment by a broker to pay over such amount from a sale of the shares issuable under an option, the delivery of previously owned shares, or withholding of shares deliverable upon exercise. The 2026 Stock Plan permits, without stockholder approval, the Administrator to reduce the exercise price of a previously awarded option or cancel and re-grant or exchange such option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Stock Appreciation Rights</w:t>
      </w:r>
      <w:r>
        <w:rPr>
          <w:rFonts w:ascii="Times New Roman" w:hAnsi="Times New Roman"/>
          <w:sz w:val="20"/>
        </w:rPr>
        <w:t xml:space="preserve">. SARs may be granted alone or in conjunction with all or part of a stock option. Upon exercising a SAR, the participant is entitled to receive the amount by which the fair market value of the Combined Company common stock at the time of exercise exceeds the exercise price of the SAR. This amount is payable in Combined Company common stock, cash, restricted stock, or a combination thereof, at the Administrator’s discretion. The 2026 Stock Plan permits, without stockholder approval, the Administrator to reduce the exercise price of a previously awarded SAR or cancel and re-grant or exchange such SAR for cash or a new Award with a lower (or no) exercise price. </w:t>
      </w:r>
    </w:p>
    <w:p>
      <w:pPr>
        <w:pStyle w:val="TextBody"/>
        <w:bidi w:val="0"/>
        <w:spacing w:before="240" w:after="0"/>
        <w:jc w:val="left"/>
        <w:rPr>
          <w:rFonts w:ascii="Times New Roman" w:hAnsi="Times New Roman"/>
          <w:sz w:val="20"/>
        </w:rPr>
      </w:pPr>
      <w:r>
        <w:rPr>
          <w:rFonts w:ascii="Times New Roman" w:hAnsi="Times New Roman"/>
          <w:sz w:val="20"/>
          <w:u w:val="single"/>
        </w:rPr>
        <w:t>Restricted Stock and RSUs</w:t>
      </w:r>
      <w:r>
        <w:rPr>
          <w:rFonts w:ascii="Times New Roman" w:hAnsi="Times New Roman"/>
          <w:sz w:val="20"/>
        </w:rPr>
        <w:t xml:space="preserve">. Awards of restricted stock consist of shares of stock that are transferred to the participant subject to restrictions that may result in forfeiture if specified conditions are not satisfied. RSUs result in the transfer of shares of stock or cash to the participant only after specified conditions are satisfied.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Administrator will determine the restrictions and conditions applicable to each award of restricted stock or RSUs, which may include performance vesting conditions. </w:t>
      </w:r>
    </w:p>
    <w:p>
      <w:pPr>
        <w:pStyle w:val="TextBody"/>
        <w:bidi w:val="0"/>
        <w:spacing w:before="240" w:after="0"/>
        <w:jc w:val="left"/>
        <w:rPr>
          <w:rFonts w:ascii="Times New Roman" w:hAnsi="Times New Roman"/>
          <w:sz w:val="20"/>
        </w:rPr>
      </w:pPr>
      <w:r>
        <w:rPr>
          <w:rFonts w:ascii="Times New Roman" w:hAnsi="Times New Roman"/>
          <w:sz w:val="20"/>
          <w:u w:val="single"/>
        </w:rPr>
        <w:t>Other Stock-Based Awards</w:t>
      </w:r>
      <w:r>
        <w:rPr>
          <w:rFonts w:ascii="Times New Roman" w:hAnsi="Times New Roman"/>
          <w:sz w:val="20"/>
        </w:rPr>
        <w:t xml:space="preserve">. Other stock-based awards are Awards denominated in or payable in, valued in whole or in part by reference to, or otherwise based on or related to, the value of Combined Company common stock. </w:t>
      </w:r>
    </w:p>
    <w:p>
      <w:pPr>
        <w:pStyle w:val="TextBody"/>
        <w:bidi w:val="0"/>
        <w:spacing w:before="240" w:after="0"/>
        <w:jc w:val="left"/>
        <w:rPr>
          <w:rFonts w:ascii="Times New Roman" w:hAnsi="Times New Roman"/>
          <w:sz w:val="20"/>
        </w:rPr>
      </w:pPr>
      <w:r>
        <w:rPr>
          <w:rFonts w:ascii="Times New Roman" w:hAnsi="Times New Roman"/>
          <w:sz w:val="20"/>
          <w:u w:val="single"/>
        </w:rPr>
        <w:t>Incentive Bonuses</w:t>
      </w:r>
      <w:r>
        <w:rPr>
          <w:rFonts w:ascii="Times New Roman" w:hAnsi="Times New Roman"/>
          <w:sz w:val="20"/>
        </w:rPr>
        <w:t xml:space="preserve">. Each incentive bonus will confer upon the participant the opportunity to earn a payment, which may be subject to vesting or performance criteria established by the Administrator. Payment of the amount due under an incentive bonus may be made in cash or shares,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specify certain performance criteria which must be satisfied before Awards will be granted or will vest. The performance goals may vary from participant to participant, group to group, and period to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option or SAR may be exercisable only by the participant during his or her lifetime.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will be subject to recoupment in accordance with any clawback policy adopted by the Combined Company (or any successor or other clawback policy adopted by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capitalization of the Combined Company, including any reorganization, reclassification, combination of shares, stock split, reverse stock split, spin-off, dividend or distribution (other than quarterly cash dividends), the share pool and outstanding Awards will be equitably adjusted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in control of the Combined Company, the Administrator may (i) provide for the assumption of outstanding Awards, (ii) issue substitute awards, (iii) accelerate vesting or waive any forfeiture conditions, (iv) accelerate the exercisability of the award, (v) make any other adjustments to outstanding Awards as deemed to be appropriate or (vi) provide for the cancellation and cash-out of outstanding Awards; however, if Awards are not assumed, continued or substituted for, then all outstanding Awards will become fully vested and exercisable (with performance based on target or actual achievement as determined by the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board of directors will have the right to amend, alter, suspend, or terminate the 2026 Stock Plan at any time, provided certain enumerated material amendments may not be made without stockholder approval. No amendment or alteration to the 2026 Stock Plan or an Award or Award agreement will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2026 Stock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 The 2026 Stock Plan will automatically terminate as to the grant of future awards, unless earlier terminated by the Combined Company board of directors, on    , 2036.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2026 Stock Plan based on the federal income tax laws in effect on the date of this proxy statement/prospectus. This summary is not intended to be exhaustive and does not address all matters relevant to a particular participant based on their specific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each participant is urged to consult their tax advisor concerning the tax implications of Awards granted under the 2026 Stock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2026 Stock Plan may be either incentive stock options, which are intended to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the Combined Company (or, if applicable, the affiliate employer)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(or, if applicable, the affiliate employer) will be entitled to an income tax deduction equal to the amount of ordinary income recognized by the optionee with respect to the exercised non-qualified stock 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exercise date over the base price in effect for the exercised right, and the participant will be required to satisfy the tax withholding requirements applicable to such income. The Combined Company (or, if applicable, the affiliate employer)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the restrictions constituting a substantial risk of forfeiture lapse, an amount equal to the excess of (i) the fair market value of the shares on the vesting date over (ii) the amount paid (if any) for the shares. The participant may, however, elect under Section 83(b) of the Code to include as ordinary income in the year the unvested shares are issued an amount equal to the excess of (a) the fair market value of those shares on the issue date over (b) the amount paid (if any) for such shares. If the Section 83(b) election is made, the participant will not recognize any additional income as and when the shares subsequently vest. The Combined Company (or, if applicable, the affiliate employer) will be entitled to an income tax deduction equal to the amount of ordinary income recognized by the participant at the time such ordinary income is recognized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 stock-based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(or, if applicable, the affiliate employer) will be entitled to an income tax deduction equal to the amount of ordinary income recognized by the participant at the time the shares are issued or the cash amount is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$1.0 million. It is expected that compensation deductions for any covered employee with respect to awards granted under the 2026 Stock Plan will be subject to the $1.0 million annual deduction limitation. The Administrator of the 2026 Stock Plan may grant Awards under the 2026 Stock Plan that are or may become non-deductible when it believes doing so is in the best interests of the Combined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Cyclerion cannot currently determine the benefits or number of shares subject to Awards that may be granted in the future to eligible participants under the 2026 Stock Plan because the grant of Awards and terms of such Awards are to be determined in the sole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Stock Plan Proposal. However, the Stock Plan Proposal is conditioned on the consummation of the Merger. Notwithstanding the approval of the Stock Plan Proposal, if the Merger is not completed, the actions contemplated by the Stock Plan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Stock Plan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11069_24"/>
      <w:bookmarkEnd w:id="26"/>
      <w:r>
        <w:rPr>
          <w:rFonts w:ascii="Times New Roman" w:hAnsi="Times New Roman"/>
          <w:b/>
          <w:sz w:val="20"/>
        </w:rPr>
        <w:t xml:space="preserve">PROPOSAL NO. 8 -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Cyclerion Shareholders Meeting, Cyclerion will ask its shareholders to approve the Korsana Biosciences, Inc. 2026 Employee Stock Purchase Plan (the “2026 ESPP”) to be effective on the closing date of the Merger. The 2026 ESPP was approved by the Cyclerion Board on July 16, 2026, subject to stockholder approval and the consummation of the Merger. If the 2026 ESPP is approved by stockholders and the Merger is consummated, Cyclerion’s 2019 Employee Share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ESPP is not intended to be complete and is qualified in its entirety by the complete text of the 2026 ESPP, a copy of which is attached as </w:t>
      </w:r>
      <w:r>
        <w:rPr>
          <w:rFonts w:ascii="Times New Roman" w:hAnsi="Times New Roman"/>
          <w:i/>
          <w:sz w:val="20"/>
        </w:rPr>
        <w:t xml:space="preserve">Annex Q </w:t>
      </w:r>
      <w:r>
        <w:rPr>
          <w:rFonts w:ascii="Times New Roman" w:hAnsi="Times New Roman"/>
          <w:sz w:val="20"/>
        </w:rPr>
        <w:t xml:space="preserve">to this proxy statement/prospectus. Stockholders are urged to read the 2026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2026 ESPP will be administered by the compensation committee of the Combined Company board of directors or another committee designated by the Combined Company board of directors to administer, which is referred to herein as the “ESPP Administrator.” All questions of interpretation of the 2026 ESPP are determined by the ESPP Administrator, whose decisions are final and binding upon all participants. The ESPP Administrator may delegate, subject to applicable law, its responsibilities under the 2026 ESPP to one or more other persons. The ESPP Administrator may adopt rules or procedures relating to the operation and administration of the 2026 ESPP to accommodate the specific requirements of local laws and procedures, including to adopt sub-plans for participants outside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ESPP </w:t>
      </w:r>
    </w:p>
    <w:p>
      <w:pPr>
        <w:pStyle w:val="TextBody"/>
        <w:bidi w:val="0"/>
        <w:spacing w:before="120" w:after="0"/>
        <w:jc w:val="left"/>
        <w:rPr>
          <w:rFonts w:ascii="Times New Roman" w:hAnsi="Times New Roman"/>
          <w:sz w:val="20"/>
        </w:rPr>
      </w:pPr>
      <w:r>
        <w:rPr>
          <w:rFonts w:ascii="Times New Roman" w:hAnsi="Times New Roman"/>
          <w:sz w:val="20"/>
        </w:rPr>
        <w:t xml:space="preserve">The initial share pool under the 2026 ESPP will be the lesser of (i) 1% of the total number of shares of outstanding capital stock immediately following the consummation of the Merger (including Combined Company common stock, preferred stock and unexercised pre-funded warrants) or (ii) 1,000,000 shares, subject to certain adjustments in the event of a change in the Combined Company’s capitalization. The shares that may be issued under the 2026 ESPP will be automatically increased on January 1 of each year beginning in 2027 and ending with a final increase on January 1, 2036 in an amount equal to the lesser of 1% of the diluted stock (including Combined Company common stock, preferred stock and unexercised pre-funded warrants) on the preceding December 31 or 2,000,000, unless a lower, or no, increase is determined by the ESPP Administrator. Shares of Combined Company common stock issued under the 2026 ESPP may either be shares of authorized but unissued Combined Company common stock, Combined Company common stock held as treasury shares, or Combined Company common stock acquired in an open-market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total number of shares to be purchased by all participants on any exercise date (as defined below) exceeds the number of shares remaining available for issuance under the 2026 ESPP, the ESPP Administrator may make a pro rata allocation of the remaining available number of shares in as uniform a manner as possible and as the ESPP Administrator determines to be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July 21, 2026, the closing price of a share of Cyclerion Common Stock was $3.70 per share, as reported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employees of the Combined Company or a designated subsidiary of the Combined Company (as defined in the 2026 ESPP) who customarily work for more than 20 hours per week and more than five months in any calendar year and satisfy the requirements set forth in the 2026 ESPP will be eligible to participate in the 2026 ESPP. However, any employee who would own (or pursuant to Section 424(d) of the Code would be deemed to own) more than 5% of the voting power or value of the Combined Company common stock immediately after a grant under the 2026 ESPP is not eligible to participate, and no participant may purchase more than $25,000 of Combined Company common stock in any one calendar year. Following the Merger, it is expected that approximately 32 employees will be eligible to participate in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2026 ESPP is generally implemented by a series of “offering periods” which will not exceed 27 months. The offering periods under the 2026 ESPP will be established by the ESPP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Payroll Deductions </w:t>
      </w:r>
    </w:p>
    <w:p>
      <w:pPr>
        <w:pStyle w:val="TextBody"/>
        <w:bidi w:val="0"/>
        <w:spacing w:before="120" w:after="0"/>
        <w:jc w:val="left"/>
        <w:rPr>
          <w:rFonts w:ascii="Times New Roman" w:hAnsi="Times New Roman"/>
          <w:sz w:val="20"/>
        </w:rPr>
      </w:pPr>
      <w:r>
        <w:rPr>
          <w:rFonts w:ascii="Times New Roman" w:hAnsi="Times New Roman"/>
          <w:sz w:val="20"/>
        </w:rPr>
        <w:t xml:space="preserve">To participate in an offering period, an eligible employee must execute and submit a properly completed subscription agreement on or before a date determined by the ESPP Administrator prior to the applicable enrollment date. Once enrolled in the 2026 ESPP, a participant can purchase shares of Combined Company common stock with payroll deductions at the end of the applicable offering period. Once an offering period is over, a participant is automatically enrolled in the next offering period unless the participant chooses to withdraw from the 2026 ESPP. </w:t>
      </w:r>
    </w:p>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request a deduction in an amount expressed as a whole percentage between 1% and 15% and all payroll deductions will be credited to the eligible employee’s account. The maximum permissible contribution by any participant for all offering periods during any calendar year is $25,000. No interest will be paid on any amount held in the account of any eligible employee.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 </w:t>
      </w:r>
    </w:p>
    <w:p>
      <w:pPr>
        <w:pStyle w:val="TextBody"/>
        <w:bidi w:val="0"/>
        <w:spacing w:before="120" w:after="0"/>
        <w:jc w:val="left"/>
        <w:rPr>
          <w:rFonts w:ascii="Times New Roman" w:hAnsi="Times New Roman"/>
          <w:sz w:val="20"/>
        </w:rPr>
      </w:pPr>
      <w:r>
        <w:rPr>
          <w:rFonts w:ascii="Times New Roman" w:hAnsi="Times New Roman"/>
          <w:sz w:val="20"/>
        </w:rPr>
        <w:t xml:space="preserve">On the first trading day of each offering period, each eligible employee automatically will be granted an option to acquire shares of Combined Company common stock on the exercise date. All participants granted options under the 2026 ESPP will have the same rights and privileges consistent with the requirements set forth in Section 423 of the Code. No eligible employee will be permitted to purchase more than 2,500 shares of Combined Company common stock during each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2026 ESPP is determined by the ESPP Administrator, but in no event will be less than 85% of the fair market value of the Combined Company common stock on the first or the last trading day of the offering period, whichever is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Options </w:t>
      </w:r>
    </w:p>
    <w:p>
      <w:pPr>
        <w:pStyle w:val="TextBody"/>
        <w:bidi w:val="0"/>
        <w:spacing w:before="120" w:after="0"/>
        <w:jc w:val="left"/>
        <w:rPr>
          <w:rFonts w:ascii="Times New Roman" w:hAnsi="Times New Roman"/>
          <w:sz w:val="20"/>
        </w:rPr>
      </w:pPr>
      <w:r>
        <w:rPr>
          <w:rFonts w:ascii="Times New Roman" w:hAnsi="Times New Roman"/>
          <w:sz w:val="20"/>
        </w:rPr>
        <w:t xml:space="preserve">At the end of each offering period, unless the participant has withdrawn from the 2026 ESPP, payroll deductions are applied automatically to purchase shares of Combined Company common stock at the price described above. The number of shares purchased is determined by dividing the payroll deductions by the applicable purchase price,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payroll deductions accumulated in a participant’s account that are not sufficient to purchase a full share will be retained in the participant’s account for the subsequent option period (subject to earlier withdrawal in accordance with the terms of the 2026 ESPP). Any other amounts of payroll deductions in a participant’s account that are not used for the purchase of shares of Combined Company common stock, whether because of the participant’s withdrawal, because the amount would enable the participant to purchase more than the maximum number of shares, or for any other reason, will be returned to the participant, without interest, as soon as administratively practicable after such withdrawal, exercise date or other event,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Cancellation and Withdrawal </w:t>
      </w:r>
    </w:p>
    <w:p>
      <w:pPr>
        <w:pStyle w:val="TextBody"/>
        <w:bidi w:val="0"/>
        <w:spacing w:before="120" w:after="0"/>
        <w:jc w:val="left"/>
        <w:rPr>
          <w:rFonts w:ascii="Times New Roman" w:hAnsi="Times New Roman"/>
          <w:sz w:val="20"/>
        </w:rPr>
      </w:pPr>
      <w:r>
        <w:rPr>
          <w:rFonts w:ascii="Times New Roman" w:hAnsi="Times New Roman"/>
          <w:sz w:val="20"/>
        </w:rPr>
        <w:t xml:space="preserve">Participants may cancel all (but not less than all) of their option and terminate their subscription agreement by delivering a written notice revoking their subscription to the Combined Company or by following an electronic or other withdrawal procedure determined by the ESPP Administrator. Upon such termination and cancellation, the balance in the participant’s account will be returned to the participant, without interest, as soon as administratively practicable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2026 ESPP, the participant’s option will be deemed cancelled, the balance in the participant’s account will be returned to the participant (or his or her estate or designated beneficiary in the event of the participant’s death), without interest, as soon as administratively practicable, and the participant will have no other rights under the 2026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2026 ESPP may not be transferred by a participant and may be exercised during a participant’s lifetime only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a Change in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reorganizations, recapitalizations, stock splits, reverse stock splits, stock dividends, extraordinary dividends or distributions, or similar events, the ESPP Administrator will appropriately adjust the number and class of shares available under the 2026 ESPP and the applicable purchase price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or Other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Combined Company’s proposed merger, sale, or other similar corporate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ESPP Administrator may amend, suspend or terminate the 2026 ESPP at any time and, in the event of a termination of the 2026 ESPP, may terminate all outstanding offering periods (and return each participant’s account balance to the participant) or allow outstanding offering periods to expire in accordance with their terms. The 2026 ESPP will continue in effect until terminated by the ESPP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2026 ESPP, based on federal income tax laws in effect on the date of this proxy statement/prospectus. The exact federal income tax treatment of options under the 2026 ESPP will depend on the specific nature of any such option and the individual tax attributes of the participant. The following summary is not intended to be exhaustive and, among other considerations, does not describe gift, estate, social security, state, local or international tax consequences.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2026 ESPP is intended to qualify as an “employee stock purchase plan” under Section 423 of the Code and, as a result, employees who participate in the 2026 ESPP will be afforded favorable tax treatment subject to meeting certain requirements specified by the Code. In general, there are no federal income tax consequences to a participant upon the grant of the option to purchase shares under the 2026 ESPP at the beginning of an option period or upon its exercise on the exercise date at the end of an option period. Upon the disposition of shares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2026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Combined Company common stock and the option exercise price if the participant satisfies the statutory holding period described above. If shares are sold before the statutory holding period is satisfied, the Combined Company (or, if applicable, the affiliate employer) is entitled to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2026 ESPP cannot be determined at this time because the amount of payroll deductions contributed to purchase shares of Combined Company common stock under the 2026 ESPP is entirely within the discretion of each participant (subject to the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 xml:space="preserve">not </w:t>
      </w:r>
      <w:r>
        <w:rPr>
          <w:rFonts w:ascii="Times New Roman" w:hAnsi="Times New Roman"/>
          <w:sz w:val="20"/>
        </w:rPr>
        <w:t xml:space="preserve">conditioned upon the approval of the ESPP Proposal. However, the ESPP Proposal is conditioned on the consummation of the Merger. Notwithstanding the approval of the ESPP Proposal, if the Merger is not completed, the actions contemplated by the ESPP Proposal will not be effected.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ESPP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1069_25"/>
      <w:bookmarkEnd w:id="27"/>
      <w:r>
        <w:rPr>
          <w:rFonts w:ascii="Times New Roman" w:hAnsi="Times New Roman"/>
          <w:b/>
          <w:sz w:val="20"/>
        </w:rPr>
        <w:t xml:space="preserve">PROPOSAL NO. 9 -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Pursuant to Section 14A of the Exchange Act and Rule 14a-21(c) thereunder, Cyclerion is seeking non-binding, advisory shareholder approval of certain compensation arrangements for Cyclerion named executive officers that are based on or otherwise relate to the Merger, as disclosed pursuant to Item 402(t) of Regulation S-K in the section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Cyclerion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 — Golden Parachute Compensation</w:t>
      </w:r>
      <w:r>
        <w:rPr>
          <w:rFonts w:ascii="Times New Roman" w:hAnsi="Times New Roman"/>
          <w:sz w:val="20"/>
        </w:rPr>
        <w:t xml:space="preserve">” beginning on page 156 of this proxy statement/prospectus. At the Cyclerion Shareholders Meeting, Cyclerion will therefore ask its shareholders to adopt the following resolution: </w:t>
      </w:r>
    </w:p>
    <w:p>
      <w:pPr>
        <w:pStyle w:val="TextBody"/>
        <w:bidi w:val="0"/>
        <w:spacing w:before="120" w:after="0"/>
        <w:jc w:val="left"/>
        <w:rPr/>
      </w:pPr>
      <w:r>
        <w:rPr/>
        <w:t>“</w:t>
      </w:r>
      <w:r>
        <w:rPr>
          <w:rFonts w:ascii="Times New Roman" w:hAnsi="Times New Roman"/>
          <w:b/>
          <w:sz w:val="20"/>
        </w:rPr>
        <w:t>RESOLVED: That certain compensation arrangements for Cyclerion named executive officers in connection with the Merger, as disclosed pursuant to Item 402(t) of Regulation S-K in the section titled “</w:t>
      </w:r>
      <w:r>
        <w:rPr>
          <w:rFonts w:ascii="Times New Roman" w:hAnsi="Times New Roman"/>
          <w:b/>
          <w:i/>
          <w:sz w:val="20"/>
        </w:rPr>
        <w:t>The Merger</w:t>
      </w:r>
      <w:r>
        <w:rPr>
          <w:rFonts w:ascii="Times New Roman" w:hAnsi="Times New Roman"/>
          <w:sz w:val="20"/>
        </w:rPr>
        <w:t xml:space="preserve"> — </w:t>
      </w:r>
      <w:r>
        <w:rPr>
          <w:rFonts w:ascii="Times New Roman" w:hAnsi="Times New Roman"/>
          <w:b/>
          <w:i/>
          <w:sz w:val="20"/>
        </w:rPr>
        <w:t>Interests of Cyclerion</w:t>
      </w:r>
      <w:r>
        <w:rPr>
          <w:rFonts w:ascii="Times New Roman" w:hAnsi="Times New Roman"/>
          <w:sz w:val="20"/>
        </w:rPr>
        <w:t>’</w:t>
      </w:r>
      <w:r>
        <w:rPr>
          <w:rFonts w:ascii="Times New Roman" w:hAnsi="Times New Roman"/>
          <w:b/>
          <w:i/>
          <w:sz w:val="20"/>
        </w:rPr>
        <w:t>s</w:t>
      </w:r>
      <w:r>
        <w:rPr>
          <w:rFonts w:ascii="Times New Roman" w:hAnsi="Times New Roman"/>
          <w:sz w:val="20"/>
        </w:rPr>
        <w:t xml:space="preserve"> </w:t>
      </w:r>
      <w:r>
        <w:rPr>
          <w:rFonts w:ascii="Times New Roman" w:hAnsi="Times New Roman"/>
          <w:b/>
          <w:i/>
          <w:sz w:val="20"/>
        </w:rPr>
        <w:t>Directors and Executive Officers in the Merger — Golden Parachute Compensation</w:t>
      </w:r>
      <w:r>
        <w:rPr>
          <w:rFonts w:ascii="Times New Roman" w:hAnsi="Times New Roman"/>
          <w:sz w:val="20"/>
        </w:rPr>
        <w:t xml:space="preserve">” </w:t>
      </w:r>
      <w:r>
        <w:rPr>
          <w:rFonts w:ascii="Times New Roman" w:hAnsi="Times New Roman"/>
          <w:b/>
          <w:sz w:val="20"/>
        </w:rPr>
        <w:t xml:space="preserve">in the proxy statement/prospectus, are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Accordingly, to the extent Cyclerion is contractually obligated to pay the compensation, the compensation will be payable to the named executive officers, subject only to the conditions applicable thereto, if the Merger is completed, regardless of the outcome of the advisory vote.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Merger Compensation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Merger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CYCLERION BOARD RECOMMENDS A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11069_26"/>
      <w:bookmarkEnd w:id="28"/>
      <w:r>
        <w:rPr>
          <w:rFonts w:ascii="Times New Roman" w:hAnsi="Times New Roman"/>
          <w:b/>
          <w:sz w:val="20"/>
        </w:rPr>
        <w:t xml:space="preserve">PROPOSAL NO. 10 – THE SAY-ON-PAY PROPOSAL </w:t>
      </w:r>
    </w:p>
    <w:p>
      <w:pPr>
        <w:pStyle w:val="TextBody"/>
        <w:bidi w:val="0"/>
        <w:spacing w:before="240" w:after="0"/>
        <w:jc w:val="left"/>
        <w:rPr>
          <w:rFonts w:ascii="Times New Roman" w:hAnsi="Times New Roman"/>
          <w:sz w:val="20"/>
        </w:rPr>
      </w:pPr>
      <w:r>
        <w:rPr>
          <w:rFonts w:ascii="Times New Roman" w:hAnsi="Times New Roman"/>
          <w:sz w:val="20"/>
        </w:rPr>
        <w:t xml:space="preserve">Section 14A of the Exchange Act requires that Cyclerion provide its shareholders with the opportunity to vote to approve, on a non-binding, advisory basis, not less frequently than once every three years, the compensation of Cyclerion’s named executive officers as disclosed in this proxy statement/prospectus in accordance with the compensation disclosure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Cyclerion’s compensation programs are designed to effectively align Cyclerion’s executives’ interests with the interests of Cyclerion’s shareholders by focusing on long-term equity incentives that correlate with the growth of sustainable long-term value for Cyclerion’s shareholders. Cyclerion’s shareholders are urged to read the section titled “Cyclerion Executive Officer and Director Compensation” in this proxy statement/prospectus, which discusses how Cyclerion’s executive compensation policies and practices implement Cyclerion’s compensation philosophy and contains tabular information and narrative discussion about the compensation of Cyclerion’s named executive officers. The Compensation Committee of the Cyclerion Board (the “Cyclerion Compensation Committee”) believes that the objectives of Cyclerion’s executive compensation program, as they relate to Cyclerion’s named executive officers, are appropriate for a company of Cyclerion’s size and stage of development and that its compensation policies and practices help meet those objectives. In addition, the Cyclerion Compensation Committee believes that Cyclerion’s executive compensation program, as it relates to Cyclerion’s named executive officers, achieves an appropriate balance between fixed compensation and variable incentive compensation. The Cyclerion Board and the Cyclerion Compensation Committee believe that Cyclerion’s policies and practices are effective in implementing Cyclerion’s compensation philosophy and in achieving Cyclerion’s compensation program goal. Accordingly, Cyclerion is asking its shareholders to approve the compensation of Cyclerion’s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compensation of Cyclerion’s named executive officers, as described in this proxy statement/prospectus in accordance with the compensation disclosure rules of the SEC. Accordingly, Cyclerion is asking its shareholders to vote on the following resolution at the Cyclerion Shareholders Meeting: </w:t>
      </w:r>
    </w:p>
    <w:p>
      <w:pPr>
        <w:pStyle w:val="TextBody"/>
        <w:bidi w:val="0"/>
        <w:spacing w:before="120" w:after="0"/>
        <w:jc w:val="left"/>
        <w:rPr/>
      </w:pPr>
      <w:r>
        <w:rPr/>
        <w:t>“</w:t>
      </w:r>
      <w:r>
        <w:rPr>
          <w:rFonts w:ascii="Times New Roman" w:hAnsi="Times New Roman"/>
          <w:b/>
          <w:sz w:val="20"/>
        </w:rPr>
        <w:t xml:space="preserve">RESOLVED, that the compensation paid to the Cyclerion’s named executive officers, as disclosed in Cyclerion’s proxy statement/prospectus related to its 2026 Annual Meeting of Shareholders, pursuant to the compensation disclosure rules of the SEC, including the compensation tables and the related material disclosed in the proxy statement/prospectus is hereby APPROVED on a non-binding, advisory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is advisory in nature only, it will not be binding on Cyclerion.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Say-on-Pay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Say-on-Pay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SAY-ON-PAY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1069_27"/>
      <w:bookmarkEnd w:id="29"/>
      <w:r>
        <w:rPr>
          <w:rFonts w:ascii="Times New Roman" w:hAnsi="Times New Roman"/>
          <w:b/>
          <w:sz w:val="20"/>
        </w:rPr>
        <w:t xml:space="preserve">PROPOSAL NO. 11 -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Cyclerion fails to receive a sufficient number of votes to approve the Nasdaq Stock Issuance Proposal, the Authorized Share Increase Proposal, and/or the Reverse Stock Split Proposal, Cyclerion may propose to adjourn the Cyclerion Shareholders Meeting, for a period of not more than 60 days, for the purpose of soliciting additional proxies to approve the Nasdaq Stock Issuance Proposal, the Authorized Share Increase Proposal, and/or the Reverse Stock Split Proposal. Cyclerion currently does not intend to propose adjournment at the Cyclerion Shareholders Meeting if there are sufficient votes to approve the Nasdaq Stock Issuance Proposal, the Authorized Share Increase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CYCLERION BOARD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11069_28"/>
      <w:bookmarkEnd w:id="30"/>
      <w:r>
        <w:rPr>
          <w:rFonts w:ascii="Times New Roman" w:hAnsi="Times New Roman"/>
          <w:b/>
          <w:sz w:val="20"/>
        </w:rPr>
        <w:t xml:space="preserve">CYCLERION’S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Strategy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announcement of the Merger, we were focused on building a pipeline of innovative therapeutics to address serious neuropsychiatric disorders with significant unmet medical need. Our strategic focus has been centered on the development of a novel therapeutic approach for neuropsychiatric conditions, with the lead indication being treatment-resistant depression (“TRD”), which we believe represents a substantial clinical and commercial opportunity.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Primary Focus on New Potential Treatment for Treatment Resistant Depression </w:t>
      </w:r>
    </w:p>
    <w:p>
      <w:pPr>
        <w:pStyle w:val="TextBody"/>
        <w:bidi w:val="0"/>
        <w:spacing w:before="120" w:after="0"/>
        <w:jc w:val="left"/>
        <w:rPr>
          <w:rFonts w:ascii="Times New Roman" w:hAnsi="Times New Roman"/>
          <w:sz w:val="20"/>
        </w:rPr>
      </w:pPr>
      <w:r>
        <w:rPr>
          <w:rFonts w:ascii="Times New Roman" w:hAnsi="Times New Roman"/>
          <w:sz w:val="20"/>
        </w:rPr>
        <w:t>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 to the announcement of the Merger, prioritized CYC-126, an individualized therapy for TRD as our foundational development program.</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program (the “MIT License Agreement”).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entered into a collaboration and option-to-license agreement with Medsteer SAS (“Medsteer”) to access certain technology, data assets, and technical know-how related to drug delivery and physiological monitoring. Under the terms of the Collaboration Agreement, the Company paid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been advancing development planning, regulatory strategy, and commercial positioning for this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2026, we received notice from the FDA confirming prior informal communications that CYC-126 will be regulated under the FDA’s Center for Drug Evaluation and Research (“CDER”), with the FDA’s Center for Devices and Radiologic Health (“CDRH”) providing input and reviews as applicable. We believe that the FDA feedback provided clear guidance that the Company believes will help enable an FDA IND submission. The FDA guidance supported continued advancement of the planned Phase 2 study design, leveraging FDA-approved anesthetics and their well-established nonclinical and clinical safety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also recently announced the formation of a Clinical Advisory Board with the appointment of five internationally recognized key leaders in neuropsychiatry anesthesiology clinical care, and clinical development. This advisory board will provide strategic guidance and support key decision making regarding clinical development as Cyclerion seeks to advance CYC-126 for TRD and builds a pipeline across neuropsychiatric diseases.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announcement of the Merger, CYC-126 was being developed as a potential anesthetic-based therapy for neuropsychiatric indications, including TRD. The system is designed to deliver anesthetic agents while monitoring brain activity to support individualized dosing through a patient feedback loop. The Company believes this approach may provide a differentiated treatment option for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CYC-126 consists of two generic intravenous anesthetic agents, propofol and dexmedetomidine, administered through a personalized delivery system intended to operate as a clinical decision support tool for an anesthesiologist. The treatment would be expected to be delivered in a hospital-based setting, such as a procedure room or post-anesthesia care unit (“PACU”), followed by a short recovery period in the PACU. </w:t>
      </w:r>
    </w:p>
    <w:p>
      <w:pPr>
        <w:pStyle w:val="TextBody"/>
        <w:bidi w:val="0"/>
        <w:spacing w:before="240" w:after="0"/>
        <w:jc w:val="left"/>
        <w:rPr>
          <w:rFonts w:ascii="Times New Roman" w:hAnsi="Times New Roman"/>
          <w:sz w:val="20"/>
        </w:rPr>
      </w:pPr>
      <w:r>
        <w:rPr>
          <w:rFonts w:ascii="Times New Roman" w:hAnsi="Times New Roman"/>
          <w:sz w:val="20"/>
        </w:rPr>
        <w:t xml:space="preserve">Major depressive disorder (“MDD”) is a prevalent psychiatric illness characterized by episodes of depressed mood, cognitive disturbances, and diminished interest or pleasure in activities lasting for at least two weeks. A subset of patients with MDD who do not achieve an adequate response after at least two antidepressant treatments are considered to have treatment-resistant depression. It is estimated that more than one-third of patients with medication-treated MDD meet criteria for TRD, representing approximately 2.8 to 3 million adults in the United States. Patients with TRD experience higher hospitalization rates, increased suicide risk, greater psychiatric comorbidity, and limited effective treatment options. </w:t>
      </w:r>
    </w:p>
    <w:p>
      <w:pPr>
        <w:pStyle w:val="TextBody"/>
        <w:bidi w:val="0"/>
        <w:spacing w:before="240" w:after="0"/>
        <w:jc w:val="left"/>
        <w:rPr>
          <w:rFonts w:ascii="Times New Roman" w:hAnsi="Times New Roman"/>
          <w:sz w:val="20"/>
        </w:rPr>
      </w:pPr>
      <w:r>
        <w:rPr>
          <w:rFonts w:ascii="Times New Roman" w:hAnsi="Times New Roman"/>
          <w:sz w:val="20"/>
        </w:rPr>
        <w:t xml:space="preserve">Propofol and dexmedetomidine have an established clinical safety database as widely used anesthetic agents. Additionally, several early-phase clinical studies have suggested that propofol may have rapid-acting antidepressant effects in patients with TRD. Cyclerion is developing CYC-126 to incorporate a proprietary, technology-enabled delivery approach designed to achieve and maintain specific electroencephalogram (“EEG”) states. The Company believes that controlled sedation may modulate communication among brain regions that are dysregulated in patients with TRD.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in 2018 to focus on the treatment of serious diseases with novel sGC stimulators in both the central nervous system (CNS) and the periphery. Since that time, our strategy for Cyclerion has changed and our sGC assets zagociquat and CY3018 were sold in 2023 to Tisento, we out-licensed praliciguat in 2021. We also entered into a non-binding license option agreement for olinciguat in 2024 which was terminated in 2025. Our prior strategy to conduct research and development on sGC stimulators has been discontinued and we do not intend to internally pursue research and development or commercialization with any sGC asset.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high-level summary of our historical sGC portfolio: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9"/>
        <w:gridCol w:w="120"/>
        <w:gridCol w:w="2801"/>
        <w:gridCol w:w="120"/>
        <w:gridCol w:w="2849"/>
        <w:gridCol w:w="120"/>
        <w:gridCol w:w="2516"/>
      </w:tblGrid>
      <w:tr>
        <w:trPr/>
        <w:tc>
          <w:tcPr>
            <w:tcW w:w="1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r>
      <w:tr>
        <w:trPr/>
        <w:tc>
          <w:tcPr>
            <w:tcW w:w="1679"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921"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96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36"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79"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Program</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01" w:type="dxa"/>
            <w:tcBorders>
              <w:bottom w:val="single" w:sz="6" w:space="0" w:color="000000"/>
            </w:tcBorders>
            <w:tcMar>
              <w:bottom w:w="28" w:type="dxa"/>
            </w:tcMar>
            <w:vAlign w:val="center"/>
          </w:tcPr>
          <w:p>
            <w:pPr>
              <w:pStyle w:val="TableContents"/>
              <w:bidi w:val="0"/>
              <w:spacing w:before="0" w:after="283"/>
              <w:jc w:val="left"/>
              <w:rPr>
                <w:b/>
              </w:rPr>
            </w:pPr>
            <w:r>
              <w:rPr>
                <w:b/>
              </w:rPr>
              <w:t>Indication(s)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49"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6"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Status</w:t>
            </w:r>
          </w:p>
        </w:tc>
      </w:tr>
      <w:tr>
        <w:trPr/>
        <w:tc>
          <w:tcPr>
            <w:tcW w:w="1679" w:type="dxa"/>
            <w:tcBorders>
              <w:left w:val="single" w:sz="6" w:space="0" w:color="000000"/>
            </w:tcBorders>
            <w:tcMar>
              <w:left w:w="160" w:type="dxa"/>
            </w:tcMar>
            <w:vAlign w:val="center"/>
          </w:tcPr>
          <w:p>
            <w:pPr>
              <w:pStyle w:val="TableContents"/>
              <w:bidi w:val="0"/>
              <w:spacing w:before="0" w:after="283"/>
              <w:jc w:val="left"/>
              <w:rPr/>
            </w:pPr>
            <w:r>
              <w:rPr/>
              <w:t> </w:t>
            </w:r>
          </w:p>
        </w:tc>
        <w:tc>
          <w:tcPr>
            <w:tcW w:w="2921"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969" w:type="dxa"/>
            <w:gridSpan w:val="2"/>
            <w:tcBorders>
              <w:left w:val="single" w:sz="6" w:space="0" w:color="000000"/>
            </w:tcBorders>
            <w:tcMar>
              <w:left w:w="28" w:type="dxa"/>
            </w:tcMar>
            <w:vAlign w:val="center"/>
          </w:tcPr>
          <w:p>
            <w:pPr>
              <w:pStyle w:val="TableContents"/>
              <w:bidi w:val="0"/>
              <w:spacing w:before="0" w:after="283"/>
              <w:jc w:val="left"/>
              <w:rPr/>
            </w:pPr>
            <w:r>
              <w:rPr/>
              <w:t> </w:t>
            </w:r>
          </w:p>
        </w:tc>
        <w:tc>
          <w:tcPr>
            <w:tcW w:w="2636"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679"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Zagociguat (CNS-penetrant)</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01" w:type="dxa"/>
            <w:tcBorders>
              <w:bottom w:val="single" w:sz="6" w:space="0" w:color="000000"/>
            </w:tcBorders>
            <w:tcMar>
              <w:bottom w:w="28" w:type="dxa"/>
            </w:tcMar>
            <w:vAlign w:val="center"/>
          </w:tcPr>
          <w:p>
            <w:pPr>
              <w:pStyle w:val="TableContents"/>
              <w:bidi w:val="0"/>
              <w:spacing w:before="0" w:after="283"/>
              <w:jc w:val="left"/>
              <w:rPr/>
            </w:pPr>
            <w:r>
              <w:rPr/>
              <w:t>MELAS syndrome (mitochondrial encephalopathy, lactic acidosis, and stroke-like episodes syndrome), cognitive impairment</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849" w:type="dxa"/>
            <w:tcBorders>
              <w:bottom w:val="single" w:sz="6" w:space="0" w:color="000000"/>
            </w:tcBorders>
            <w:tcMar>
              <w:bottom w:w="28" w:type="dxa"/>
            </w:tcMar>
            <w:vAlign w:val="center"/>
          </w:tcPr>
          <w:p>
            <w:pPr>
              <w:pStyle w:val="TableContents"/>
              <w:bidi w:val="0"/>
              <w:spacing w:before="0" w:after="283"/>
              <w:jc w:val="left"/>
              <w:rPr/>
            </w:pPr>
            <w:r>
              <w:rPr/>
              <w:t>Zagociguat is a CNS-penetrant sGC stimulator that has shown rapid improvements across a range of endpoints reflecting multiple domains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16"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Sold to Tisento as part of the Asset Purchase Agreement in July 2023. On January 8, 2026, Tisento announced completion of enrollment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600"/>
        <w:gridCol w:w="120"/>
        <w:gridCol w:w="2284"/>
        <w:gridCol w:w="120"/>
        <w:gridCol w:w="2569"/>
        <w:gridCol w:w="120"/>
        <w:gridCol w:w="3392"/>
      </w:tblGrid>
      <w:tr>
        <w:trPr/>
        <w:tc>
          <w:tcPr>
            <w:tcW w:w="1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Program</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84" w:type="dxa"/>
            <w:tcBorders>
              <w:bottom w:val="single" w:sz="6" w:space="0" w:color="000000"/>
            </w:tcBorders>
            <w:tcMar>
              <w:bottom w:w="28" w:type="dxa"/>
            </w:tcMar>
            <w:vAlign w:val="center"/>
          </w:tcPr>
          <w:p>
            <w:pPr>
              <w:pStyle w:val="TableContents"/>
              <w:bidi w:val="0"/>
              <w:spacing w:before="0" w:after="283"/>
              <w:jc w:val="left"/>
              <w:rPr>
                <w:b/>
              </w:rPr>
            </w:pPr>
            <w:r>
              <w:rPr>
                <w:b/>
              </w:rPr>
              <w:t>Indication(s)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69"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3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Status</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associated with schizophrenia, and Alzheimer’s Disease with Vascular Pathology (ADV)</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of disease activity, including mitochondrial disease-associated biomarkers.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in PRIZM, a global phase 2b study of zagociguat for the treatment of MELAS. Zagociguat received Fast Track designation in June 2025 from the U.S. Food and Drug Administration for the treatment of MELAS.</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CY3018 (CNS-penetrant)</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Neuropsychiatric disorders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CY3018 is a CNS-penetrant sGC stimulator in preclinical development that has potential for the treatment of neuropsychiatric diseases and disorders.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Sold to Tisento as part of the Asset Purchase Agreement in July 2023.</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tcBorders>
            <w:tcMar>
              <w:left w:w="160" w:type="dxa"/>
            </w:tcMar>
            <w:vAlign w:val="center"/>
          </w:tcPr>
          <w:p>
            <w:pPr>
              <w:pStyle w:val="TableContents"/>
              <w:bidi w:val="0"/>
              <w:spacing w:before="0" w:after="283"/>
              <w:jc w:val="left"/>
              <w:rPr/>
            </w:pPr>
            <w:r>
              <w:rPr/>
              <w:t>Praliciguat (peripheral)</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Focal Segmental Glomerulosclerosis (FSGS)</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569" w:type="dxa"/>
            <w:tcBorders/>
            <w:vAlign w:val="center"/>
          </w:tcPr>
          <w:p>
            <w:pPr>
              <w:pStyle w:val="TableContents"/>
              <w:bidi w:val="0"/>
              <w:spacing w:before="0" w:after="283"/>
              <w:jc w:val="left"/>
              <w:rPr/>
            </w:pPr>
            <w:r>
              <w:rPr/>
              <w:t>Praliciguat is a systemic sGC stimulator that is licensed to Akebia for the treatment of a rare kidney disease.</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3392" w:type="dxa"/>
            <w:tcBorders>
              <w:right w:val="single" w:sz="6" w:space="0" w:color="000000"/>
            </w:tcBorders>
            <w:tcMar>
              <w:right w:w="40" w:type="dxa"/>
            </w:tcMar>
            <w:vAlign w:val="center"/>
          </w:tcPr>
          <w:p>
            <w:pPr>
              <w:pStyle w:val="TableContents"/>
              <w:bidi w:val="0"/>
              <w:spacing w:before="0" w:after="283"/>
              <w:jc w:val="left"/>
              <w:rPr/>
            </w:pPr>
            <w:r>
              <w:rPr/>
              <w:t>Out-licensed to Akebia in 2021 and renegotiated terms effective December 2024. In December 2025, Akebia announced that the first patient has been dosed in a Phase 2 clinical trial of praliciguat. In February 2026, we received a $1,000,000 milestone payment from Akebia tied to the commencement of the</w:t>
            </w:r>
          </w:p>
        </w:tc>
      </w:tr>
      <w:tr>
        <w:trPr/>
        <w:tc>
          <w:tcPr>
            <w:tcW w:w="1600"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4"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689"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3512"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60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Olinciguat (peripheral)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284" w:type="dxa"/>
            <w:tcBorders>
              <w:bottom w:val="single" w:sz="6" w:space="0" w:color="000000"/>
            </w:tcBorders>
            <w:tcMar>
              <w:bottom w:w="28" w:type="dxa"/>
            </w:tcMar>
            <w:vAlign w:val="center"/>
          </w:tcPr>
          <w:p>
            <w:pPr>
              <w:pStyle w:val="TableContents"/>
              <w:bidi w:val="0"/>
              <w:spacing w:before="0" w:after="283"/>
              <w:jc w:val="left"/>
              <w:rPr/>
            </w:pPr>
            <w:r>
              <w:rPr/>
              <w:t>Cardiovascular diseases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569" w:type="dxa"/>
            <w:tcBorders>
              <w:bottom w:val="single" w:sz="6" w:space="0" w:color="000000"/>
            </w:tcBorders>
            <w:tcMar>
              <w:bottom w:w="28" w:type="dxa"/>
            </w:tcMar>
            <w:vAlign w:val="center"/>
          </w:tcPr>
          <w:p>
            <w:pPr>
              <w:pStyle w:val="TableContents"/>
              <w:bidi w:val="0"/>
              <w:spacing w:before="0" w:after="283"/>
              <w:jc w:val="left"/>
              <w:rPr/>
            </w:pPr>
            <w:r>
              <w:rPr/>
              <w:t>Olinciguat is a vascular sGC stimulator</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392"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Cyclerion entered into an exclusive non-binding license option agreement in July 2024 but terminated it in 2025. Cyclerion is currently exploring potential license opportunities.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status of sGC stimulator assets that are either licensed or may be divested to other entities: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28310" cy="1010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28310" cy="10109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Akebia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3, 2021, we entered into a License Agreement with Akebia (the “Akebia License Agreement”) relating to the exclusive worldwide license to Akebia of our rights to the development, manufacture, medical affairs and commercialization of pharmaceutical products containing the pharmaceutical compound known as praliciguat and other related products and forms thereof enumerated in the Akebia License Agreement. Pursuant to the Akebia License Agreement, Akebia will be responsible for all future research, development, regulatory, and commercialization activities for the out-licensed praliciguat products. In 2021, Akebia paid a $3.0 million upfront payment to us upon signing of the Akebia License Agreement. </w:t>
      </w:r>
    </w:p>
    <w:p>
      <w:pPr>
        <w:pStyle w:val="TextBody"/>
        <w:bidi w:val="0"/>
        <w:spacing w:before="240" w:after="0"/>
        <w:jc w:val="left"/>
        <w:rPr>
          <w:rFonts w:ascii="Times New Roman" w:hAnsi="Times New Roman"/>
          <w:sz w:val="20"/>
        </w:rPr>
      </w:pPr>
      <w:r>
        <w:rPr>
          <w:rFonts w:ascii="Times New Roman" w:hAnsi="Times New Roman"/>
          <w:sz w:val="20"/>
        </w:rPr>
        <w:t>On December 13, 2024, we announced that Cyclerion and Akebia re-negotiated a mutually beneficial amendment to Akebia’s exclusive license agreement for praliciguat, a systemic sGC stimulator. Under this new license amendment, we will receive $1.75 million in amendment payments, of which $1.25 million was paid in December 2024 and an additional payment of $0.5 million is due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this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the Akebia License Agreement will expire on a product-by-product and country-by-country basis upon the expiration of the last royalty term, which ends upon the longest of (i) the expiration of the patents licensed under the Akebia License Agreement, (ii) the expiration of regulatory exclusivity for such product, and (iii) 10 years from first commercial sale of such product. Akebia may terminate the Akebia License Agreement in its entirety or only with respect to a particular licensed compound or product upon 180 days’ prior written notice to Cyclerion, subject to certain obligations to license back to Cyclerion licensed compounds and candidates and related assets. The parties also have customary termination rights, subject to a cure period, in the event of the other party’s material breach of the Akebia License Agreement or in the event of certain additional circumstances. </w:t>
      </w:r>
    </w:p>
    <w:p>
      <w:pPr>
        <w:pStyle w:val="TextBody"/>
        <w:bidi w:val="0"/>
        <w:spacing w:before="240" w:after="0"/>
        <w:jc w:val="left"/>
        <w:rPr>
          <w:rFonts w:ascii="Times New Roman" w:hAnsi="Times New Roman"/>
          <w:sz w:val="20"/>
        </w:rPr>
      </w:pPr>
      <w:r>
        <w:rPr>
          <w:rFonts w:ascii="Times New Roman" w:hAnsi="Times New Roman"/>
          <w:sz w:val="20"/>
        </w:rPr>
        <w:t>In January 2026, Akebia announced that the first patient was dosed in a Phase 2 clinical trial evaluating praliciguat for focal segmental glomerulosclerosis (FSGS), a rare kidney disease. The randomized, double-blind, placebo-controlled study is designed to evaluate the efficacy and safety of praliciguat, an oral soluble guanylate cyclase (sGC) stimulator, in approximately 60 adult patients.</w:t>
      </w:r>
    </w:p>
    <w:p>
      <w:pPr>
        <w:pStyle w:val="TextBody"/>
        <w:bidi w:val="0"/>
        <w:spacing w:before="240" w:after="0"/>
        <w:jc w:val="left"/>
        <w:rPr>
          <w:rFonts w:ascii="Times New Roman" w:hAnsi="Times New Roman"/>
          <w:sz w:val="20"/>
        </w:rPr>
      </w:pPr>
      <w:r>
        <w:rPr>
          <w:rFonts w:ascii="Times New Roman" w:hAnsi="Times New Roman"/>
          <w:sz w:val="20"/>
        </w:rPr>
        <w:t xml:space="preserve">Cyclerion is not responsible for the conduct of this study, and there can be no assurance regarding the timing, outcome, or potential commercialization of praliciguat.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Tisento Asset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11, 2023, we entered into an Asset Purchase Agreement (the “Asset Purchase Agreement”) with an investor group that included Peter Hecht (our former CEO), JW Celtics Investment Corp and JW Cycle Inc. which subsequently changed their names to Tisento Therapeutics Holdings Inc. (“Tisento Parent”) and Tisento Therapeutics Inc. (“Tisento”). Upon the closing in July 2023, following receipt of approval by the Cyclerion stockholders of the transactions contemplated by the Asset Purchase Agreement, we sold to Tisento certain assets (the “Transferred Assets”) and Tisento assumed certain liabilities relating thereto. In consideration for such sale and assumption, at the closing we received proceeds of $8.0 million as cash consideration, $2.4 million as reimbursement for certain operating expenses related to such assets for the period between signing and closing of the Asset Purchase Agreement, and shares of common stock of Tisento Parent comprising 10% of the then issued and outstanding equity securities of Tisento Parent immediately following such closing, subject to certain protections against future potential dilution.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Asset Purchase Agreement, we agreed not to compete with Tisento through July 2028 either alone or directly or indirectly with or through any affiliate or third party, initiate investigational new drug (“IND”)-enabling preclinical development, develop, commercially manufacture, commercialize, or otherwise exploit any compound or product that is (A) a CNS-penetrant sGC stimulator, (B) developed for the treatment of a program indication, and (C) reasonably expected to compete with any compound or product in a purchased program for the treatment of a program indication (any such compound or product, a “Cyclerion Competing Product”) anywhere in the world, or (ii) license, convey, grant, or otherwise transfer any rights to any third party to initiate IND-enabling preclinical development, develop, commercially manufacture, commercialize, or otherwise exploit a Cyclerion Competing Product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2025, Tisento Therapeutics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In June 2025, Tisento announced that it had received from the U.S, FDA “Fast Track Designation” for MELAS, lactic acidosis and certain Stroke-like Episodes. </w:t>
      </w:r>
    </w:p>
    <w:p>
      <w:pPr>
        <w:pStyle w:val="TextBody"/>
        <w:bidi w:val="0"/>
        <w:spacing w:before="240" w:after="0"/>
        <w:jc w:val="left"/>
        <w:rPr>
          <w:rFonts w:ascii="Times New Roman" w:hAnsi="Times New Roman"/>
          <w:sz w:val="20"/>
        </w:rPr>
      </w:pPr>
      <w:r>
        <w:rPr>
          <w:rFonts w:ascii="Times New Roman" w:hAnsi="Times New Roman"/>
          <w:sz w:val="20"/>
        </w:rPr>
        <w:t xml:space="preserve">PRIZM - a </w:t>
      </w:r>
      <w:r>
        <w:rPr>
          <w:rFonts w:ascii="Times New Roman" w:hAnsi="Times New Roman"/>
          <w:b/>
          <w:sz w:val="20"/>
        </w:rPr>
        <w:t>P</w:t>
      </w:r>
      <w:r>
        <w:rPr>
          <w:rFonts w:ascii="Times New Roman" w:hAnsi="Times New Roman"/>
          <w:sz w:val="20"/>
        </w:rPr>
        <w:t xml:space="preserve">hase 2b </w:t>
      </w:r>
      <w:r>
        <w:rPr>
          <w:rFonts w:ascii="Times New Roman" w:hAnsi="Times New Roman"/>
          <w:b/>
          <w:sz w:val="20"/>
        </w:rPr>
        <w:t>R</w:t>
      </w:r>
      <w:r>
        <w:rPr>
          <w:rFonts w:ascii="Times New Roman" w:hAnsi="Times New Roman"/>
          <w:sz w:val="20"/>
        </w:rPr>
        <w:t xml:space="preserve">andomized, Placebo-Controlled Trial </w:t>
      </w:r>
      <w:r>
        <w:rPr>
          <w:rFonts w:ascii="Times New Roman" w:hAnsi="Times New Roman"/>
          <w:b/>
          <w:sz w:val="20"/>
        </w:rPr>
        <w:t>I</w:t>
      </w:r>
      <w:r>
        <w:rPr>
          <w:rFonts w:ascii="Times New Roman" w:hAnsi="Times New Roman"/>
          <w:sz w:val="20"/>
        </w:rPr>
        <w:t xml:space="preserve">nvestigating </w:t>
      </w:r>
      <w:r>
        <w:rPr>
          <w:rFonts w:ascii="Times New Roman" w:hAnsi="Times New Roman"/>
          <w:b/>
          <w:sz w:val="20"/>
        </w:rPr>
        <w:t>Z</w:t>
      </w:r>
      <w:r>
        <w:rPr>
          <w:rFonts w:ascii="Times New Roman" w:hAnsi="Times New Roman"/>
          <w:sz w:val="20"/>
        </w:rPr>
        <w:t xml:space="preserve">agociguat in </w:t>
      </w:r>
      <w:r>
        <w:rPr>
          <w:rFonts w:ascii="Times New Roman" w:hAnsi="Times New Roman"/>
          <w:b/>
          <w:sz w:val="20"/>
        </w:rPr>
        <w:t>M</w:t>
      </w:r>
      <w:r>
        <w:rPr>
          <w:rFonts w:ascii="Times New Roman" w:hAnsi="Times New Roman"/>
          <w:sz w:val="20"/>
        </w:rPr>
        <w:t xml:space="preserve">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that will enroll approximately 44 participants at mitochondrial disease centers of excellence in the U.S., Italy, Germany, United Kingdom, Australia, and Canada. See ClinicalTrials.gov (NCT06402123)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2026, Tisento announced completion of enrollment in the global Phase 2b PRIZM clinical trial evaluating oral zagociguat for the treatment of mitochondrial encephalomyopathy, lactic acidosis, and stroke-like episodes (MELAS). The study enrolled approximately 43 participants, and Tisento has indicated that top-line results are expected in the fourth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does not control the conduct of this study and cannot provide assurance regarding its outcome or timing. </w:t>
      </w:r>
    </w:p>
    <w:p>
      <w:pPr>
        <w:pStyle w:val="TextBody"/>
        <w:bidi w:val="0"/>
        <w:spacing w:before="360" w:after="0"/>
        <w:jc w:val="left"/>
        <w:rPr>
          <w:rFonts w:ascii="Times New Roman" w:hAnsi="Times New Roman"/>
          <w:b/>
          <w:sz w:val="20"/>
        </w:rPr>
      </w:pPr>
      <w:r>
        <w:rPr>
          <w:rFonts w:ascii="Times New Roman" w:hAnsi="Times New Roman"/>
          <w:b/>
          <w:sz w:val="20"/>
        </w:rPr>
        <w:t xml:space="preserve">Olinciguat </w:t>
      </w:r>
    </w:p>
    <w:p>
      <w:pPr>
        <w:pStyle w:val="TextBody"/>
        <w:bidi w:val="0"/>
        <w:spacing w:before="12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the Optionee was terminating the Option Agreement. We are currently exploring potential strategic opportunities for olinciguat.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protect the intellectual property and proprietary technology that we believe is important to our business, including by pursuing and maintaining U.S. and foreign patents that cover our product candidates and compositions, their methods of use and the processes for their preparation, as well as any other relevant inventions and improvements that are commercially important to the development of our business. We also rely on trade secrets to protect aspects of our business that are not amenable to, or that we do not consider appropriate for, patent protection. We expect to also rely on licenses for patented intellectual property owned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continue to progress the development of our product candidates, our commercial success depends in part on our ability to obtain and maintain patent and other proprietary protection for commercially important technology, inventions, improvements and know-how related to our business, defend and enforce our patents, preserve the confidentiality of our trade secrets and operate without infringing the valid and enforceable patents and proprietary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have 22 issued U.S. patents, 12 pending U.S. patents applications and numerous foreign patents and pending patent applications related to our sGC programs. Patent families are filed either as utility U.S. patents or under an international patent law treaty (PCT) that provides a unified procedure for filing a single initial patent application to seek patent protection for an invention simultaneously in each of the 158 contracting states, followed by the process of entering national phase, which requires a separate application in each of the member states in which national patent protection is sought. </w:t>
      </w:r>
    </w:p>
    <w:p>
      <w:pPr>
        <w:pStyle w:val="TextBody"/>
        <w:bidi w:val="0"/>
        <w:spacing w:before="240" w:after="0"/>
        <w:jc w:val="left"/>
        <w:rPr>
          <w:rFonts w:ascii="Times New Roman" w:hAnsi="Times New Roman"/>
          <w:sz w:val="20"/>
        </w:rPr>
      </w:pPr>
      <w:r>
        <w:rPr>
          <w:rFonts w:ascii="Times New Roman" w:hAnsi="Times New Roman"/>
          <w:sz w:val="20"/>
        </w:rPr>
        <w:t>For our TRD strategy, we have licensed a patent application from MIT. We also hold an option to license certain technology owned by Medsteer, a leading technology provider of closed loop anesthesia delivery systems, under the Collaboration Agreement. The patent application licensed from MIT has not yet been granted. If we continue to progress the development of our product candidates, we intend to apply for certain U.S. and foreign patents related to our TRD product strategy.</w:t>
      </w:r>
    </w:p>
    <w:p>
      <w:pPr>
        <w:pStyle w:val="TextBody"/>
        <w:bidi w:val="0"/>
        <w:spacing w:before="240" w:after="0"/>
        <w:jc w:val="left"/>
        <w:rPr>
          <w:rFonts w:ascii="Times New Roman" w:hAnsi="Times New Roman"/>
          <w:sz w:val="20"/>
        </w:rPr>
      </w:pPr>
      <w:r>
        <w:rPr>
          <w:rFonts w:ascii="Times New Roman" w:hAnsi="Times New Roman"/>
          <w:sz w:val="20"/>
        </w:rPr>
        <w:t xml:space="preserve">The technology underlying our sGC patents and pending patent applications has been developed by us and was not acquired from any in-licensing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intellectual property portfolios for our most advanced product candidates in the sGC space (praliciguat and olinciguat)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Praliciguat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praliciguat patent portfolio includes 14 U.S. issued patents, 9 pending U.S. patent applications, and numerous patents and pending patent applications in foreign jurisdiction.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9,481,689, which will expire in 2034, is directed to praliciguat and pharmaceutical compositions thereof. The term of this U.S. patent may be eligible for patent term extension as described below. Three other U.S. patents, US 8,748,442, US 9,139,564, and 10,189,809, expire in 2031, and provide generic coverage of praliciguat and intermediates used in the preparation of praliciguat,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compounds related to praliciguat, respectively. A fifth U.S. patent, US 10,183,021 will expire in 2034 and is directed to the treatment of resistant hypertension with praliciguat or combinations of praliciguat and known anti-hypertensives. A sixth U.S. patent, US 10,639,308 will expire in 2034 and is directed to the treatment of diabetic nephropathy with praliciguat or combinations of praliciguat with other agents. The seventh U.S. patent, US 10,927,136 covers phosphorus prodrugs of praliciguat and will expire in 2037. The eighth U.S. Patent, US 11,389,449, is directed to the treatment of metabolic syndrome with praliciguat and will expire in 2038. The ninth U.S. Patent, US 11,357,777, is directed to the treatment of a severe form of liver disease named nonalcoholic steatohepatitis (NASH) with praliciguat and other compounds and will expire in 2039. The tenth to fourteenth U.S. Patents, US 11,319,308 (expiring in 2039), US 11,773,089 (expiring in 2037), US 11,274,096 (expiring in 2039), US 11,708,361 (expiring in 2039) and US 12,275,724 (expiring in 2039) are directed to the syntheses of praliciguat or of intermediates useful in the manufacture of praliciguat.</w:t>
      </w:r>
    </w:p>
    <w:p>
      <w:pPr>
        <w:pStyle w:val="TextBody"/>
        <w:bidi w:val="0"/>
        <w:spacing w:before="240" w:after="0"/>
        <w:jc w:val="left"/>
        <w:rPr>
          <w:rFonts w:ascii="Times New Roman" w:hAnsi="Times New Roman"/>
          <w:sz w:val="20"/>
        </w:rPr>
      </w:pPr>
      <w:r>
        <w:rPr>
          <w:rFonts w:ascii="Times New Roman" w:hAnsi="Times New Roman"/>
          <w:sz w:val="20"/>
        </w:rPr>
        <w:t xml:space="preserve">Two pending U.S. patent applications that, if issued, will expire in 2031 and 2034, respectively, provide generic coverage for praliciguat composition of matter. Two additional U.S. patent applications that, if issued, will expire in 2037 and 2039, respectively, provide coverage for methods of large-scale preparation of praliciguat. We also have a pending U.S. application directed to a praliciguat formulation, that, if issued, will expire in 2036. Another pending U.S. application is directed to phosphorous prodrugs of praliciguat and, if issued, will expire in 2037. </w:t>
      </w:r>
    </w:p>
    <w:p>
      <w:pPr>
        <w:pStyle w:val="TextBody"/>
        <w:bidi w:val="0"/>
        <w:spacing w:before="240" w:after="0"/>
        <w:jc w:val="left"/>
        <w:rPr>
          <w:rFonts w:ascii="Times New Roman" w:hAnsi="Times New Roman"/>
          <w:sz w:val="20"/>
        </w:rPr>
      </w:pPr>
      <w:r>
        <w:rPr>
          <w:rFonts w:ascii="Times New Roman" w:hAnsi="Times New Roman"/>
          <w:sz w:val="20"/>
        </w:rPr>
        <w:t xml:space="preserve">Another of the U.S. pending applications is directed to methods of treating diabetic nephropathy with praliciguat, and if issued, will expire in 2040 or later. Another of the U.S. pending applications is directed to the use of certain sGC stimulators, including praliciguat for the treatment of HFpEF in post-menopausal women and, if issued, will expire in 2042.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eight granted European patents expiring between 2031 and 2039. Each of these patents is validated in multiple countries or registered in multiple countries as a European Unitary Patent. We hold nine granted Japanese patents expiring between 2031 and 2040. We also have numerous patent applications pending in foreign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Olinciguat Patent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olinciguat patent portfolio includes 16 U.S. issued patents, five pending U.S. patent applications and numerous patents and pending applications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U.S. patents, US 9,586,937, which will expire in 2034, is directed to olinciguat and pharmaceutical compositions thereof. The term of this U.S. patent may be eligible for patent term extension as described below. Three other U.S. patents, US 8,748,442, US 9,139,564, and US 10,189,809, expire in 2031, and provide generic coverage of olinciguat, intermediates used in the preparation of olinciguat, and compounds related to olinciguat, respectively. The fifth U.S. patent, US 10,517,874, which will expire in 2034 is directed to the treatment of SCD using olinciguat alone or in combinations with other therapeutic agents. The sixth and seventh U.S. issued patents, US 10,889,577, and US 11,572,358, will expire in 2037 and are directed to polymorphs of olinciguat. The eighth issued patent, US 11,207,323, will expire in 2034 and provides coverage for stereoisomers of olinciguat. Seven more U.S. issued patents, US 11,319,308 (expiring in 2039), US 11,773,089 (expiring in 2037), US 11,274,096 (expiring in 2039), US 11,834,444 (expiring in 2038), US 12,030,874 (expiring in 2039), US 12,247,025 (expiring in 2037 ), and US 12,275, 724 (expiring in 2039) are directed to the chiral syntheses of olinciguat or the syntheses of intermediates useful in the manufacture of olinciguat. The last U.S. issued patent, US 11,357,777, is directed to the treatment of NASH with olinciguat and other compounds and will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One pending U.S. patent application, if issued, will expire in 2037 and provides additional coverage for polymorphs of olinciguat. Two pending U.S. patent applications, if issued, will expire in 2031 and 2034, respectively, and provides generic coverage for olinciguat. One pending U.S. patent application is directed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processes and synthetic intermediates for preparing olinciguat and, will expire in 2037. A fifth pending U.S. patent application is directed to the treatment of heart failure with preserved ejection fraction (HFpEF) in post-menopausal women with olinciguat and other sGC stimulators. If issued, the corresponding patent will expire in 2042.</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nine granted European patents expiring between 2031 and 2039 each of them validated in multiple countries or registered in multiple countries as Unitary European Patents; eight granted Japanese patents expiring between 2031 and 2039; seven granted Chinese patents expiring between 2031 and 2039; and a large number of issued patents in other foreign jurisdictions, expiring between 2031 and 2039. We also have numerous pending patent applications in foreign jurisdictions. Some of these patents may be eligible for patent term extension or the foreign jurisdiction equivalent, depending on the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w:t>
      </w:r>
    </w:p>
    <w:p>
      <w:pPr>
        <w:pStyle w:val="TextBody"/>
        <w:bidi w:val="0"/>
        <w:spacing w:before="240" w:after="0"/>
        <w:jc w:val="left"/>
        <w:rPr>
          <w:rFonts w:ascii="Times New Roman" w:hAnsi="Times New Roman"/>
          <w:sz w:val="20"/>
        </w:rPr>
      </w:pPr>
      <w:r>
        <w:rPr>
          <w:rFonts w:ascii="Times New Roman" w:hAnsi="Times New Roman"/>
          <w:sz w:val="20"/>
        </w:rPr>
        <w:t xml:space="preserve">The term of individual patents depends upon the legal term of the patents in the countries in which they are obtained. In most countries in which we file, the patent term is 20 years from the earliest date of filing a non-provisional patent application, assuming that all applicable maintenance or annuity fees are paid. In the United States, and China, a patent’s term may be lengthened by patent term adjustment, which compensates a patentee for administrative delays by the respective patent offices, in examining and granting a patent, or, in the US, the term may be shortened if a patent is terminally disclaimed over an earlier-filed patent.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regulatory-related extensions, the availability of legal remedies in that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 of a U.S. patent that covers an US Food and Drug Administration (FDA)-approved drug may be eligible for patent term extension under the Drug Price Competition and Hatch-Waxman Act, to account for some of the time the drug is under development and regulatory review after the patent is granted. For a drug for which FDA approval is the first permitted marketing of the active ingredient, the Hatch-Waxman Act allows for extension of the term of one U.S. patent that includes at least one claim covering the composition of matter of an FDA-approved drug (drug substance or drug product), an FDA-approved method of treatment using the drug and/or a method of manufacturing the FDA-approved drug. The extended patent term cannot exceed the shorter of five years beyond the non-extended expiration of the patent or 14 years from the date of the FDA approval of the drug. Some foreign jurisdictions, including Europe, Japan, and China, have similar patent term extension provisions, which allow for extension of the term of a patent that covers a drug approved by the applicable foreign regulatory agency.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Secrets and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patents, we rely upon unpatented trade secrets and know-how and continuing technological innovation to develop and maintain our competitive position. We typically rely on trade secrets to protect aspects of our business that are not amenable to, or that we do not consider appropriate for, patent protection. We protect our proprietary information, including trade secrets and know-how, by establishing confidentiality agreements with our commercial partners, collaborators, scientific advisors, employees and consultants and invention assignment agreements with our employees, consultants, scientific advisors and contractors. These agreements generally provide that all confidential information developed or made known during the course of an individual or entities’ relationship with us must be kept confidential during and after the relationship. These agreements also typically provide that all inventions resulting from work performed for us or relating to our business and conceived or completed during the period of employment or assignment, as applicable, shall be our exclusive property. These agreements are designed to protect our proprietary information and, in the case of the invention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assignment agreements, to grant us ownership of technologies that are developed through a relationship with a third party. However, these agreements may be breached, and we may not have adequate remedies for any breach. We also take other appropriate precautions, such as physical and technological security measures, to guard against misappropriation of our proprietary information by third parties.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United States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regulates medical products, including prescription drugs under the Federal Food, Drug and Cosmetic Act, or FDCA, and its implementing regulations. Products are also subject to other federal, state and local statutes and regulations. The process of obtaining regulatory approvals and the subsequent compliance with applicable federal, state, local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debarment, or civil or criminal investigations and penalties brought by the FDA, the Department of Justice, State Attorneys General, or other governmental entities. </w:t>
      </w:r>
    </w:p>
    <w:p>
      <w:pPr>
        <w:pStyle w:val="TextBody"/>
        <w:bidi w:val="0"/>
        <w:spacing w:before="240" w:after="0"/>
        <w:jc w:val="left"/>
        <w:rPr>
          <w:rFonts w:ascii="Times New Roman" w:hAnsi="Times New Roman"/>
          <w:sz w:val="20"/>
        </w:rPr>
      </w:pPr>
      <w:r>
        <w:rPr>
          <w:rFonts w:ascii="Times New Roman" w:hAnsi="Times New Roman"/>
          <w:sz w:val="20"/>
        </w:rPr>
        <w:t xml:space="preserve">The process required by the FDA before a drug may be approved and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extensive nonclinical laboratory and animal studies conducted in accordance with applicable regulations, including GLP regulations and applicable requirements for the humane use of laboratory animals;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commence;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to proceed with initiating the clinical trial at each corresponding investigational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applicable IND regulations, GCPs and other clinical-trial related regulations to establish the safety and efficacy of the product for each proposed indication;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an NDA;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such as pre-approval inspection(s) of the manufacturing facility or facilities at which the product, or components thereof, are made to assess compliance with current GMP;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NDA; and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acceptance, review and approval of the NDA, which may include an Advisory Committee review.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development and approval process requires substantial time, effort and financial resources and the receipt and timing of any approval is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Nonclinical and Clinical Trials in Support of an NDA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drug product candidate in humans, the product candidate must undergo rigorous nonclinical testing. Nonclinical studies include laboratory evaluations of the product candidate, as well as in vitro and animal studies to assess the potential safety and efficacy of the product candidate. The conduct of nonclinical studies that determine the product safety information for administration to humans must comply with federal regulations and requirements, including GLP regulations. The sponsor must submit the results of the nonclinical studies, together with manufacturing information, analytical data, any available clinical data or literature and a proposed clinical study protocol, to the FDA as part of an IND, which must become effective before clinical trials in a given indication may be commenced. The IND will become effective automatically 30 days after receipt by the FDA, unless the FDA raises concerns or questions about the content of the IND or the conduct of the proposed trial(s) as outlined in the IND prior to that time. In such a case, the IND sponsor must resolve any outstanding concerns with the FDA before the clinical trial(s) can proceed.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product candidate to human subjects under the supervision of qualified investigators in accordance with GCP requirements. Each clinical trial must be reviewed and approved by an IRB for the sites at which the trial will be conducted to ensure that the risks to individuals participating in the clinical trials are minimized and are reasonable in relation to anticipated benefits. The IRB will consider, among other things, ethical factors, the safety of human subjects and the possible liability of the institution. The IRB also approves the informed consent form, including a privacy statement, which must be provided to each clinical trial participant or his or her legal representative, and must monitor the clinical trial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are typically conducted in three sequential phases prior to approval, which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Phase 1 clinical trials generally involve a small number of healthy participants or disease-affected participants who are initially exposed to a single dose and then multiple doses of the product candidate. The primary purpose of these clinical trials is to assess the metabolism, pharmacokinetics, pharmacologic action, side effect tolerability and safety of the drug.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Phase 2 clinical trials usually involve studies in a limited population of participants with a disease or disorder to evaluate the efficacy of the product candidate for specific indications, determine dosage tolerance and optimal dosage, and identify possible adverse effects and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Phase 3 clinical trials generally involve a larger number of participants at multiple sites and are designed to provide the data necessary to demonstrate the effectiveness of the product for its intended use, its safety in use, to establish the overall benefit/risk profile of the product and to provide an adequate basis for product approval by the FDA.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4.</w:t>
            </w:r>
            <w:r>
              <w:rPr>
                <w:rFonts w:ascii="Times New Roman" w:hAnsi="Times New Roman"/>
                <w:sz w:val="20"/>
              </w:rPr>
              <w:t xml:space="preserve"> Post-approval trials, sometimes referred to as Phase 4 clinical trials, may be required to be conducted after approval to gain additional experience from the treatment of participants in the intended therapeutic indication and to document a clinical benefit in the case of drugs approved under accelerated approval regulations, or when otherwise requested by the FDA. Failure to conduct the Phase 4 clinical trials per the plan required by the FDA could result in enforcement action or withdrawal of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new information and changes such as the results of clinical trials, new nonclinical studies, new product quality data, or changes to manufacturing controls must be submitted at least annually to the FDA and more frequently if serious adverse events occur. The FDA or the sponsor may suspend or terminate a clinical trial at any time, or the FDA may impose other sanctions on various grounds, including a finding that the research participants are being exposed to an unacceptable health risk. Similarly, an IRB can suspend or terminate approval of a clinical trial at its institution if the clinical trial is not being conducted in accordance with the requirements of the IRB or if the drug has been associated with unexpected serious harm to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requirements related to registration and reporting of certain clinical trials and completed clinical trial results to public registries.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Submission and Review of an NDA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the required nonclinical and clinical testing, the results of nonclinical studies and clinical trials, together with detailed information on the product’s manufacture, composition, quality controls and proposed labeling, among other things, are submitted to the FDA in the form of an NDA, requesting approval to market the product for one or more indications. The application must be accompanied by a significant user fee payment, which typically increases annually, although waivers may be granted in limited cases (e.g., for products that have received an Orphan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FDA has substantial discretion in the approval process and may refuse to accept any application or decide that the data is insufficient for approval and may require additional nonclinical or clinical studies, or other information (e.g., product quality data or manufacturing controls) before it accepts the filing. If an NDA has been accepted for filing, which occurs 60 days after submission, the FDA sets a user fee goal date that informs the applicant of the specific date by which the FDA intends to complete its review. Under the goals and policies agreed to by the FDA under the Prescription Drug User Fee Act, or PDUFA, for original NDAs, the FDA has ten months from the filing date in which to complete its review of a standard application, and six months from the filing date for an application with priority review. The FDA does not always meet its PDUFA goal dates, and the review process may be significantly extended by FDA requests for additional information and clinical data or clarification.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NDAs to determine, among other things, whether the proposed product is safe and effective for its intended use, and whether the product is being manufactured in accordance with current GMP to assure and preserve the product’s identity, strength, quality and purity. Before approving an NDA, the FDA typically will inspect the facilities at which the product is manufactured and will not approve the product unless the manufacturing facilities comply with current GMP. Additionally, the FDA will frequently inspect one or more clinical trial sites for compliance with GCPs and integrity of the data supporting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During the approval process, the FDA will also prepare an integrated benefit-risk assessment and determine whether a Risk Evaluation and Mitigation Strategy, or REMS, is necessary to ensure that the benefits of the drug outweigh the risks and to assure the safe use of the product. If the FDA concludes a REMS is needed, the sponsor of the application must submit a proposed REMS. A REMS that includes elements to assure safe use, or ETASU, can substantially increase the costs of commercializing a drug. The FDA could also require a special warning, known as a boxed warning, to be included in the product label in order to highlight a particular safety risk. Boxed warnings may limit the type of advertising for a drug. The FDA may also convene an advisory committee of external experts to provide input on certain review issues relating to risk, benefit and interpretation of clinical trial data.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FDA’s evaluation of the NDA and accompanying information, including the results of the inspection of the manufacturing facilities, FDA will issue either an approval letter or a Complete Response Letter. An approval letter authorizes commercial marketing of the drug and is accompanied by specific prescribing information for specific conditions of use. A Complete Response Letter indicates that the review cycle of the application is complete and the application will not be approved in its present form. A Complete Response Letter usually describes all of the specific deficiencies in the submission identified by the FDA and may require additional clinical or other data, additional pivotal Phase 3 clinical trial(s) and/or other significant and time-consuming requirements related to clinical trials, nonclinical studies or manufacturing. If a Complete Response Letter is issued, the applicant may either amend the NDA with data to address the raised concerns, resubmit the NDA addressing all the deficiencies identified in the letter, engage in dispute resolution with the FDA about the identified deficiencies in the CRL, or withdraw the application. Even with submission of this additional information, the FDA may ultimately decide that the re-submitted application does not satisfy the regulatory criteria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intended to treat a rare disease or condition affecting fewer than 200,000 individuals in the United States, or in other limited cases. Orphan drug designation must be requested before submitting an NDA. Orphan drug designation does not convey any advantage in, or shorten the duration of, the regulatory review and approval process, though companies developing orphan drugs may be eligible for certain incentives, including tax credits for qualified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component parts for the same indication for seven years from the date of such approval, except in limited circumstances. Competitors, however, may receive approval of different active component parts for the same indication or obtain approval for the same active component parts for a different indication. If one of our product candidates designated as an orphan drug receives marketing approval for an indication broader than that which is designated, it may not be entitled to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Review and Approval Application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that are intended to expedite development and approval of drugs intended for the treatment of serious or life-threatening diseases or conditions and that demonstrate the potential to address unmet medical needs. </w:t>
      </w:r>
    </w:p>
    <w:p>
      <w:pPr>
        <w:pStyle w:val="TextBody"/>
        <w:bidi w:val="0"/>
        <w:spacing w:before="240" w:after="0"/>
        <w:jc w:val="left"/>
        <w:rPr>
          <w:rFonts w:ascii="Times New Roman" w:hAnsi="Times New Roman"/>
          <w:sz w:val="20"/>
        </w:rPr>
      </w:pPr>
      <w:r>
        <w:rPr>
          <w:rFonts w:ascii="Times New Roman" w:hAnsi="Times New Roman"/>
          <w:sz w:val="20"/>
        </w:rPr>
        <w:t>An application may be eligible for a “fast track” designation for a product that is intended to treat a serious or life-threatening disease or condition and demonstrates the potential to address an unmet medical need. Fast track designation provides opportunities for more frequent interactions with the FDA review team and permits FDA to consider sections of the NDA on a rolling basis before the complete application is submitted.</w:t>
      </w:r>
    </w:p>
    <w:p>
      <w:pPr>
        <w:pStyle w:val="TextBody"/>
        <w:bidi w:val="0"/>
        <w:spacing w:before="240" w:after="0"/>
        <w:jc w:val="left"/>
        <w:rPr>
          <w:rFonts w:ascii="Times New Roman" w:hAnsi="Times New Roman"/>
          <w:sz w:val="20"/>
        </w:rPr>
      </w:pPr>
      <w:r>
        <w:rPr>
          <w:rFonts w:ascii="Times New Roman" w:hAnsi="Times New Roman"/>
          <w:sz w:val="20"/>
        </w:rPr>
        <w:t xml:space="preserve">In addition, a sponsor can request designation of a product candidate as a “breakthrough therapy”. A breakthrough therapy is defined as a drug that is intended, alone or in combination with one or more other drugs, to treat a serious or life-threatening disease or condition, where preliminary clinical evidence indicates that the drug may demonstrate substantial improvement over existing therapies on one or more clinically significant endpoints. The FDA must take certain actions with respect to breakthrough therapies, such as holding timely meetings with and providing advice to the product sponsor. </w:t>
      </w:r>
    </w:p>
    <w:p>
      <w:pPr>
        <w:pStyle w:val="TextBody"/>
        <w:bidi w:val="0"/>
        <w:spacing w:before="240" w:after="0"/>
        <w:jc w:val="left"/>
        <w:rPr>
          <w:rFonts w:ascii="Times New Roman" w:hAnsi="Times New Roman"/>
          <w:sz w:val="20"/>
        </w:rPr>
      </w:pPr>
      <w:r>
        <w:rPr>
          <w:rFonts w:ascii="Times New Roman" w:hAnsi="Times New Roman"/>
          <w:sz w:val="20"/>
        </w:rPr>
        <w:t xml:space="preserve">An application may be eligible for “accelerated approval” where the product candidate is intended to treat a serious or life-threatening illness and provides meaningful therapeutic benefit over existing treatments; applications eligible for accelerated approval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requires a sponsor to conduct confirmatory studies to verify the predicted effect on IMM or another clinical endpoint, and the product may be subject to expedited withdrawal procedures. </w:t>
      </w:r>
    </w:p>
    <w:p>
      <w:pPr>
        <w:pStyle w:val="TextBody"/>
        <w:bidi w:val="0"/>
        <w:spacing w:before="240" w:after="0"/>
        <w:jc w:val="left"/>
        <w:rPr>
          <w:rFonts w:ascii="Times New Roman" w:hAnsi="Times New Roman"/>
          <w:sz w:val="20"/>
        </w:rPr>
      </w:pPr>
      <w:r>
        <w:rPr>
          <w:rFonts w:ascii="Times New Roman" w:hAnsi="Times New Roman"/>
          <w:sz w:val="20"/>
        </w:rPr>
        <w:t xml:space="preserve">Once an NDA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ten months for a standard review. A product may be eligible for more than one expedited approval program. Even if a product qualifies for one or more of these programs, however, the FDA may later decide that the product no longer meets the conditions for qualification or decide that the time period for FDA review or approval will not be shortened. Furthermore, these expedited review pathways do not change the standards for approval and may not ultimately expedite the development or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Non-Patent Exclusivity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exclusivity, the holder of the NDA for the listed drug may be entitled to a period of non-patent exclusivity, during which the FDA cannot approve an ANDA for approval of a generic or 505(b)(2) application that relies on the listed drug as protected by regulatory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NDA for a new chemical entity may receive five years of exclusivity, whereby the FDA will not accept for filing, with limited exceptions, a product seeking to rely upon the FDA’s findings of safety or effectiveness for such new chemical entity. An ANDA containing a paragraph IV patent certification can be filed after four years. Alternatively, an NDA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Exclusivity </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any existing regulatory exclusivity for both drugs and biologics, and also unexpired Orange Book listed patents in the case of drugs.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approval of a new product, the manufacturer and the approved product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user fee requirements for marketed products and the establishments where such products are manufactured, as well as new application fees for certain supplemental applications. The FDA may impose a number of post-approval requirements as a condition of approval of an NDA, such as Phase 4 clinical trials or a REMS. </w:t>
      </w:r>
    </w:p>
    <w:p>
      <w:pPr>
        <w:pStyle w:val="TextBody"/>
        <w:bidi w:val="0"/>
        <w:spacing w:before="240" w:after="0"/>
        <w:jc w:val="left"/>
        <w:rPr>
          <w:rFonts w:ascii="Times New Roman" w:hAnsi="Times New Roman"/>
          <w:sz w:val="20"/>
        </w:rPr>
      </w:pPr>
      <w:r>
        <w:rPr>
          <w:rFonts w:ascii="Times New Roman" w:hAnsi="Times New Roman"/>
          <w:sz w:val="20"/>
        </w:rPr>
        <w:t xml:space="preserve">In addition, entities involved in the manufacture and distribution of approved drugs are required to register their establishments with the FDA and state agencies and are subject to periodic unannounced inspections by the FDA and such state agencies for compliance with current GMP requirements. Changes to the manufacturing process are strictly regulated and often require prior FDA approval before being implemented. FDA regulations also require investigation and correction of any deviations from current 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current GMP compliance.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safety issues with a product, including adverse events of unanticipated severity or frequency, may result in revisions to the approved labeling to add new safety information; imposition of post-market studies or clinical trials to assess new safety risks; or imposition of distribution or other restrictions under a REMS program. Other potential consequences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suspension of the approval, complete withdrawal of the product from the market or product recalls;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enforcement-related letters of clinical holds on post-approval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approvals;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and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Drugs may be promoted only for the approved indications, in accordance with the provisions of the approved label and FDA guidance.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Additionally, all promotional material must be truthful and non-misleading, and present balanced information regarding the risks and benefits of the drug product. </w:t>
      </w:r>
    </w:p>
    <w:p>
      <w:pPr>
        <w:pStyle w:val="TextBody"/>
        <w:bidi w:val="0"/>
        <w:spacing w:before="360" w:after="0"/>
        <w:jc w:val="left"/>
        <w:rPr>
          <w:rFonts w:ascii="Times New Roman" w:hAnsi="Times New Roman"/>
          <w:b/>
          <w:i/>
          <w:sz w:val="20"/>
        </w:rPr>
      </w:pPr>
      <w:r>
        <w:rPr>
          <w:rFonts w:ascii="Times New Roman" w:hAnsi="Times New Roman"/>
          <w:b/>
          <w:i/>
          <w:sz w:val="20"/>
        </w:rPr>
        <w:t>Other Regulatory Requirements</w:t>
      </w:r>
    </w:p>
    <w:p>
      <w:pPr>
        <w:pStyle w:val="TextBody"/>
        <w:bidi w:val="0"/>
        <w:spacing w:before="120" w:after="0"/>
        <w:jc w:val="left"/>
        <w:rPr>
          <w:rFonts w:ascii="Times New Roman" w:hAnsi="Times New Roman"/>
          <w:sz w:val="20"/>
        </w:rPr>
      </w:pPr>
      <w:r>
        <w:rPr>
          <w:rFonts w:ascii="Times New Roman" w:hAnsi="Times New Roman"/>
          <w:sz w:val="20"/>
        </w:rPr>
        <w:t>Outside the U.S., our abilities to develop and market a product, if we continue to progress the development of our product candidates, are contingent upon receiving approval and ultimately marketing authorization from the appropriate regulatory authorities. The requirements governing the conduct of clinical trials, marketing authorization, pricing and reimbursement vary widely from jurisdiction to jurisdiction. At present, foreign marketing authorizations are applied for at a national level, although within the E.U. registration procedures are available to companies wishing to market a product in more than one E.U. member state.</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U.S. federal and foreign anti-corruption laws. Those laws include the U.S. Foreign Corrupt Practices Act, or FCPA, which prohibits U.S. corporations and their representatives from offering, promising, authorizing, or making payments to any foreign government official, government staff member, political party or political candidate in an attempt to obtain or retain business abroad. The scope of the FCPA encompasses certain healthcare professionals in many countries. We are also subject to similar laws of other countries that have enacted anti-corruption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Union, companies developing a new medicinal product must agree to a Pediatric Investigation Plan, or PIP, with the European Medicines Agency (EMA) and must conduct pediatric clinical trials in accordance with that PIP, unless a deferral or waiver applies, (e.g., because the relevant disease or condition occurs only in adults). The MAA for the product must include the results of pediatric clinical trials conducted in accordance with the PIP, unless a waiver applies or a deferral has been granted, in which case the pediatric clinical trials must be completed at a later date. Where the MAA includes the results of all pediatric studies conducted in accordance with the PIP and the results are reflected in the approved summary of product characteristics, the holder of a patent or supplementary protection certificate is entitled to receive a six-month extension of the protection under a supplementary protection certificate or, in the case of orphan medicinal products, the product is eligible for a two-year extension of the orphan market exclusivity. This pediatric reward is subject to specific conditions and is not automatically available when data in compliance with the PIP are developed and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US, under Pediatric Research Equity Act (PREA), a pediatric development plan is required to accompany an NDA for all drugs, except those receiving non-oncology Orphan Drug Designation. This may include waiver or deferral of pediatric studies. The Best Pharmaceuticals for Children Act (BPCA) also allows for agreement with FDA on a pediatric written request that, if fulfilled, may extend data exclusivity for the molecule for an additional 6 months.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plans for a potential new drug candidate for TRD under consideration may be applicable for the treatment of pediatric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Despite our belief that, if we continue to progress the development of our product candidates, the potential product that we intend to develop and commercialize in TRD will be differentiated, we will face competition from many different sources. Potential competition includes major/specialty pharmaceutical, biopharmaceutical, device and biotechnology companies, academic institutions, governmental agencies and medical research organizations. Additionally, we would expect that, if approved, our product will compete with the standard of care and any new therapies that may become available in the future. Several biopharmaceutical companies have therapies in clinical development for TRD and we are aware that many more are investigating treatments for TRD (e.g., psychedelic-related therapies are currently in development for TRD but have not yet been approved). </w:t>
      </w:r>
    </w:p>
    <w:p>
      <w:pPr>
        <w:pStyle w:val="TextBody"/>
        <w:bidi w:val="0"/>
        <w:spacing w:before="240" w:after="0"/>
        <w:jc w:val="left"/>
        <w:rPr>
          <w:rFonts w:ascii="Times New Roman" w:hAnsi="Times New Roman"/>
          <w:sz w:val="20"/>
        </w:rPr>
      </w:pPr>
      <w:r>
        <w:rPr>
          <w:rFonts w:ascii="Times New Roman" w:hAnsi="Times New Roman"/>
          <w:sz w:val="20"/>
        </w:rPr>
        <w:t xml:space="preserve">TRD is a disease with high unmet need and is associated with multiple serious public health implications. The FDA and the EMA have adopted the most used definition of TRD (i.e., inadequate response to a minimum of two antidepressants despite adequacy of the treatment trial and adherence to treatment). A number of published sources estimate that at least 30% of persons with depression meet this definition. There are many treatment paradigms that have been employed for the management of TRD. In general, these treatment paradigms /therapies can be bucketed into categories of: pharmacotherapies, somatic therapies and psychotherapeutic approaches. It is well known that the majority of these treatments have serious limitations despite their benefit. Many companies have developed or are seeking to develop new treatments for TRD. Leading companies in TRD market include Janssen (Johnson &amp; Johnson) with Spravato, alongside major pharmaceutical firms Eli Lilly, AbbVie, Pfizer, and Novartis. Specialized biotechs like Compass Pathways and Axsome Therapeutics are actively developing novel therapies, including psychedelic compounds and rapid-acting agents.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Pharmacotherapies</w:t>
            </w:r>
            <w:r>
              <w:rPr>
                <w:rFonts w:ascii="Times New Roman" w:hAnsi="Times New Roman"/>
                <w:sz w:val="20"/>
              </w:rPr>
              <w:t xml:space="preserve">: antidepressants and antipsychotics indicated for use in major depressive disorder are frequently prescribed, combined or augmented with a second agent to treat TRD. Additionally, mood stabilizers (e.g. lithium) are utilized as treatments, alone or in combination for TRD. Only two pharmacotherapies are approved for TRD in the U.S.: Spravato (esketamine), marketed by Janssen (a subsidiary of Johnson &amp; Johnson) and Symbyax (olanzapine/fluoxetine hydrochloride capsules), developed by Eli Lilly and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Somatic Therapies</w:t>
            </w:r>
            <w:r>
              <w:rPr>
                <w:rFonts w:ascii="Times New Roman" w:hAnsi="Times New Roman"/>
                <w:sz w:val="20"/>
              </w:rPr>
              <w:t xml:space="preserve">: multiple somatic therapies are used for the management of TRD such as electroconvulsive therapy (ECT), repetitive transcranial magnetic stimulation (rTMS), vagus nerve stimulation (VNS), and deep brain stimulation (DBS).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Psychotherapeutic Approaches</w:t>
            </w:r>
            <w:r>
              <w:rPr>
                <w:rFonts w:ascii="Times New Roman" w:hAnsi="Times New Roman"/>
                <w:sz w:val="20"/>
              </w:rPr>
              <w:t xml:space="preserve">: manual-based psychotherapies are not proven to be efficacious as a standalone intervention in TRD, but their efficacy in combination with antidepressants has been noted.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biopharmaceutical industry is highly competitive within and across therapeutic categories and indications. There are many public and private biopharmaceutical companies, universities, government agencies and other research organizations actively engaged in the research and development and commercialization of products that may be similar to our product candidates or address similar markets. In addition, the number of companies seeking to develop and commercialize products and therapies competing with our product candidates is likely to increase. However, we seek to build our portfolio with key differentiating attributes to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competitive advantage in the markets we target. The success of all of our product candidates, if approved, will likely depend upon their efficacy, safety, convenience, price, the level of generic competition and the availability of reimbursement from government and other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Many of our competitors may have greater financial resources and broader expertise in research and development, manufacturing, nonclinical testing,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could also compete with us in establishing clinical trial sites and participant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Competition can also impact Tisento (in which we hold an equity interest), as well as companies which we have out-licensed or seek to out-license our product candidates. To date, the product candidates we have sold to Tisento or out-licensed to Akebia are either in early stage clinical or pre-clinical stages or not yet received any approval allowing for the commercial sale of these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If we continue to progress the development of our product candidates, we intend to depend on third-party contract manufacturing organizations, or CMOs, for all our requirements of raw materials, drug substance and drug products for clinical trials and nonclinical research. If we continue to progress the development of our product candidates, we intend to continue to rely on CMOs for the supply of our retained assets for all stages of clinical development and commercialization, as well as for the supply of any other product candidates that we may identify. We require all our CMOs to conduct manufacturing activities in compliance with current GMP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a small, innovative company, if in the future we elect to start growing our internal operations, our success will depend on attracting, retaining and motivating highly skilled and experienced scientific, medical and other personnel. We plan to provide compensation and benefits programs which may include competitive salaries, potential annual discretionary bonuses, stock awards, a 401(k) plan with employer match, healthcare and insurance benefits, health savings and flexible spending accounts, unlimited vacation time, among other benefits. Our employees will be further guided by our code of conduct and our cultural values of seeking to serve patients, acting with integrity, empowering people and innovating for solutions.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Profile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one employee and several consultants, including our Chief Financial Officer. We may in the future seek to expand our employee base, hire additional consultants and also outsource certain functions to other firms.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Commonwealth of Massachusetts on September 6, 2018. Our principal executive offices are located at 245 First Street, Riverview II, 18th Floor, Cambridge, MA 02142. Our telephone number is (857) 327-8778. Our common stock is listed on the Nasdaq Capital Market under the symbol “CYCN.”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internet website address is www.cyclerion.com. In addition to the information contained in this proxy statement/prospectus supplement, information about us can be found on our website. Our website and information included in or linked to our website are not part of this proxy statement/prospectus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the SEC. The SEC maintains an internet site that contains reports, proxy and information statements and other information. The address of the SEC’s website is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11069_29"/>
      <w:bookmarkEnd w:id="31"/>
      <w:r>
        <w:rPr>
          <w:rFonts w:ascii="Times New Roman" w:hAnsi="Times New Roman"/>
          <w:b/>
          <w:sz w:val="20"/>
        </w:rPr>
        <w:t xml:space="preserve">KORSANA’S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Korsana 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with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Korsana believes may also help reduce or avoid the treatment-related complications known as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between year-end 2027 and the first quarter of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Therapeutics, Inc. (“Paragon”), an antibody discovery engine founded by Fairmount Funds Management LLC (“Fairmount”) and led by industry veterans with extensive experience in drug discovery and development. Fairmount has launched a series of companies based on assets licensed from Paragon, including Apogee Therapeutics, Spyre Therapeutics, Oruka Therapeutics, Jade Biosciences, Crescent Biopharma, and Damora Therapeutics. Members of Korsana’s executive team and other employees have extensive experience in the manufacture and development of antibodies and AOCs, including management and oversight of externalized research and development activities. Paragon and Paragon Laboratories performs research services for Korsana to discover and evaluate potential antibody and AOC product candidates, which could be licensed for further development, manufacture and commercialization by Korsana. Korsana separately performs certain GLP toxicity studies and pre-clinical IND enabling activities.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a License Agreement with Paragon (the “Paragon License Agreement”); (ii) an Antibody Discovery and Option Agreement with Paragon and Parasa Holding LLC (“Parasa”) (the “Paragon ADOA”); (iii) a Platform Option Agreement with Paragon and Parasa (the “Paragon POA”); and (iv) an Antibody Oligo Conjugate (“AOC”) Research Letter Agreement with Paragon Laboratories, Inc. (“Paragon Laboratories”) (the “Paragon Research Letter Agreement” and, together with the Paragon License Agreement, the Paragon ADOA, and the Paragon POA, the “Paragon Agreements”). As described in more detail in this proxy statement/prospectus, as of the date of this proxy statement/prospectus, Korsana has exercised the option for Research Program 002 (including KRSA-028) pursuant to the Paragon ADOA and has entered into the Paragon License Agreement covering Research Program 001 and Research Program 002. Korsana has not exercised its option or licensed any other program under the Paragon ADOA, Paragon POA, or the Paragon Research Letter Agreement. </w:t>
      </w:r>
    </w:p>
    <w:p>
      <w:pPr>
        <w:pStyle w:val="TextBody"/>
        <w:bidi w:val="0"/>
        <w:spacing w:before="240" w:after="0"/>
        <w:jc w:val="left"/>
        <w:rPr>
          <w:rFonts w:ascii="Times New Roman" w:hAnsi="Times New Roman"/>
          <w:sz w:val="20"/>
        </w:rPr>
      </w:pPr>
      <w:r>
        <w:rPr>
          <w:rFonts w:ascii="Times New Roman" w:hAnsi="Times New Roman"/>
          <w:sz w:val="20"/>
        </w:rPr>
        <w:t>Under the Paragon ADOA, Paragon identifies, evaluates, and develops antibodies against one or more mutually agreed therapeutic targets and a mutually agreed brain transit target, in accordance with research plan(s) mutually agreed to by Paragon and Korsana. The Paragon ADOA covers multiple research programs, including two research programs targeting A</w:t>
      </w:r>
      <w:r>
        <w:rPr>
          <w:rFonts w:ascii="SYMBOL" w:hAnsi="SYMBOL"/>
          <w:sz w:val="20"/>
        </w:rPr>
        <w:t>b</w:t>
      </w:r>
      <w:r>
        <w:rPr>
          <w:rFonts w:ascii="Times New Roman" w:hAnsi="Times New Roman"/>
          <w:sz w:val="20"/>
        </w:rPr>
        <w:t xml:space="preserve"> as the therapeutic target and TfR1 as the brain transit target (“Research Program 001” and “Research Program 002”, respectively, and collectively, the “A</w:t>
      </w:r>
      <w:r>
        <w:rPr>
          <w:rFonts w:ascii="SYMBOL" w:hAnsi="SYMBOL"/>
          <w:sz w:val="20"/>
        </w:rPr>
        <w:t>b</w:t>
      </w:r>
      <w:r>
        <w:rPr>
          <w:rFonts w:ascii="Times New Roman" w:hAnsi="Times New Roman"/>
          <w:sz w:val="20"/>
        </w:rPr>
        <w:t xml:space="preserve"> Research Programs”), with the ability to add additional programs by mutual agreement. Each research program is overseen and coordinated by a joint development committee consisting of two employees from Korsana and two employees from Paragon, with Korsana and Paragon each having one vote with respect to decisions of the committee. 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including THETA. </w:t>
      </w:r>
    </w:p>
    <w:p>
      <w:pPr>
        <w:pStyle w:val="TextBody"/>
        <w:bidi w:val="0"/>
        <w:spacing w:before="240" w:after="0"/>
        <w:jc w:val="left"/>
        <w:rPr>
          <w:rFonts w:ascii="Times New Roman" w:hAnsi="Times New Roman"/>
          <w:sz w:val="20"/>
        </w:rPr>
      </w:pPr>
      <w:r>
        <w:rPr>
          <w:rFonts w:ascii="Times New Roman" w:hAnsi="Times New Roman"/>
          <w:sz w:val="20"/>
        </w:rPr>
        <w:t>Korsana exercised the ADOA Option for Research Program 002, nominated KRSA-028 as the development candidate for Research Program 002, and entered into the Paragon License Agreement with respect to the A</w:t>
      </w:r>
      <w:r>
        <w:rPr>
          <w:rFonts w:ascii="SYMBOL" w:hAnsi="SYMBOL"/>
          <w:sz w:val="20"/>
        </w:rPr>
        <w:t>b</w:t>
      </w:r>
      <w:r>
        <w:rPr>
          <w:rFonts w:ascii="Times New Roman" w:hAnsi="Times New Roman"/>
          <w:sz w:val="20"/>
        </w:rPr>
        <w:t xml:space="preserve"> Research Programs. Pursuant to the Paragon License Agreement, Paragon granted Korsana a worldwide, royalty-bearing, exclusive (even as to Paragon and its affiliates) and sublicensable license under certain licensed antibody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transport vehicle technology, to develop, manufacture and commercialize antibody products and antibody transport vehicle products directed to A</w:t>
      </w:r>
      <w:r>
        <w:rPr>
          <w:rFonts w:ascii="SYMBOL" w:hAnsi="SYMBOL"/>
          <w:sz w:val="20"/>
        </w:rPr>
        <w:t>b</w:t>
      </w:r>
      <w:r>
        <w:rPr>
          <w:rFonts w:ascii="Times New Roman" w:hAnsi="Times New Roman"/>
          <w:sz w:val="20"/>
        </w:rPr>
        <w:t xml:space="preserve"> and TfR1, and related non-exclusive licenses under certain transit antibody technology, patents and know-how, which includes the THETA technology. The exclusive license covers certain derived antibodies, derived antibody transport vehicles and related products within the scope of the Paragon License Agreement. In addition, any additional antibody transport vehicles discovered, generated, identified or characterized by Paragon under the A</w:t>
      </w:r>
      <w:r>
        <w:rPr>
          <w:rFonts w:ascii="SYMBOL" w:hAnsi="SYMBOL"/>
          <w:sz w:val="20"/>
        </w:rPr>
        <w:t>b</w:t>
      </w:r>
      <w:r>
        <w:rPr>
          <w:rFonts w:ascii="Times New Roman" w:hAnsi="Times New Roman"/>
          <w:sz w:val="20"/>
        </w:rPr>
        <w:t xml:space="preserve"> Research Programs are included as licensed antibody transport vehicles under the Paragon License Agreement, subject to the express exclusions and limitations set forth in the 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Korsana is responsible for development, manufacturing, regulatory and commercialization activities for licensed products and is obligated to use commercially reasonable efforts to develop and seek regulatory approval for at least one licensed product in the United States and at least one other major market country. Korsana is required to make milestone payments to Paragon upon the achievement of specified development and regulatory milestones and to pay Paragon tiered royalties in the low- to mid-single digits on annual net sales of licensed products, subject to specific reductions.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The agreement expires on a product-by-product and country-by-country basis upon expiration of the applicable royalty term, unless earlier terminated, and may be terminated by Korsana for convenience upon 60 days’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Strategy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become a leading biopharmaceutical company addressing the needs of patients suffering from neurodegenerative diseases. Korsana’s strategy is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Obtain clinical proof-of-concept data with KRSA-028 in a Phase 1/2 trial. </w:t>
            </w:r>
            <w:r>
              <w:rPr>
                <w:rFonts w:ascii="Times New Roman" w:hAnsi="Times New Roman"/>
                <w:sz w:val="20"/>
              </w:rPr>
              <w:t>KRSA-028 was designed to build on the mechanisms of pioneering anti-A</w:t>
            </w:r>
            <w:r>
              <w:rPr>
                <w:rFonts w:ascii="SYMBOL" w:hAnsi="SYMBOL"/>
                <w:sz w:val="20"/>
              </w:rPr>
              <w:t>b</w:t>
            </w:r>
            <w:r>
              <w:rPr>
                <w:rFonts w:ascii="Times New Roman" w:hAnsi="Times New Roman"/>
                <w:sz w:val="20"/>
              </w:rPr>
              <w:t xml:space="preserve"> therapeutics and the clinical and regulatory precedents they have established. Korsana believes that it can efficiently obtain clinical proof-of-concept data demonstrating the potential of KRSA-028 to provide meaningful benefits in AD patients in a Phase 1/2 trial, a combined single ascending dose (“SAD”) and multiple ascending dose (“MAD”) trial in healthy participants and AD participants respectively. After Korsana completes GLP toxicity studies, it anticipates submitting a CTN in Australia or a CTA in New Zealand by the end of 2026 to support the SAD portion of the trial in healthy participants and an IND in the United States in the first quarter of 2027 to support the MAD portion of the trial in AD patients, with interim results in AD patients becoming available between year-end 2027 and the first quarter of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 its portfolio of product candidates.</w:t>
            </w:r>
            <w:r>
              <w:rPr>
                <w:rFonts w:ascii="Times New Roman" w:hAnsi="Times New Roman"/>
                <w:sz w:val="20"/>
              </w:rPr>
              <w:t xml:space="preserve"> The THETA platform technology has potential advantages over other technologies designed to shuttle therapeutics to the brain. Korsana intends to expand its portfolio by advancing additional product candidates that incorporate this technology with the potential to transform the treatment of neurodegenerative diseases.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Maximize the value of KRSA-028 by exploring its potential in treating presymptomatic AD.</w:t>
            </w:r>
            <w:r>
              <w:rPr>
                <w:rFonts w:ascii="Times New Roman" w:hAnsi="Times New Roman"/>
                <w:sz w:val="20"/>
              </w:rPr>
              <w:t xml:space="preserve"> Data generated with other anti-A</w:t>
            </w:r>
            <w:r>
              <w:rPr>
                <w:rFonts w:ascii="SYMBOL" w:hAnsi="SYMBOL"/>
                <w:sz w:val="20"/>
              </w:rPr>
              <w:t>b</w:t>
            </w:r>
            <w:r>
              <w:rPr>
                <w:rFonts w:ascii="Times New Roman" w:hAnsi="Times New Roman"/>
                <w:sz w:val="20"/>
              </w:rPr>
              <w:t xml:space="preserve"> therapeutics suggests that their ability to slow disease progression is more pronounced when administered early in the course of the disease. Ongoing third-party Phase 3 trials aim to confirm these findings. Korsana believes that the properties of KRSA-028, including dosing convenience and specific modifications designed to reduce the likelihood of adverse events seen with other products, position it as an attractive candidate for early-stage and potentially presymptomatic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Build a preeminent biotechnology company initially focused on neurodegenerative diseases. </w:t>
            </w:r>
            <w:r>
              <w:rPr>
                <w:rFonts w:ascii="Times New Roman" w:hAnsi="Times New Roman"/>
                <w:sz w:val="20"/>
              </w:rPr>
              <w:t xml:space="preserve">Korsana is assembling a team of experts dedicated to bringing life-changing therapies to patients suffering from neurodegenerative diseases. Korsana plans to apply this expertise to support the development of KRSA-028 and other THETA product candidates as well as to identify product candidates that address other unmet needs in this field.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Growing Unmet Need in Treating Neurodegenerative Diseases </w:t>
      </w:r>
    </w:p>
    <w:p>
      <w:pPr>
        <w:pStyle w:val="TextBody"/>
        <w:bidi w:val="0"/>
        <w:spacing w:before="120" w:after="0"/>
        <w:jc w:val="left"/>
        <w:rPr>
          <w:rFonts w:ascii="Times New Roman" w:hAnsi="Times New Roman"/>
          <w:sz w:val="20"/>
        </w:rPr>
      </w:pPr>
      <w:r>
        <w:rPr>
          <w:rFonts w:ascii="Times New Roman" w:hAnsi="Times New Roman"/>
          <w:sz w:val="20"/>
        </w:rPr>
        <w:t xml:space="preserve">Neurodegenerative diseases are progressive conditions in which nerve cells lose their function and eventually die. Because these neurons are rarely replaced, neurodegeneration is generally considered to be irreversible. Although genetics can increase the risk of developing a neurodegenerative disease, in most instances the exact cause is not known. Age is a common risk factor for diseases such as AD; Parkinson’s disease (“PD”); amyotrophic lateral sclerosis (“ALS”); frontotemporal lobar degeneration (“FTLD”); Huntington’s disease (“HD”); and others.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98795"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98795" cy="3048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 The prevalence of a number of neurodegenerative diseases increases with 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world’s population is undergoing a demographic shift as the proportion of older adults increases. From 2020 to 2050, the global population aged 60 years and over is projected to increase from one billion to 2.1 billion. Increases in life expectancy mean these adults are also living longer, with the number of people aged 80 and over expected to triple to 426 million. These trends suggest that the prevalence of neurodegenerative diseases and their impact on society will continue to grow. </w:t>
      </w:r>
    </w:p>
    <w:p>
      <w:pPr>
        <w:pStyle w:val="TextBody"/>
        <w:bidi w:val="0"/>
        <w:spacing w:before="240" w:after="0"/>
        <w:jc w:val="left"/>
        <w:rPr>
          <w:rFonts w:ascii="Times New Roman" w:hAnsi="Times New Roman"/>
          <w:sz w:val="20"/>
        </w:rPr>
      </w:pPr>
      <w:r>
        <w:rPr>
          <w:rFonts w:ascii="Times New Roman" w:hAnsi="Times New Roman"/>
          <w:sz w:val="20"/>
        </w:rPr>
        <w:t xml:space="preserve">Society bears a heavy burden from the increasing cost of neurodegenerative disease care. For example, between 2015 and 2050, the global costs of caring for patients with dementia alone are expected to increase nearly tenfold to $9.12 trillion. </w:t>
      </w:r>
    </w:p>
    <w:p>
      <w:pPr>
        <w:pStyle w:val="TextBody"/>
        <w:bidi w:val="0"/>
        <w:spacing w:before="240" w:after="0"/>
        <w:jc w:val="left"/>
        <w:rPr>
          <w:rFonts w:ascii="Times New Roman" w:hAnsi="Times New Roman"/>
          <w:sz w:val="20"/>
        </w:rPr>
      </w:pPr>
      <w:r>
        <w:rPr>
          <w:rFonts w:ascii="Times New Roman" w:hAnsi="Times New Roman"/>
          <w:sz w:val="20"/>
        </w:rPr>
        <w:t xml:space="preserve">Recent technological advancements in diagnostics and in the ability to deliver therapeutics to the central nervous system (“CNS”), have enabled the discovery and approval of some of the first therapeutics that have meaningful impacts on slowing the rate of progression of AD, the most prevalent of neurodegenerative diseases. Korsana believes that these findings provide an opening to develop therapies with improved efficacy and safety for AD while providing a template that can be applied to the discovery of therapeutics for other neurodegenerative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that targets 3pE-A</w:t>
      </w:r>
      <w:r>
        <w:rPr>
          <w:rFonts w:ascii="SYMBOL" w:hAnsi="SYMBOL"/>
          <w:sz w:val="20"/>
        </w:rPr>
        <w:t>b</w:t>
      </w:r>
      <w:r>
        <w:rPr>
          <w:rFonts w:ascii="Times New Roman" w:hAnsi="Times New Roman"/>
          <w:sz w:val="20"/>
        </w:rPr>
        <w:t>, a modified form of A</w:t>
      </w:r>
      <w:r>
        <w:rPr>
          <w:rFonts w:ascii="SYMBOL" w:hAnsi="SYMBOL"/>
          <w:sz w:val="20"/>
        </w:rPr>
        <w:t>b</w:t>
      </w:r>
      <w:r>
        <w:rPr>
          <w:rFonts w:ascii="Times New Roman" w:hAnsi="Times New Roman"/>
          <w:sz w:val="20"/>
        </w:rPr>
        <w:t xml:space="preserve"> that is prevalent in amyloid plaques in AD patients. KRSA-028 is further distinguished from other A</w:t>
      </w:r>
      <w:r>
        <w:rPr>
          <w:rFonts w:ascii="SYMBOL" w:hAnsi="SYMBOL"/>
          <w:sz w:val="20"/>
        </w:rPr>
        <w:t>b</w:t>
      </w:r>
      <w:r>
        <w:rPr>
          <w:rFonts w:ascii="Times New Roman" w:hAnsi="Times New Roman"/>
          <w:sz w:val="20"/>
        </w:rPr>
        <w:t xml:space="preserve"> therapeutics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of THETA platform technology which enables increased brain exposure by means of an endogenous protein shuttle system. KRSA-028 was engineered to be delivered subcutaneously in order to increase patient convenience and to reduce the overall impact of treatment on the healthcare system. After Korsana completes GLP toxicity studies, it intends to submit a CTN for KRSA-028 in Australia or a CTA in New Zealand by the end of 2026 and an IND in the United States in the first quarter of 2027. Korsana anticipates that interim proof-of-concept data will be available between year-end 2027 and the first quarter of 2028. </w:t>
      </w:r>
    </w:p>
    <w:p>
      <w:pPr>
        <w:pStyle w:val="TextBody"/>
        <w:bidi w:val="0"/>
        <w:spacing w:before="360" w:after="0"/>
        <w:jc w:val="left"/>
        <w:rPr>
          <w:rFonts w:ascii="Times New Roman" w:hAnsi="Times New Roman"/>
          <w:b/>
          <w:i/>
          <w:sz w:val="20"/>
        </w:rPr>
      </w:pPr>
      <w:r>
        <w:rPr>
          <w:rFonts w:ascii="Times New Roman" w:hAnsi="Times New Roman"/>
          <w:b/>
          <w:i/>
          <w:sz w:val="20"/>
        </w:rPr>
        <w:t xml:space="preserve">Alzheimer’s Disease Overview </w:t>
      </w:r>
    </w:p>
    <w:p>
      <w:pPr>
        <w:pStyle w:val="TextBody"/>
        <w:bidi w:val="0"/>
        <w:spacing w:before="120" w:after="0"/>
        <w:jc w:val="left"/>
        <w:rPr>
          <w:rFonts w:ascii="Times New Roman" w:hAnsi="Times New Roman"/>
          <w:sz w:val="20"/>
        </w:rPr>
      </w:pPr>
      <w:r>
        <w:rPr>
          <w:rFonts w:ascii="Times New Roman" w:hAnsi="Times New Roman"/>
          <w:sz w:val="20"/>
        </w:rPr>
        <w:t xml:space="preserve">Alzheimer’s disease is a progressive neurodegenerative disorder that slowly destroys memory and thinking skills and eventually prevents patients from carrying out even simple tasks. Its symptoms include cognitive dysfunction, memory abnormalities, progressive impairment in activities of daily living and a host of behavioral and neuropsychiatric symptoms. The exact cause of AD is unknown; however, genetic and environmental factors are established contributors. </w:t>
      </w:r>
    </w:p>
    <w:p>
      <w:pPr>
        <w:pStyle w:val="TextBody"/>
        <w:bidi w:val="0"/>
        <w:spacing w:before="240" w:after="0"/>
        <w:jc w:val="left"/>
        <w:rPr>
          <w:rFonts w:ascii="Times New Roman" w:hAnsi="Times New Roman"/>
          <w:sz w:val="20"/>
        </w:rPr>
      </w:pPr>
      <w:r>
        <w:rPr>
          <w:rFonts w:ascii="Times New Roman" w:hAnsi="Times New Roman"/>
          <w:sz w:val="20"/>
        </w:rPr>
        <w:t>The hallmark neuropathologic changes of AD are diffuse plaques marked by extracellular A</w:t>
      </w:r>
      <w:r>
        <w:rPr>
          <w:rFonts w:ascii="SYMBOL" w:hAnsi="SYMBOL"/>
          <w:sz w:val="20"/>
        </w:rPr>
        <w:t>b</w:t>
      </w:r>
      <w:r>
        <w:rPr>
          <w:rFonts w:ascii="Times New Roman" w:hAnsi="Times New Roman"/>
          <w:sz w:val="20"/>
        </w:rPr>
        <w:t xml:space="preserve"> protein. Deposition of A</w:t>
      </w:r>
      <w:r>
        <w:rPr>
          <w:rFonts w:ascii="SYMBOL" w:hAnsi="SYMBOL"/>
          <w:sz w:val="20"/>
        </w:rPr>
        <w:t>b</w:t>
      </w:r>
      <w:r>
        <w:rPr>
          <w:rFonts w:ascii="Times New Roman" w:hAnsi="Times New Roman"/>
          <w:sz w:val="20"/>
        </w:rPr>
        <w:t xml:space="preserve"> is an early event in the development of AD. A</w:t>
      </w:r>
      <w:r>
        <w:rPr>
          <w:rFonts w:ascii="SYMBOL" w:hAnsi="SYMBOL"/>
          <w:sz w:val="20"/>
        </w:rPr>
        <w:t>b</w:t>
      </w:r>
      <w:r>
        <w:rPr>
          <w:rFonts w:ascii="Times New Roman" w:hAnsi="Times New Roman"/>
          <w:sz w:val="20"/>
        </w:rPr>
        <w:t xml:space="preserve"> is derived from proteolytic cleavage of amyloid precursor protein (“APP”). Normal processing of APP results in the secretion of A</w:t>
      </w:r>
      <w:r>
        <w:rPr>
          <w:rFonts w:ascii="SYMBOL" w:hAnsi="SYMBOL"/>
          <w:sz w:val="20"/>
        </w:rPr>
        <w:t>b</w:t>
      </w:r>
      <w:r>
        <w:rPr>
          <w:rFonts w:ascii="Times New Roman" w:hAnsi="Times New Roman"/>
          <w:sz w:val="20"/>
        </w:rPr>
        <w:t xml:space="preserve"> protein in multiple forms: a predominant 40-amino acid form, known as A</w:t>
      </w:r>
      <w:r>
        <w:rPr>
          <w:rFonts w:ascii="SYMBOL" w:hAnsi="SYMBOL"/>
          <w:sz w:val="20"/>
        </w:rPr>
        <w:t>b</w:t>
      </w:r>
      <w:r>
        <w:rPr>
          <w:rFonts w:ascii="Times New Roman" w:hAnsi="Times New Roman"/>
          <w:sz w:val="20"/>
        </w:rPr>
        <w:t>40, and a less abundant 42-amino acid form known as A</w:t>
      </w:r>
      <w:r>
        <w:rPr>
          <w:rFonts w:ascii="SYMBOL" w:hAnsi="SYMBOL"/>
          <w:sz w:val="20"/>
        </w:rPr>
        <w:t>b</w:t>
      </w:r>
      <w:r>
        <w:rPr>
          <w:rFonts w:ascii="Times New Roman" w:hAnsi="Times New Roman"/>
          <w:sz w:val="20"/>
        </w:rPr>
        <w:t>42. A</w:t>
      </w:r>
      <w:r>
        <w:rPr>
          <w:rFonts w:ascii="SYMBOL" w:hAnsi="SYMBOL"/>
          <w:sz w:val="20"/>
        </w:rPr>
        <w:t>b</w:t>
      </w:r>
      <w:r>
        <w:rPr>
          <w:rFonts w:ascii="Times New Roman" w:hAnsi="Times New Roman"/>
          <w:sz w:val="20"/>
        </w:rPr>
        <w:t>42 is more prone to aggregation and has been shown to be enriched in A</w:t>
      </w:r>
      <w:r>
        <w:rPr>
          <w:rFonts w:ascii="SYMBOL" w:hAnsi="SYMBOL"/>
          <w:sz w:val="20"/>
        </w:rPr>
        <w:t>b</w:t>
      </w:r>
      <w:r>
        <w:rPr>
          <w:rFonts w:ascii="Times New Roman" w:hAnsi="Times New Roman"/>
          <w:sz w:val="20"/>
        </w:rPr>
        <w:t xml:space="preserve"> plaques in AD. In addition, approximately 25% of the total A</w:t>
      </w:r>
      <w:r>
        <w:rPr>
          <w:rFonts w:ascii="SYMBOL" w:hAnsi="SYMBOL"/>
          <w:sz w:val="20"/>
        </w:rPr>
        <w:t>b</w:t>
      </w:r>
      <w:r>
        <w:rPr>
          <w:rFonts w:ascii="Times New Roman" w:hAnsi="Times New Roman"/>
          <w:sz w:val="20"/>
        </w:rPr>
        <w:t>42 in plaques has an altered form of the amino acid glutamate known as pyroglutamate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 xml:space="preserve">One of the most common initial symptoms of AD is memory impairment, in particular, the ability to recall recent events. As AD progresses, the cognitive dysfunction it brings leads to deficits both in executive function and in problem solving. Patients become less organized and less motivated. As the disease progresses, an inability to complete tasks emerges, followed subsequently by deficits in language. </w:t>
      </w:r>
    </w:p>
    <w:p>
      <w:pPr>
        <w:pStyle w:val="TextBody"/>
        <w:bidi w:val="0"/>
        <w:spacing w:before="240" w:after="0"/>
        <w:jc w:val="left"/>
        <w:rPr>
          <w:rFonts w:ascii="Times New Roman" w:hAnsi="Times New Roman"/>
          <w:sz w:val="20"/>
        </w:rPr>
      </w:pPr>
      <w:r>
        <w:rPr>
          <w:rFonts w:ascii="Times New Roman" w:hAnsi="Times New Roman"/>
          <w:sz w:val="20"/>
        </w:rPr>
        <w:t xml:space="preserve">In late-stage disease, behavioral and psychological symptoms, such as apathy, social disengagement and irritability are common. Some patients develop agitation, aggression, wandering, and psychosis. AD patients frequently develop sleep disorders and 10% to 20% experience seizures. The average life expectancy after a diagnosis of AD has been reported to be between eight and ten years. Patients generally succumb to terminal-stage complications that relate to advanced debilitation, such as dehydration, malnutrition, and infection. </w:t>
      </w:r>
    </w:p>
    <w:p>
      <w:pPr>
        <w:pStyle w:val="TextBody"/>
        <w:bidi w:val="0"/>
        <w:spacing w:before="360" w:after="0"/>
        <w:jc w:val="left"/>
        <w:rPr>
          <w:rFonts w:ascii="Times New Roman" w:hAnsi="Times New Roman"/>
          <w:i/>
          <w:sz w:val="20"/>
        </w:rPr>
      </w:pPr>
      <w:r>
        <w:rPr>
          <w:rFonts w:ascii="Times New Roman" w:hAnsi="Times New Roman"/>
          <w:i/>
          <w:sz w:val="20"/>
        </w:rPr>
        <w:t xml:space="preserve">AD is a highly prevalent and costly disease </w:t>
      </w:r>
    </w:p>
    <w:p>
      <w:pPr>
        <w:pStyle w:val="TextBody"/>
        <w:bidi w:val="0"/>
        <w:spacing w:before="120" w:after="0"/>
        <w:jc w:val="left"/>
        <w:rPr>
          <w:rFonts w:ascii="Times New Roman" w:hAnsi="Times New Roman"/>
          <w:sz w:val="20"/>
        </w:rPr>
      </w:pPr>
      <w:r>
        <w:rPr>
          <w:rFonts w:ascii="Times New Roman" w:hAnsi="Times New Roman"/>
          <w:sz w:val="20"/>
        </w:rPr>
        <w:t xml:space="preserve">While estimates of the prevalence of AD vary, the Alzheimer’s Association estimates that there are seven million people in the United States suffering from AD and that this number is projected to double by 2050. AD is the seventh-leading cause of death in the United States and is associated with an estimated 500,000 deaths a year. According to the Alzheimer’s Association, in the United States alone, 1 in 9 persons over the age of 65 have AD. In people aged 85 and above, that rate increases to 1 in 3 persons. Globally, AD affects some 60 million patients. This number does not include the estimated 6-fold of additional people who unknowingly harbor the disease in its presymptomatic biological form.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its debilitating effect on patients’ cognition and day-to-day functioning, AD places a significant burden on the healthcare system. The costs of healthcare and long-term care for patients with AD in the United States was estimated to be $384 billion in 2025, with this cost expected to grow to more than $1 trillion by 2050 as the population ages. Two-thirds of this cost is borne by Medicare and Medicaid. </w:t>
      </w:r>
    </w:p>
    <w:p>
      <w:pPr>
        <w:pStyle w:val="TextBody"/>
        <w:bidi w:val="0"/>
        <w:spacing w:before="240" w:after="0"/>
        <w:jc w:val="left"/>
        <w:rPr>
          <w:rFonts w:ascii="Times New Roman" w:hAnsi="Times New Roman"/>
          <w:sz w:val="20"/>
        </w:rPr>
      </w:pPr>
      <w:r>
        <w:rPr>
          <w:rFonts w:ascii="Times New Roman" w:hAnsi="Times New Roman"/>
          <w:sz w:val="20"/>
        </w:rPr>
        <w:t xml:space="preserve">Indirect costs of care associated with AD include caregiver burden and associated healthcare utilization and costs. It has been estimated that over 80% of caregiving for a patient with AD is informal care by family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friends. Providing care to a patient with AD is financially, physically, and emotionally burdensome to the caregiver. Caregiving for patients with AD is unique compared with caregiving in other disease states due to the long duration of disease, and the progressive, unrelenting decline in cognitive and physical functioning. In the United States, over 11 million caregivers provide unpaid care for people with AD or other dementias. The Alzheimer’s Association estimates that, in 2024, these caregivers provided 19.2 billion hours of care valued at $414 billion.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Treatments for AD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cures for AD, despite many clinical trials of numerous agents based on a wide range of mechanisms. Two classes of symptomatic therapies are approved for the treatment of AD: acetylcholinesterase inhibitors and glutamatergic modulators. The approved acetylcholinesterase inhibitors donepezil, galantamine, and rivastigmine are designed to slow the degradation of acetylcholine, helping to preserve neuronal communication. Approved glutamatergic modulators, such as memantine, are designed to block sustained, low-level activation of the N-methyl-D-aspartate (“NMDA”) receptor. These drugs provide temporary benefit, but they do not slow or halt neuronal death and do not represent a change in the underlying course of disease. In addition, antidepressants and antipsychotics are often prescribed off-label to treat the symptoms of severe AD when patients suffer from agitation, aggressive behaviors, psychosis and depression. </w:t>
      </w:r>
    </w:p>
    <w:p>
      <w:pPr>
        <w:pStyle w:val="TextBody"/>
        <w:bidi w:val="0"/>
        <w:spacing w:before="240" w:after="0"/>
        <w:jc w:val="left"/>
        <w:rPr>
          <w:rFonts w:ascii="Times New Roman" w:hAnsi="Times New Roman"/>
          <w:sz w:val="20"/>
        </w:rPr>
      </w:pPr>
      <w:r>
        <w:rPr>
          <w:rFonts w:ascii="Times New Roman" w:hAnsi="Times New Roman"/>
          <w:sz w:val="20"/>
        </w:rPr>
        <w:t>The biology of AD is complex, involving progressive, interactive and destructive processes that lead to neuronal dysfunction and cell death. The pharmaceutical industry has taken notice of the unmet need by developing therapies intended to be disease-modifying rather than simply targeting symptom relief. Indeed, there are more than 80 product candidates currently in Phase 2 or Phase 3 trials aimed at altering the course of AD progression. Recent drug candidates under development for AD include those focused on A</w:t>
      </w:r>
      <w:r>
        <w:rPr>
          <w:rFonts w:ascii="SYMBOL" w:hAnsi="SYMBOL"/>
          <w:sz w:val="20"/>
        </w:rPr>
        <w:t>b</w:t>
      </w:r>
      <w:r>
        <w:rPr>
          <w:rFonts w:ascii="Times New Roman" w:hAnsi="Times New Roman"/>
          <w:sz w:val="20"/>
        </w:rPr>
        <w:t xml:space="preserve"> synthesis or clearance from the brain, the synthesis, phosphorylation, or clearance from the brain of tau protein, chronic inflammation, vascular dysfunction, metabolic dysregulation and neurotoxicity. However, most of these drug candidates have so far failed to demonstrate significant benefit. </w:t>
      </w:r>
    </w:p>
    <w:p>
      <w:pPr>
        <w:pStyle w:val="TextBody"/>
        <w:bidi w:val="0"/>
        <w:spacing w:before="240" w:after="0"/>
        <w:jc w:val="left"/>
        <w:rPr>
          <w:rFonts w:ascii="Times New Roman" w:hAnsi="Times New Roman"/>
          <w:sz w:val="20"/>
        </w:rPr>
      </w:pPr>
      <w:r>
        <w:rPr>
          <w:rFonts w:ascii="Times New Roman" w:hAnsi="Times New Roman"/>
          <w:sz w:val="20"/>
        </w:rPr>
        <w:t>Clinical trials of three FDA-approved anti-A</w:t>
      </w:r>
      <w:r>
        <w:rPr>
          <w:rFonts w:ascii="SYMBOL" w:hAnsi="SYMBOL"/>
          <w:sz w:val="20"/>
        </w:rPr>
        <w:t>b</w:t>
      </w:r>
      <w:r>
        <w:rPr>
          <w:rFonts w:ascii="Times New Roman" w:hAnsi="Times New Roman"/>
          <w:sz w:val="20"/>
        </w:rPr>
        <w:t xml:space="preserve"> antibodies have demonstrated that reductions in amyloid plaques provide meaningful clinical benefit in AD. The most significant clinical outcomes have been reported for lecanemab, marketed as Leqembi® by Biogen and Eisai, and donanemab, marketed as Kisunla® by Eli Lilly. Both of these therapies slow AD progression by almost 30%, a modest but meaningful impact on disease progression that is projected to lead to benefits in healthcare-related resource utilization.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1470" cy="23634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11470" cy="23634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2. Lecanemab and donanemab slow the rate of AD disease progression by about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important observation from clinical trials of anti-A</w:t>
      </w:r>
      <w:r>
        <w:rPr>
          <w:rFonts w:ascii="SYMBOL" w:hAnsi="SYMBOL"/>
          <w:sz w:val="20"/>
        </w:rPr>
        <w:t>b</w:t>
      </w:r>
      <w:r>
        <w:rPr>
          <w:rFonts w:ascii="Times New Roman" w:hAnsi="Times New Roman"/>
          <w:sz w:val="20"/>
        </w:rPr>
        <w:t xml:space="preserve"> antibodies is the correlation between the degree of A</w:t>
      </w:r>
      <w:r>
        <w:rPr>
          <w:rFonts w:ascii="SYMBOL" w:hAnsi="SYMBOL"/>
          <w:sz w:val="20"/>
        </w:rPr>
        <w:t>b</w:t>
      </w:r>
      <w:r>
        <w:rPr>
          <w:rFonts w:ascii="Times New Roman" w:hAnsi="Times New Roman"/>
          <w:sz w:val="20"/>
        </w:rPr>
        <w:t xml:space="preserve"> plaque removal and the impact on disease progression. Antibodies such as solanezumab and crenezumab, which had minimal impact on A</w:t>
      </w:r>
      <w:r>
        <w:rPr>
          <w:rFonts w:ascii="SYMBOL" w:hAnsi="SYMBOL"/>
          <w:sz w:val="20"/>
        </w:rPr>
        <w:t>b</w:t>
      </w:r>
      <w:r>
        <w:rPr>
          <w:rFonts w:ascii="Times New Roman" w:hAnsi="Times New Roman"/>
          <w:sz w:val="20"/>
        </w:rPr>
        <w:t xml:space="preserve"> plaque removal, did not lead to meaningful effects on clinical symptoms.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7385" cy="28124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77385" cy="2812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3. Increased reduction in amyloid plaques across multiple Phase 3 clinical trials is associated with reduced rate of cognitive decline. The sizes of the bubbles represent the number of patients. </w:t>
      </w:r>
    </w:p>
    <w:p>
      <w:pPr>
        <w:pStyle w:val="TextBody"/>
        <w:bidi w:val="0"/>
        <w:spacing w:before="0" w:after="0"/>
        <w:jc w:val="center"/>
        <w:rPr>
          <w:rFonts w:ascii="Times New Roman" w:hAnsi="Times New Roman"/>
          <w:i/>
          <w:sz w:val="20"/>
        </w:rPr>
      </w:pPr>
      <w:r>
        <w:rPr>
          <w:rFonts w:ascii="Times New Roman" w:hAnsi="Times New Roman"/>
          <w:i/>
          <w:sz w:val="20"/>
        </w:rPr>
        <w:t xml:space="preserve">Figure adapted from 2023 Boxer (Cell). </w:t>
      </w:r>
    </w:p>
    <w:p>
      <w:pPr>
        <w:pStyle w:val="TextBody"/>
        <w:bidi w:val="0"/>
        <w:spacing w:before="240" w:after="0"/>
        <w:jc w:val="left"/>
        <w:rPr>
          <w:rFonts w:ascii="Times New Roman" w:hAnsi="Times New Roman"/>
          <w:sz w:val="20"/>
        </w:rPr>
      </w:pPr>
      <w:r>
        <w:rPr>
          <w:rFonts w:ascii="Times New Roman" w:hAnsi="Times New Roman"/>
          <w:sz w:val="20"/>
        </w:rPr>
        <w:t>A challenge associated with approved anti-A</w:t>
      </w:r>
      <w:r>
        <w:rPr>
          <w:rFonts w:ascii="SYMBOL" w:hAnsi="SYMBOL"/>
          <w:sz w:val="20"/>
        </w:rPr>
        <w:t>b</w:t>
      </w:r>
      <w:r>
        <w:rPr>
          <w:rFonts w:ascii="Times New Roman" w:hAnsi="Times New Roman"/>
          <w:sz w:val="20"/>
        </w:rPr>
        <w:t xml:space="preserve"> therapies is the risk that patients treated with them may develop neurological complications referred to as ARIA. Although the mechanisms underlying ARIA remain incompletely understood, the occurrence of these adverse events appears to be linked to vascular amyloid deposition. In clinical studies, approximately 15% to 25% of patients treated with anti-A</w:t>
      </w:r>
      <w:r>
        <w:rPr>
          <w:rFonts w:ascii="SYMBOL" w:hAnsi="SYMBOL"/>
          <w:sz w:val="20"/>
        </w:rPr>
        <w:t>b</w:t>
      </w:r>
      <w:r>
        <w:rPr>
          <w:rFonts w:ascii="Times New Roman" w:hAnsi="Times New Roman"/>
          <w:sz w:val="20"/>
        </w:rPr>
        <w:t xml:space="preserve"> therapies developed ARIA. ARIA consists of two forms: a form associated with hemorrhage, known as ARIA-H; and a form associated with edema, known as ARIA-E. While ARIA occurs at a low rate in AD patients, anti-A</w:t>
      </w:r>
      <w:r>
        <w:rPr>
          <w:rFonts w:ascii="SYMBOL" w:hAnsi="SYMBOL"/>
          <w:sz w:val="20"/>
        </w:rPr>
        <w:t>b</w:t>
      </w:r>
      <w:r>
        <w:rPr>
          <w:rFonts w:ascii="Times New Roman" w:hAnsi="Times New Roman"/>
          <w:sz w:val="20"/>
        </w:rPr>
        <w:t xml:space="preserve"> antibodies increase rates of ARIA by damaging blood vessels. Increased ARIA-H is correlated with worsening cognition although symptoms can be avoided if ARIA-H is detected early and treatment suspended. ARIA-E is associated with symptoms that include worsening of cognition, headache, and gait disturbance, which can be severe enough to lead to hospitalization. Anti-A</w:t>
      </w:r>
      <w:r>
        <w:rPr>
          <w:rFonts w:ascii="SYMBOL" w:hAnsi="SYMBOL"/>
          <w:sz w:val="20"/>
        </w:rPr>
        <w:t>b</w:t>
      </w:r>
      <w:r>
        <w:rPr>
          <w:rFonts w:ascii="Times New Roman" w:hAnsi="Times New Roman"/>
          <w:sz w:val="20"/>
        </w:rPr>
        <w:t xml:space="preserve"> therapies carry a black box warning due to the risk of serious or life-threatening complications from ARIA.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3536950" cy="29184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36950" cy="2918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4. Treatment with anti-A</w:t>
      </w:r>
      <w:r>
        <w:rPr>
          <w:rFonts w:ascii="SYMBOL" w:hAnsi="SYMBOL"/>
          <w:sz w:val="20"/>
        </w:rPr>
        <w:t>b</w:t>
      </w:r>
      <w:r>
        <w:rPr>
          <w:rFonts w:ascii="Times New Roman" w:hAnsi="Times New Roman"/>
          <w:sz w:val="20"/>
        </w:rPr>
        <w:t xml:space="preserve"> </w:t>
      </w:r>
      <w:r>
        <w:rPr>
          <w:rFonts w:ascii="Times New Roman" w:hAnsi="Times New Roman"/>
          <w:i/>
          <w:sz w:val="20"/>
        </w:rPr>
        <w:t xml:space="preserve">antibodies is associated with the development of ARIA-E and ARIA-H </w:t>
      </w:r>
    </w:p>
    <w:p>
      <w:pPr>
        <w:pStyle w:val="TextBody"/>
        <w:bidi w:val="0"/>
        <w:spacing w:before="240" w:after="0"/>
        <w:jc w:val="left"/>
        <w:rPr>
          <w:rFonts w:ascii="Times New Roman" w:hAnsi="Times New Roman"/>
          <w:sz w:val="20"/>
        </w:rPr>
      </w:pPr>
      <w:r>
        <w:rPr>
          <w:rFonts w:ascii="Times New Roman" w:hAnsi="Times New Roman"/>
          <w:sz w:val="20"/>
        </w:rPr>
        <w:t>Monitoring for ARIA requires regular cerebral MRI imaging during the first six months of anti-A</w:t>
      </w:r>
      <w:r>
        <w:rPr>
          <w:rFonts w:ascii="SYMBOL" w:hAnsi="SYMBOL"/>
          <w:sz w:val="20"/>
        </w:rPr>
        <w:t>b</w:t>
      </w:r>
      <w:r>
        <w:rPr>
          <w:rFonts w:ascii="Times New Roman" w:hAnsi="Times New Roman"/>
          <w:sz w:val="20"/>
        </w:rPr>
        <w:t xml:space="preserve"> therapy, which is when the vast majority of ARIA events occur. This, combined with the need to administer these therapies by intravenous infusion, results in a high burden on patients, caregivers, and the healthcare system. </w:t>
      </w:r>
    </w:p>
    <w:p>
      <w:pPr>
        <w:pStyle w:val="TextBody"/>
        <w:bidi w:val="0"/>
        <w:spacing w:before="0" w:after="0"/>
        <w:jc w:val="left"/>
        <w:rPr/>
      </w:pPr>
      <w:r>
        <w:rPr/>
        <w:t> </w:t>
      </w:r>
    </w:p>
    <w:p>
      <w:pPr>
        <w:pStyle w:val="TextBody"/>
        <w:bidi w:val="0"/>
        <w:spacing w:before="0" w:after="0"/>
        <w:jc w:val="center"/>
        <w:rPr/>
      </w:pPr>
      <w:r>
        <w:rPr/>
        <w:drawing>
          <wp:inline distT="0" distB="0" distL="0" distR="0">
            <wp:extent cx="5561330" cy="22339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61330" cy="22339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5. Treatment regimens for Leqembi and Kisunla based on their FDA approved labels </w:t>
      </w:r>
    </w:p>
    <w:p>
      <w:pPr>
        <w:pStyle w:val="TextBody"/>
        <w:bidi w:val="0"/>
        <w:spacing w:before="240" w:after="0"/>
        <w:jc w:val="left"/>
        <w:rPr>
          <w:rFonts w:ascii="Times New Roman" w:hAnsi="Times New Roman"/>
          <w:sz w:val="20"/>
        </w:rPr>
      </w:pPr>
      <w:r>
        <w:rPr>
          <w:rFonts w:ascii="Times New Roman" w:hAnsi="Times New Roman"/>
          <w:sz w:val="20"/>
        </w:rPr>
        <w:t xml:space="preserve">Leqembi and Kisunla received FDA approval in 2023 and 2024, respectively, and had combined annual revenue of about $900 million in 2025. Both are expected to become multi-billion-dollar products despite the documented risk of ARIA. Korsana believes that therapies offering improved efficacy and greater tolerability can benefit from the growing awareness of disease-modifying anti-amyloid therapies that these early entrants have generated among patients, caregivers, and healthcare providers and can not only address the current patient population but also expand the addressable AD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Korsana’s solution, KRSA-028 </w:t>
      </w:r>
    </w:p>
    <w:p>
      <w:pPr>
        <w:pStyle w:val="TextBody"/>
        <w:bidi w:val="0"/>
        <w:spacing w:before="120" w:after="0"/>
        <w:jc w:val="left"/>
        <w:rPr>
          <w:rFonts w:ascii="Times New Roman" w:hAnsi="Times New Roman"/>
          <w:sz w:val="20"/>
        </w:rPr>
      </w:pPr>
      <w:r>
        <w:rPr>
          <w:rFonts w:ascii="Times New Roman" w:hAnsi="Times New Roman"/>
          <w:sz w:val="20"/>
        </w:rPr>
        <w:t>KRSA-028 is an anti-A</w:t>
      </w:r>
      <w:r>
        <w:rPr>
          <w:rFonts w:ascii="SYMBOL" w:hAnsi="SYMBOL"/>
          <w:sz w:val="20"/>
        </w:rPr>
        <w:t>b</w:t>
      </w:r>
      <w:r>
        <w:rPr>
          <w:rFonts w:ascii="Times New Roman" w:hAnsi="Times New Roman"/>
          <w:sz w:val="20"/>
        </w:rPr>
        <w:t xml:space="preserve"> antibody designed to improve AD treatment by addressing key limitations of existing therapies. KRSA-028 is designed to increase the delivery of anti-A</w:t>
      </w:r>
      <w:r>
        <w:rPr>
          <w:rFonts w:ascii="SYMBOL" w:hAnsi="SYMBOL"/>
          <w:sz w:val="20"/>
        </w:rPr>
        <w:t>b</w:t>
      </w:r>
      <w:r>
        <w:rPr>
          <w:rFonts w:ascii="Times New Roman" w:hAnsi="Times New Roman"/>
          <w:sz w:val="20"/>
        </w:rPr>
        <w:t xml:space="preserve"> activity to the brain through convenient subcutaneous injections while minimizing the risk of ARIA. </w:t>
      </w:r>
    </w:p>
    <w:p>
      <w:pPr>
        <w:pStyle w:val="TextBody"/>
        <w:bidi w:val="0"/>
        <w:spacing w:before="240" w:after="0"/>
        <w:jc w:val="left"/>
        <w:rPr>
          <w:rFonts w:ascii="Times New Roman" w:hAnsi="Times New Roman"/>
          <w:sz w:val="20"/>
        </w:rPr>
      </w:pPr>
      <w:r>
        <w:rPr>
          <w:rFonts w:ascii="Times New Roman" w:hAnsi="Times New Roman"/>
          <w:sz w:val="20"/>
        </w:rPr>
        <w:t xml:space="preserve">Key features of KRSA-028’s design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TfR based shuttle designed to potentially improve delivery to the brain, which may potentially avoid the high local concentrations thought to be associated with the development of ARIA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pairing of a novel TfR1-targeting domain with a proprietary combination of Fc modifications designed to improve pharmacokinetics, spare reticulocytes from destruction, and preserve amyloid phagocytosis is a key differentiator for KRSA-028, and has been named the “Therapeutics Targeting” platform, or “THETA”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466715" cy="23279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66715" cy="23279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6. Design of KRSA-028 </w:t>
      </w:r>
    </w:p>
    <w:p>
      <w:pPr>
        <w:pStyle w:val="TextBody"/>
        <w:bidi w:val="0"/>
        <w:spacing w:before="240" w:after="0"/>
        <w:jc w:val="left"/>
        <w:rPr>
          <w:rFonts w:ascii="Times New Roman" w:hAnsi="Times New Roman"/>
          <w:i/>
          <w:sz w:val="20"/>
        </w:rPr>
      </w:pPr>
      <w:r>
        <w:rPr>
          <w:rFonts w:ascii="Times New Roman" w:hAnsi="Times New Roman"/>
          <w:i/>
          <w:sz w:val="20"/>
        </w:rPr>
        <w:t xml:space="preserve">Increased brain exposure through shuttling </w:t>
      </w:r>
    </w:p>
    <w:p>
      <w:pPr>
        <w:pStyle w:val="TextBody"/>
        <w:bidi w:val="0"/>
        <w:spacing w:before="120" w:after="0"/>
        <w:jc w:val="left"/>
        <w:rPr>
          <w:rFonts w:ascii="Times New Roman" w:hAnsi="Times New Roman"/>
          <w:sz w:val="20"/>
        </w:rPr>
      </w:pPr>
      <w:r>
        <w:rPr>
          <w:rFonts w:ascii="Times New Roman" w:hAnsi="Times New Roman"/>
          <w:sz w:val="20"/>
        </w:rPr>
        <w:t>A challenge with most biotherapeutics is that the blood-brain barrier severely limits the ability of these molecules to enter the brain. Although the brain is highly vascularized, molecules such as antibodies are unable to readily cross the blood-brain barrier, limiting their therapeutic potential. Approved anti-A</w:t>
      </w:r>
      <w:r>
        <w:rPr>
          <w:rFonts w:ascii="SYMBOL" w:hAnsi="SYMBOL"/>
          <w:sz w:val="20"/>
        </w:rPr>
        <w:t>b</w:t>
      </w:r>
      <w:r>
        <w:rPr>
          <w:rFonts w:ascii="Times New Roman" w:hAnsi="Times New Roman"/>
          <w:sz w:val="20"/>
        </w:rPr>
        <w:t xml:space="preserve"> antibodies aducanumab, lecanemab and donanemab all face this problem. To compensate for poor brain permeability, doses of these drugs can approach or exceed 1000 mg to achieve significant reductions in 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high levels limit the administration of the highest doses to intravenous infusions. The first subcutaneous product, Leqembi Iqlik™, is approved by the FDA as a maintenance therapy for AD. Weekly subcutaneous doses of Leqembi Iqlik result in serum levels of lecanemab that are approximately half of those achieved with biweekly intravenous dosing of 10 mg/kg, which is the dosage recommended for the first 18 months of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method for overcoming the limitations posed by the blood-brain barrier is to take advantage of the natural process that is used to shuttle substances such as transferrin across the barrier. In this process, referred to as receptor-mediated transcytosis, a substance to be transported binds to specific receptors on cells that face blood capillaries. Upon binding, the receptor-ligand complexes are transported through the cell and the ligand is released into the brain. There is a well-documented precedent for using TfR to shuttle biotherapeutics across the blood-brain barrier, including the shuttling of an anti-A</w:t>
      </w:r>
      <w:r>
        <w:rPr>
          <w:rFonts w:ascii="SYMBOL" w:hAnsi="SYMBOL"/>
          <w:sz w:val="20"/>
        </w:rPr>
        <w:t>b</w:t>
      </w:r>
      <w:r>
        <w:rPr>
          <w:rFonts w:ascii="Times New Roman" w:hAnsi="Times New Roman"/>
          <w:sz w:val="20"/>
        </w:rPr>
        <w:t xml:space="preserve"> antibody in clinical development.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22570" cy="2993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22570" cy="2993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7. TfR-mediated transcytosis provides a mechanism to transport antibodies across the blood-brain barrier </w:t>
      </w:r>
    </w:p>
    <w:p>
      <w:pPr>
        <w:pStyle w:val="TextBody"/>
        <w:bidi w:val="0"/>
        <w:spacing w:before="240" w:after="0"/>
        <w:jc w:val="left"/>
        <w:rPr>
          <w:rFonts w:ascii="Times New Roman" w:hAnsi="Times New Roman"/>
          <w:sz w:val="20"/>
        </w:rPr>
      </w:pPr>
      <w:r>
        <w:rPr>
          <w:rFonts w:ascii="Times New Roman" w:hAnsi="Times New Roman"/>
          <w:sz w:val="20"/>
        </w:rPr>
        <w:t>Gantenerumab is an anti-A</w:t>
      </w:r>
      <w:r>
        <w:rPr>
          <w:rFonts w:ascii="SYMBOL" w:hAnsi="SYMBOL"/>
          <w:sz w:val="20"/>
        </w:rPr>
        <w:t>b</w:t>
      </w:r>
      <w:r>
        <w:rPr>
          <w:rFonts w:ascii="Times New Roman" w:hAnsi="Times New Roman"/>
          <w:sz w:val="20"/>
        </w:rPr>
        <w:t xml:space="preserve"> antibody originally developed by Genentech/Roche that does not contain a shuttle domain. Gantenerumab failed to significantly slow AD progression in two Phase 3 trials. One of the challenges with gantenerumab was that it was associated with a high rate of ARIA. Despite a dose titration regimen that was intended to minimize adverse events, up to 26% of patients experienced ARIA. </w:t>
      </w:r>
    </w:p>
    <w:p>
      <w:pPr>
        <w:pStyle w:val="TextBody"/>
        <w:bidi w:val="0"/>
        <w:spacing w:before="240" w:after="0"/>
        <w:jc w:val="left"/>
        <w:rPr>
          <w:rFonts w:ascii="Times New Roman" w:hAnsi="Times New Roman"/>
          <w:sz w:val="20"/>
        </w:rPr>
      </w:pPr>
      <w:r>
        <w:rPr>
          <w:rFonts w:ascii="Times New Roman" w:hAnsi="Times New Roman"/>
          <w:sz w:val="20"/>
        </w:rPr>
        <w:t>Roche used TfR technology to create trontinemab, a molecule designed to overcome these limitations. Trontinemab was designed to improve the anti-A</w:t>
      </w:r>
      <w:r>
        <w:rPr>
          <w:rFonts w:ascii="SYMBOL" w:hAnsi="SYMBOL"/>
          <w:sz w:val="20"/>
        </w:rPr>
        <w:t>b</w:t>
      </w:r>
      <w:r>
        <w:rPr>
          <w:rFonts w:ascii="Times New Roman" w:hAnsi="Times New Roman"/>
          <w:sz w:val="20"/>
        </w:rPr>
        <w:t xml:space="preserve"> activity of gantenerumab through the attachment of a protein domain engineered to use the TfR to shuttle it across the blood-brain barrier. Trontinemab was shown to have two properties that differentiated it from gantenerumab: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CNS exposure of drug, as measured by the ratio of drug in the cerebrospinal fluid, or CSF, compared to plasma, was eight-fold higher after a dose of 10 mg/kg trontinemab compared to what was previously observed after a 20 mg/kg dose of gantenerumab. Importantly, treatment with trontinemab led to more rapid reductions in amyloid levels in AD patients. Over 90% of patients treated with 3.6 mg/kg trontinemab achieved amyloid-negative status by week 28, whereas only 28% of patients treated with 510 mg gantenerumab achieved amyloid-negative status by week 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477510" cy="224282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77510" cy="22428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8. Trontinemab led to higher brain exposure and more rapid reductions in amyloid than historic results with gantenerumab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Despite higher brain exposure, trontinemab was associated with a decreased risk of ARIA compared to gantenerumab. This reduction of ARIA is believed to result from trontinemab largely avoiding exposing vascular tissue in the brain to high levels of anti-A</w:t>
            </w:r>
            <w:r>
              <w:rPr>
                <w:rFonts w:ascii="SYMBOL" w:hAnsi="SYMBOL"/>
                <w:sz w:val="20"/>
              </w:rPr>
              <w:t>b</w:t>
            </w:r>
            <w:r>
              <w:rPr>
                <w:rFonts w:ascii="Times New Roman" w:hAnsi="Times New Roman"/>
                <w:sz w:val="20"/>
              </w:rPr>
              <w:t xml:space="preserve"> antibodies. Although the mechanisms underlying ARIA remain incompletely understood, the occurrence of these adverse events appears to be linked to vascular amyloid deposition. Both the lower doses of trontinemab and its ability to be shuttled across the blood-brain barrier may reduce the frequency of ARIA by limiting vascular amyloid exposure.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KRSA-028 was designed with a proprietary TfR-based shuttle domain to increase brain penetration and reduce ARIA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studies of KRSA-028 </w:t>
      </w:r>
    </w:p>
    <w:p>
      <w:pPr>
        <w:pStyle w:val="TextBody"/>
        <w:bidi w:val="0"/>
        <w:spacing w:before="120" w:after="0"/>
        <w:jc w:val="left"/>
        <w:rPr>
          <w:rFonts w:ascii="Times New Roman" w:hAnsi="Times New Roman"/>
          <w:sz w:val="20"/>
        </w:rPr>
      </w:pPr>
      <w:r>
        <w:rPr>
          <w:rFonts w:ascii="Times New Roman" w:hAnsi="Times New Roman"/>
          <w:sz w:val="20"/>
        </w:rPr>
        <w:t>Korsana conducted multiple in vitro analytical similarity assessments comparing KRSA-028 to reference material generated by Paragon intended to model both investigational as well as marketed disease-modifying immunotherapies for AD. The assessments included measurements of brain penetration, half-life, and effect on reticulocytes in non-human primates and in vitro activity in cellular uptake of 3pE-A</w:t>
      </w:r>
      <w:r>
        <w:rPr>
          <w:rFonts w:ascii="SYMBOL" w:hAnsi="SYMBOL"/>
          <w:sz w:val="20"/>
        </w:rPr>
        <w:t>b</w:t>
      </w:r>
      <w:r>
        <w:rPr>
          <w:rFonts w:ascii="Times New Roman" w:hAnsi="Times New Roman"/>
          <w:sz w:val="20"/>
        </w:rPr>
        <w:t xml:space="preserve"> fibrils, and the results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both mice and NHPs, KRSA-028 resulted in higher levels in the brain than equivalent doses of trontinemab,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5430" cy="226314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45430" cy="22631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Figure 9. KRSA-028 had higher brain penetration in mice and NHPs than trontinemab </w:t>
      </w:r>
    </w:p>
    <w:p>
      <w:pPr>
        <w:pStyle w:val="TextBody"/>
        <w:bidi w:val="0"/>
        <w:spacing w:before="120" w:after="0"/>
        <w:jc w:val="left"/>
        <w:rPr>
          <w:rFonts w:ascii="Times New Roman" w:hAnsi="Times New Roman"/>
          <w:sz w:val="20"/>
        </w:rPr>
      </w:pPr>
      <w:r>
        <w:rPr>
          <w:rFonts w:ascii="Times New Roman" w:hAnsi="Times New Roman"/>
          <w:i/>
          <w:sz w:val="20"/>
        </w:rPr>
        <w:t>Targeting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Analysis of amyloid plaques identified that a significant portion of A</w:t>
      </w:r>
      <w:r>
        <w:rPr>
          <w:rFonts w:ascii="SYMBOL" w:hAnsi="SYMBOL"/>
          <w:sz w:val="20"/>
        </w:rPr>
        <w:t>b</w:t>
      </w:r>
      <w:r>
        <w:rPr>
          <w:rFonts w:ascii="Times New Roman" w:hAnsi="Times New Roman"/>
          <w:sz w:val="20"/>
        </w:rPr>
        <w:t xml:space="preserve"> protein contains modified amino acids. Approximately 25% of the total A</w:t>
      </w:r>
      <w:r>
        <w:rPr>
          <w:rFonts w:ascii="SYMBOL" w:hAnsi="SYMBOL"/>
          <w:sz w:val="20"/>
        </w:rPr>
        <w:t>b</w:t>
      </w:r>
      <w:r>
        <w:rPr>
          <w:rFonts w:ascii="Times New Roman" w:hAnsi="Times New Roman"/>
          <w:sz w:val="20"/>
        </w:rPr>
        <w:t>42 in plaques has an altered form of the amino acid glutamate known as pE at position 3. This altered form of A</w:t>
      </w:r>
      <w:r>
        <w:rPr>
          <w:rFonts w:ascii="SYMBOL" w:hAnsi="SYMBOL"/>
          <w:sz w:val="20"/>
        </w:rPr>
        <w:t>b</w:t>
      </w:r>
      <w:r>
        <w:rPr>
          <w:rFonts w:ascii="Times New Roman" w:hAnsi="Times New Roman"/>
          <w:sz w:val="20"/>
        </w:rPr>
        <w:t>42, 3pE-A</w:t>
      </w:r>
      <w:r>
        <w:rPr>
          <w:rFonts w:ascii="SYMBOL" w:hAnsi="SYMBOL"/>
          <w:sz w:val="20"/>
        </w:rPr>
        <w:t>b</w:t>
      </w:r>
      <w:r>
        <w:rPr>
          <w:rFonts w:ascii="Times New Roman" w:hAnsi="Times New Roman"/>
          <w:sz w:val="20"/>
        </w:rPr>
        <w:t xml:space="preserve">, is highly prone to the type of AD-associated amyloid clustering known as oligomerization and is believed to be a key driver in AD pathogenesis. </w:t>
      </w:r>
    </w:p>
    <w:p>
      <w:pPr>
        <w:pStyle w:val="TextBody"/>
        <w:bidi w:val="0"/>
        <w:spacing w:before="240" w:after="0"/>
        <w:jc w:val="left"/>
        <w:rPr>
          <w:rFonts w:ascii="Times New Roman" w:hAnsi="Times New Roman"/>
          <w:sz w:val="20"/>
        </w:rPr>
      </w:pPr>
      <w:r>
        <w:rPr>
          <w:rFonts w:ascii="Times New Roman" w:hAnsi="Times New Roman"/>
          <w:sz w:val="20"/>
        </w:rPr>
        <w:t>Donanemab, an anti-3pE-A</w:t>
      </w:r>
      <w:r>
        <w:rPr>
          <w:rFonts w:ascii="SYMBOL" w:hAnsi="SYMBOL"/>
          <w:sz w:val="20"/>
        </w:rPr>
        <w:t>b</w:t>
      </w:r>
      <w:r>
        <w:rPr>
          <w:rFonts w:ascii="Times New Roman" w:hAnsi="Times New Roman"/>
          <w:sz w:val="20"/>
        </w:rPr>
        <w:t xml:space="preserve"> antibody, is associated with both a greater reduction in amyloid plaques and reduced rate of clinical decline in AD than other anti-A</w:t>
      </w:r>
      <w:r>
        <w:rPr>
          <w:rFonts w:ascii="SYMBOL" w:hAnsi="SYMBOL"/>
          <w:sz w:val="20"/>
        </w:rPr>
        <w:t>b</w:t>
      </w:r>
      <w:r>
        <w:rPr>
          <w:rFonts w:ascii="Times New Roman" w:hAnsi="Times New Roman"/>
          <w:sz w:val="20"/>
        </w:rPr>
        <w:t xml:space="preserve"> antibodies that do not target 3pE-A</w:t>
      </w:r>
      <w:r>
        <w:rPr>
          <w:rFonts w:ascii="SYMBOL" w:hAnsi="SYMBOL"/>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KRSA-028 was designed to target the same epitope or region of 3pE-A</w:t>
      </w:r>
      <w:r>
        <w:rPr>
          <w:rFonts w:ascii="SYMBOL" w:hAnsi="SYMBOL"/>
          <w:sz w:val="20"/>
        </w:rPr>
        <w:t>b</w:t>
      </w:r>
      <w:r>
        <w:rPr>
          <w:rFonts w:ascii="Times New Roman" w:hAnsi="Times New Roman"/>
          <w:sz w:val="20"/>
        </w:rPr>
        <w:t xml:space="preserve"> as donanemab and remternetug, a follow-on antibody to donanemab currently being developed by Eli Lilly. </w:t>
      </w:r>
      <w:r>
        <w:rPr>
          <w:rFonts w:ascii="Times New Roman" w:hAnsi="Times New Roman"/>
          <w:i/>
          <w:sz w:val="20"/>
        </w:rPr>
        <w:t>In vitro</w:t>
      </w:r>
      <w:r>
        <w:rPr>
          <w:rFonts w:ascii="Times New Roman" w:hAnsi="Times New Roman"/>
          <w:sz w:val="20"/>
        </w:rPr>
        <w:t xml:space="preserve"> assays found that KRSA-028 had similar potency and activity in cellular uptake of 3pE-A</w:t>
      </w:r>
      <w:r>
        <w:rPr>
          <w:rFonts w:ascii="SYMBOL" w:hAnsi="SYMBOL"/>
          <w:sz w:val="20"/>
        </w:rPr>
        <w:t>b</w:t>
      </w:r>
      <w:r>
        <w:rPr>
          <w:rFonts w:ascii="Times New Roman" w:hAnsi="Times New Roman"/>
          <w:sz w:val="20"/>
        </w:rPr>
        <w:t xml:space="preserve"> fibrils as donanemab and remternetug, both of which Paragon generated based on published information.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088765" cy="24472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88765" cy="24472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10. KRSA-028 had similar activity in a cellular 3pE-Aß uptake assay as donanemab </w:t>
      </w:r>
    </w:p>
    <w:p>
      <w:pPr>
        <w:pStyle w:val="TextBody"/>
        <w:bidi w:val="0"/>
        <w:spacing w:before="120" w:after="0"/>
        <w:jc w:val="left"/>
        <w:rPr>
          <w:rFonts w:ascii="Times New Roman" w:hAnsi="Times New Roman"/>
          <w:i/>
          <w:sz w:val="20"/>
        </w:rPr>
      </w:pPr>
      <w:r>
        <w:rPr>
          <w:rFonts w:ascii="Times New Roman" w:hAnsi="Times New Roman"/>
          <w:i/>
          <w:sz w:val="20"/>
        </w:rPr>
        <w:t xml:space="preserve">Fc engineering </w:t>
      </w:r>
    </w:p>
    <w:p>
      <w:pPr>
        <w:pStyle w:val="TextBody"/>
        <w:bidi w:val="0"/>
        <w:spacing w:before="120" w:after="0"/>
        <w:jc w:val="left"/>
        <w:rPr>
          <w:rFonts w:ascii="Times New Roman" w:hAnsi="Times New Roman"/>
          <w:sz w:val="20"/>
        </w:rPr>
      </w:pPr>
      <w:r>
        <w:rPr>
          <w:rFonts w:ascii="Times New Roman" w:hAnsi="Times New Roman"/>
          <w:sz w:val="20"/>
        </w:rPr>
        <w:t xml:space="preserve">The incorporation of a TfR shuttle domain into other biotherapeutics has a known potential advantage: it has been shown to increase biodistribution of various investigational biotherapeutics to the brain. However, incorporation of TfR shuttle technology also has a potential drawback: it typically decreases the overall half-life of the biotherapeutic due to the expression of the TfR in other tissues. Molecules that are recognized by the transferrin receptor in those tissues can be taken out of circulation by receptor-mediated endocytosis and degradation, thus reducing the amount of therapeutic molecules that are transferred into the brain. These other tissues include both cells that are part of the hematopoietic or blood-forming system such as bone-marrow cells as well as cells found in other tissues throughout the body. </w:t>
      </w:r>
    </w:p>
    <w:p>
      <w:pPr>
        <w:pStyle w:val="TextBody"/>
        <w:bidi w:val="0"/>
        <w:spacing w:before="240" w:after="0"/>
        <w:jc w:val="left"/>
        <w:rPr>
          <w:rFonts w:ascii="Times New Roman" w:hAnsi="Times New Roman"/>
          <w:sz w:val="20"/>
        </w:rPr>
      </w:pPr>
      <w:r>
        <w:rPr>
          <w:rFonts w:ascii="Times New Roman" w:hAnsi="Times New Roman"/>
          <w:sz w:val="20"/>
        </w:rPr>
        <w:t xml:space="preserve">Antibody-based therapeutics that include a TfR shuttle domain face another challenge: their binding to TfR on blood cells known as reticulocytes triggers the destruction of these reticulocytes by the immune system. This process is driven by interactions with the antibody’s Fc domain. This destruction of reticulocytes results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development of treatment-related anemia. Clinical results reported for trontinemab, an anti-A</w:t>
      </w:r>
      <w:r>
        <w:rPr>
          <w:rFonts w:ascii="SYMBOL" w:hAnsi="SYMBOL"/>
          <w:sz w:val="20"/>
        </w:rPr>
        <w:t>b</w:t>
      </w:r>
      <w:r>
        <w:rPr>
          <w:rFonts w:ascii="Times New Roman" w:hAnsi="Times New Roman"/>
          <w:sz w:val="20"/>
        </w:rPr>
        <w:t xml:space="preserve"> antibody containing a TfR-based shuttle domain, found that between 10% and 20% of treated patients experienced anemia. </w:t>
      </w:r>
    </w:p>
    <w:p>
      <w:pPr>
        <w:pStyle w:val="TextBody"/>
        <w:bidi w:val="0"/>
        <w:spacing w:before="0" w:after="0"/>
        <w:jc w:val="left"/>
        <w:rPr/>
      </w:pPr>
      <w:r>
        <w:rPr/>
        <w:t> </w:t>
      </w:r>
    </w:p>
    <w:p>
      <w:pPr>
        <w:pStyle w:val="TextBody"/>
        <w:bidi w:val="0"/>
        <w:spacing w:before="0" w:after="0"/>
        <w:jc w:val="center"/>
        <w:rPr/>
      </w:pPr>
      <w:r>
        <w:rPr/>
        <w:drawing>
          <wp:inline distT="0" distB="0" distL="0" distR="0">
            <wp:extent cx="4638040" cy="4660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638040" cy="466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Figure 11. Trontinemab treatment was associated with a risk of anemia </w:t>
      </w:r>
    </w:p>
    <w:p>
      <w:pPr>
        <w:pStyle w:val="TextBody"/>
        <w:bidi w:val="0"/>
        <w:spacing w:before="240" w:after="0"/>
        <w:jc w:val="left"/>
        <w:rPr>
          <w:rFonts w:ascii="Times New Roman" w:hAnsi="Times New Roman"/>
          <w:sz w:val="20"/>
        </w:rPr>
      </w:pPr>
      <w:r>
        <w:rPr>
          <w:rFonts w:ascii="Times New Roman" w:hAnsi="Times New Roman"/>
          <w:sz w:val="20"/>
        </w:rPr>
        <w:t>KRSA-028 was engineered to incorporate proprietary changes to its Fc domain to both improve its half-life in circulation and to reduce its propensity to cause anemia – without impairing its ability to cause phagocytosis of A</w:t>
      </w:r>
      <w:r>
        <w:rPr>
          <w:rFonts w:ascii="SYMBOL" w:hAnsi="SYMBOL"/>
          <w:sz w:val="20"/>
        </w:rPr>
        <w:t>b</w:t>
      </w:r>
      <w:r>
        <w:rPr>
          <w:rFonts w:ascii="Times New Roman" w:hAnsi="Times New Roman"/>
          <w:sz w:val="20"/>
        </w:rPr>
        <w:t xml:space="preserve"> plaques. Studies in NHPs demonstrate the impact of these changes on half-life and on anemia compared to trontinemab, which Paragon generated based on published information. KRSA-028 had a 2.5-fold longer half-life and did not lead to any reductions in reticulocytes compared to trontinemab. Korsana believes that both of these effects provide competitive advantages over trontinemab and other anti-A</w:t>
      </w:r>
      <w:r>
        <w:rPr>
          <w:rFonts w:ascii="SYMBOL" w:hAnsi="SYMBOL"/>
          <w:sz w:val="20"/>
        </w:rPr>
        <w:t>b</w:t>
      </w:r>
      <w:r>
        <w:rPr>
          <w:rFonts w:ascii="Times New Roman" w:hAnsi="Times New Roman"/>
          <w:sz w:val="20"/>
        </w:rPr>
        <w:t xml:space="preserve"> antibody product candidates that are designed to use a TfR-based shuttle domain.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14645" cy="236918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14645" cy="23691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12. Fc modifications incorporated into KRSA-028 improve its half-life and reduce the depletion of reticulocytes in NHPs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Improvement in properties to facilitate subcutaneous dosing </w:t>
      </w:r>
    </w:p>
    <w:p>
      <w:pPr>
        <w:pStyle w:val="TextBody"/>
        <w:bidi w:val="0"/>
        <w:spacing w:before="120" w:after="0"/>
        <w:jc w:val="left"/>
        <w:rPr>
          <w:rFonts w:ascii="Times New Roman" w:hAnsi="Times New Roman"/>
          <w:sz w:val="20"/>
        </w:rPr>
      </w:pPr>
      <w:r>
        <w:rPr>
          <w:rFonts w:ascii="Times New Roman" w:hAnsi="Times New Roman"/>
          <w:sz w:val="20"/>
        </w:rPr>
        <w:t xml:space="preserve">All FDA-approved therapies require burdensome administration and associated MRI monitoring. Kisunla requires monthly intravenous infusions and is not available as a subcutaneous formulation. Leqembi is available as a subcutaneous formulation, called Leqembi Iqlik, but maintenance dosing at 360 mg requires an initial 18-month treatment course of intravenous infusions. </w:t>
      </w:r>
    </w:p>
    <w:p>
      <w:pPr>
        <w:pStyle w:val="TextBody"/>
        <w:bidi w:val="0"/>
        <w:spacing w:before="240" w:after="0"/>
        <w:jc w:val="left"/>
        <w:rPr>
          <w:rFonts w:ascii="Times New Roman" w:hAnsi="Times New Roman"/>
          <w:sz w:val="20"/>
        </w:rPr>
      </w:pPr>
      <w:r>
        <w:rPr>
          <w:rFonts w:ascii="Times New Roman" w:hAnsi="Times New Roman"/>
          <w:sz w:val="20"/>
        </w:rPr>
        <w:t xml:space="preserve">KRSA-028 was designed to have the stability, viscosity, and solubility to specifically enable its delivery subcutaneously, thereby providing convenience for patients and reducing burdens on the healthcare system. Korsana believes KRSA-028 should be compatible for development as a drug-device combination product using a marketed autoinjector.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comparisons of the projected pharmacokinetics of KRSA-028 and that of trontinemab from clinical trials suggest that the exposure of a monthly 250 mg intravenous dose of trontinemab could be matched by a monthly subcutaneous dose of approximately 150 mg of KRSA-028. </w:t>
      </w:r>
    </w:p>
    <w:p>
      <w:pPr>
        <w:pStyle w:val="TextBody"/>
        <w:bidi w:val="0"/>
        <w:spacing w:before="0" w:after="0"/>
        <w:jc w:val="left"/>
        <w:rPr/>
      </w:pPr>
      <w:r>
        <w:rPr/>
        <w:t> </w:t>
      </w:r>
    </w:p>
    <w:p>
      <w:pPr>
        <w:pStyle w:val="TextBody"/>
        <w:bidi w:val="0"/>
        <w:spacing w:before="0" w:after="0"/>
        <w:jc w:val="center"/>
        <w:rPr/>
      </w:pPr>
      <w:r>
        <w:rPr/>
        <w:drawing>
          <wp:inline distT="0" distB="0" distL="0" distR="0">
            <wp:extent cx="3608705" cy="27374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08705" cy="27374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i/>
          <w:sz w:val="20"/>
        </w:rPr>
        <w:t>Figure 13. Exposure levels of 150 mg KRSA-028 delivered subcutaneously are projected to be equivalent to an intravenous doses of 250 mg trontinemab</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Competitive positioning of KRSA-028 </w:t>
      </w:r>
    </w:p>
    <w:p>
      <w:pPr>
        <w:pStyle w:val="TextBody"/>
        <w:bidi w:val="0"/>
        <w:spacing w:before="120" w:after="0"/>
        <w:jc w:val="left"/>
        <w:rPr>
          <w:rFonts w:ascii="Times New Roman" w:hAnsi="Times New Roman"/>
          <w:sz w:val="20"/>
        </w:rPr>
      </w:pPr>
      <w:r>
        <w:rPr>
          <w:rFonts w:ascii="Times New Roman" w:hAnsi="Times New Roman"/>
          <w:sz w:val="20"/>
        </w:rPr>
        <w:t>Korsana believes that KRSA-028’s combination of key features – TfR-mediated delivery across the blood-brain subcutaneous delivery – provides the potential to deliver meaningful clinical activity. Although KRSA-028 has yet to enter clinical development, Korsana believes that its preclinical profile offers the potential to have a number of competitive advantages over approved anti-A</w:t>
      </w:r>
      <w:r>
        <w:rPr>
          <w:rFonts w:ascii="SYMBOL" w:hAnsi="SYMBOL"/>
          <w:sz w:val="20"/>
        </w:rPr>
        <w:t>b</w:t>
      </w:r>
      <w:r>
        <w:rPr>
          <w:rFonts w:ascii="Times New Roman" w:hAnsi="Times New Roman"/>
          <w:sz w:val="20"/>
        </w:rPr>
        <w:t xml:space="preserve"> therapeutics and those in late-stage clinical development, including the potential to reduce ARIA risk, avoid anemia, and provide a differentiated subcutaneous administration profile.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of KRSA-028 </w:t>
      </w:r>
    </w:p>
    <w:p>
      <w:pPr>
        <w:pStyle w:val="TextBody"/>
        <w:bidi w:val="0"/>
        <w:spacing w:before="120" w:after="0"/>
        <w:jc w:val="left"/>
        <w:rPr>
          <w:rFonts w:ascii="Times New Roman" w:hAnsi="Times New Roman"/>
          <w:sz w:val="20"/>
        </w:rPr>
      </w:pPr>
      <w:r>
        <w:rPr>
          <w:rFonts w:ascii="Times New Roman" w:hAnsi="Times New Roman"/>
          <w:sz w:val="20"/>
        </w:rPr>
        <w:t>Approvals of other anti-A</w:t>
      </w:r>
      <w:r>
        <w:rPr>
          <w:rFonts w:ascii="SYMBOL" w:hAnsi="SYMBOL"/>
          <w:sz w:val="20"/>
        </w:rPr>
        <w:t>b</w:t>
      </w:r>
      <w:r>
        <w:rPr>
          <w:rFonts w:ascii="Times New Roman" w:hAnsi="Times New Roman"/>
          <w:sz w:val="20"/>
        </w:rPr>
        <w:t xml:space="preserve"> antibody therapeutics have, Korsana believes, provided a clear path for clinical development and established precedents for regulatory approval. Critical elements for the development of AD therapies are the availability of quantitative assessments of both amyloid levels in the brain and of clinical disease severity. A clear correlation between amyloid levels and disease severity has established that amyloid depletion can serve as an early biomarker for clinical activity. </w:t>
      </w:r>
    </w:p>
    <w:p>
      <w:pPr>
        <w:pStyle w:val="TextBody"/>
        <w:bidi w:val="0"/>
        <w:spacing w:before="240" w:after="0"/>
        <w:jc w:val="left"/>
        <w:rPr>
          <w:rFonts w:ascii="Times New Roman" w:hAnsi="Times New Roman"/>
          <w:sz w:val="20"/>
        </w:rPr>
      </w:pPr>
      <w:r>
        <w:rPr>
          <w:rFonts w:ascii="Times New Roman" w:hAnsi="Times New Roman"/>
          <w:sz w:val="20"/>
        </w:rPr>
        <w:t xml:space="preserve">Amyloid levels in the brain can be measured non-invasively using radiopharmaceuticals that specifically bind to amyloid and can be detected by positron emission tomography (“PET”). Although this technology has been available for over twenty years, it is only in the last decade or so that improved imaging agents such as florbetapir F18, marketed as Amyvid® by Eli Lilly; flutemetamol F18, marketed as Vizamyl® by GE Healthcare; and florbetaben F18, marketed as Neuraceq® by Lantheus, became widely used. </w:t>
      </w:r>
    </w:p>
    <w:p>
      <w:pPr>
        <w:pStyle w:val="TextBody"/>
        <w:bidi w:val="0"/>
        <w:spacing w:before="240" w:after="0"/>
        <w:jc w:val="left"/>
        <w:rPr>
          <w:rFonts w:ascii="Times New Roman" w:hAnsi="Times New Roman"/>
          <w:sz w:val="20"/>
        </w:rPr>
      </w:pPr>
      <w:r>
        <w:rPr>
          <w:rFonts w:ascii="Times New Roman" w:hAnsi="Times New Roman"/>
          <w:sz w:val="20"/>
        </w:rPr>
        <w:t>Plaque density is often reported in Centiloids (“CL”), a standardized, 100-point scale designed to quantify A</w:t>
      </w:r>
      <w:r>
        <w:rPr>
          <w:rFonts w:ascii="SYMBOL" w:hAnsi="SYMBOL"/>
          <w:sz w:val="20"/>
        </w:rPr>
        <w:t>b</w:t>
      </w:r>
      <w:r>
        <w:rPr>
          <w:rFonts w:ascii="Times New Roman" w:hAnsi="Times New Roman"/>
          <w:sz w:val="20"/>
        </w:rPr>
        <w:t xml:space="preserve"> plaque density in AD PET scans, anchoring a value of 0 CL as amyloid-negative and 100 CL as typical AD. It harmonizes data across different PET tracers, scanners, and analysis pipelines to ensure comparable, actionable results. The adoption of this standard within the field has enabled comparisons of data obtained across multiple sites as well as longitudinally collected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efficacy is often measured by the Clinical Dementia Rating Sum of Boxes (“CDR-SB”), an 18-point validated tool measuring both cognitive and functional impairment in AD. It sums scores from six domains: memory, orientation, judgment, community affairs, home/hobbies, and personal care. CDR-SB is accepted as a sensitive, standard outcome measure in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After Korsana completes GLP toxicity studies, it plans to submit a CTN in Australia or a CTA in New Zealand by the end of 2026 and an IND in the United States in the first quarter of 2027. Korsana has initiated interactions with the FDA regarding its clinical development plans for KRSA-028 and is in the process of collecting and analyzing FDA responses. Pending regulatory approval, the first-in-human (“FIH”), Phase 1/2 clinical trial is designed as an integrated SAD/MAD study in healthy adult participants and AD patients, respectively. The SAD portion of the study in healthy participants is expected to provide valuable data on safety, tolerability, pharmacokinetics, and CSF exposure by mid-year 2027. </w:t>
      </w:r>
    </w:p>
    <w:p>
      <w:pPr>
        <w:pStyle w:val="TextBody"/>
        <w:bidi w:val="0"/>
        <w:spacing w:before="240" w:after="0"/>
        <w:jc w:val="left"/>
        <w:rPr>
          <w:rFonts w:ascii="Times New Roman" w:hAnsi="Times New Roman"/>
          <w:sz w:val="20"/>
        </w:rPr>
      </w:pPr>
      <w:r>
        <w:rPr>
          <w:rFonts w:ascii="Times New Roman" w:hAnsi="Times New Roman"/>
          <w:sz w:val="20"/>
        </w:rPr>
        <w:t>The reduction in A</w:t>
      </w:r>
      <w:r>
        <w:rPr>
          <w:rFonts w:ascii="SYMBOL" w:hAnsi="SYMBOL"/>
          <w:sz w:val="20"/>
        </w:rPr>
        <w:t>b</w:t>
      </w:r>
      <w:r>
        <w:rPr>
          <w:rFonts w:ascii="Times New Roman" w:hAnsi="Times New Roman"/>
          <w:sz w:val="20"/>
        </w:rPr>
        <w:t xml:space="preserve"> levels observed in AD patients treated with other potent anti-A</w:t>
      </w:r>
      <w:r>
        <w:rPr>
          <w:rFonts w:ascii="SYMBOL" w:hAnsi="SYMBOL"/>
          <w:sz w:val="20"/>
        </w:rPr>
        <w:t>b</w:t>
      </w:r>
      <w:r>
        <w:rPr>
          <w:rFonts w:ascii="Times New Roman" w:hAnsi="Times New Roman"/>
          <w:sz w:val="20"/>
        </w:rPr>
        <w:t xml:space="preserve"> antibodies, such as trontinemab, is both rapid and highly reproducible across patients. In a Phase 1/2 trial, trontinemab led to a dose-dependent reduction in centiloids that exceeded a 70-point change by day 50, an effect that was clearly distinguished from controls. Approximately a dozen patients were included in the treatment arm. Korsana believes that interim clinical proof-of-concept data for KRSA-028 can be obtained in the MAD portion of the FIH Phase 1/2 trial in AD patients between year-end 2027 and the first quarter of 2028. </w:t>
      </w:r>
    </w:p>
    <w:p>
      <w:pPr>
        <w:pStyle w:val="TextBody"/>
        <w:bidi w:val="0"/>
        <w:spacing w:before="240" w:after="0"/>
        <w:jc w:val="left"/>
        <w:rPr>
          <w:rFonts w:ascii="Times New Roman" w:hAnsi="Times New Roman"/>
          <w:sz w:val="20"/>
        </w:rPr>
      </w:pPr>
      <w:r>
        <w:rPr>
          <w:rFonts w:ascii="Times New Roman" w:hAnsi="Times New Roman"/>
          <w:sz w:val="20"/>
        </w:rPr>
        <w:t>Korsana believes that completion of its dose-ranging clinical trial in 2028 will provide the necessary pharmacologic and anti-A</w:t>
      </w:r>
      <w:r>
        <w:rPr>
          <w:rFonts w:ascii="SYMBOL" w:hAnsi="SYMBOL"/>
          <w:sz w:val="20"/>
        </w:rPr>
        <w:t>b</w:t>
      </w:r>
      <w:r>
        <w:rPr>
          <w:rFonts w:ascii="Times New Roman" w:hAnsi="Times New Roman"/>
          <w:sz w:val="20"/>
        </w:rPr>
        <w:t xml:space="preserve"> activity to enable a Phase 3 pivotal trial of KRSA-028. Korsana also believes that the properties of KRSA-028, such as its potential dosing convenience, low rate of ARIA, and avoidance of reticulocyte destruction, are well-aligned with its potential use to treat patients with presymptomatic AD. Support for this comes from a previous analysis conducted by Eli Lilly that demonstrated that the ability of donanemab to slow cognitive decline was more pronounced in patients with earlier stages of AD. Extrapolation of these findings by researchers at Eli Lilly suggested that treatment of patients with presymptomatic AD may delay or even stop disease progression. </w:t>
      </w:r>
    </w:p>
    <w:p>
      <w:pPr>
        <w:pStyle w:val="TextBody"/>
        <w:bidi w:val="0"/>
        <w:spacing w:before="360" w:after="0"/>
        <w:jc w:val="left"/>
        <w:rPr>
          <w:rFonts w:ascii="Times New Roman" w:hAnsi="Times New Roman"/>
          <w:b/>
          <w:sz w:val="20"/>
        </w:rPr>
      </w:pPr>
      <w:r>
        <w:rPr>
          <w:rFonts w:ascii="Times New Roman" w:hAnsi="Times New Roman"/>
          <w:b/>
          <w:sz w:val="20"/>
        </w:rPr>
        <w:t xml:space="preserve">Preclinical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Korsana intends to develop additional product candidates that incorporate the TfR shuttle and accompanying engineered Fc domain, which together are referred to as the THETA platform. Korsana anticipates disclosing details of its next program either in late 2026 or in 2027. </w:t>
      </w:r>
    </w:p>
    <w:p>
      <w:pPr>
        <w:pStyle w:val="TextBody"/>
        <w:bidi w:val="0"/>
        <w:spacing w:before="360" w:after="0"/>
        <w:jc w:val="left"/>
        <w:rPr>
          <w:rFonts w:ascii="Times New Roman" w:hAnsi="Times New Roman"/>
          <w:b/>
          <w:sz w:val="20"/>
        </w:rPr>
      </w:pPr>
      <w:r>
        <w:rPr>
          <w:rFonts w:ascii="Times New Roman" w:hAnsi="Times New Roman"/>
          <w:b/>
          <w:sz w:val="20"/>
        </w:rPr>
        <w:t xml:space="preserve">Korsana’s Team, Investors, and Paragon Collaboration </w:t>
      </w:r>
    </w:p>
    <w:p>
      <w:pPr>
        <w:pStyle w:val="TextBody"/>
        <w:bidi w:val="0"/>
        <w:spacing w:before="120" w:after="0"/>
        <w:jc w:val="left"/>
        <w:rPr>
          <w:rFonts w:ascii="Times New Roman" w:hAnsi="Times New Roman"/>
          <w:sz w:val="20"/>
        </w:rPr>
      </w:pPr>
      <w:r>
        <w:rPr>
          <w:rFonts w:ascii="Times New Roman" w:hAnsi="Times New Roman"/>
          <w:sz w:val="20"/>
        </w:rPr>
        <w:t xml:space="preserve">Korsana was founded in 2024 and launched to research and develop brain-targeted antibody candidates licensed from Paragon, an antibody discovery engine founded by Fairmount Funds Management LLC (“Fairmount”) and led by industry veterans with extensive experience in drug discovery and development. </w:t>
      </w:r>
    </w:p>
    <w:p>
      <w:pPr>
        <w:pStyle w:val="TextBody"/>
        <w:bidi w:val="0"/>
        <w:spacing w:before="240" w:after="0"/>
        <w:jc w:val="left"/>
        <w:rPr>
          <w:rFonts w:ascii="Times New Roman" w:hAnsi="Times New Roman"/>
          <w:sz w:val="20"/>
        </w:rPr>
      </w:pPr>
      <w:r>
        <w:rPr>
          <w:rFonts w:ascii="Times New Roman" w:hAnsi="Times New Roman"/>
          <w:sz w:val="20"/>
        </w:rPr>
        <w:t xml:space="preserve">Korsana is led by an experienced management team. Korsana’s President and CEO, Jonathan Violin, Ph.D., who also serves as a Director of the Company, brings deep experience in company building, business strategy, and product development. Dr. Violin previously served as interim CEO of Crescent Biopharma and the President and CEO of Viridian Therapeutics, which he also co-founded. He previously served as founding CEO of Dianthus Therapeutics and co-founder and CEO of Quellis Bioscience. </w:t>
      </w:r>
    </w:p>
    <w:p>
      <w:pPr>
        <w:pStyle w:val="TextBody"/>
        <w:bidi w:val="0"/>
        <w:spacing w:before="240" w:after="0"/>
        <w:jc w:val="left"/>
        <w:rPr>
          <w:rFonts w:ascii="Times New Roman" w:hAnsi="Times New Roman"/>
          <w:sz w:val="20"/>
        </w:rPr>
      </w:pPr>
      <w:r>
        <w:rPr>
          <w:rFonts w:ascii="Times New Roman" w:hAnsi="Times New Roman"/>
          <w:sz w:val="20"/>
        </w:rPr>
        <w:t xml:space="preserve">Mark Vignola, Ph.D., Korsana’s Chief Financial Officer, has over 15 years of experience as a strategic financial leader to biotech companies and a strong track record of advancing companies through major inflection points. He most recently served as the Chief Financial Officer of Terns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Kyle Breidenstine, Korsana’s Senior Vice President, Finance and Treasurer, has nearly twenty years of experience in strategic finance, accounting, and operations. He most recently served as Vice President, Finance at PepGen.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Madelyn Zeylikman, Korsana’s General Counsel, has over twenty years of legal experience in the life sciences industry. She most recently served as General Counsel at Kiniksa Pharmaceuticals. </w:t>
      </w:r>
    </w:p>
    <w:p>
      <w:pPr>
        <w:pStyle w:val="TextBody"/>
        <w:bidi w:val="0"/>
        <w:spacing w:before="240" w:after="0"/>
        <w:jc w:val="left"/>
        <w:rPr>
          <w:rFonts w:ascii="Times New Roman" w:hAnsi="Times New Roman"/>
          <w:sz w:val="20"/>
        </w:rPr>
      </w:pPr>
      <w:r>
        <w:rPr>
          <w:rFonts w:ascii="Times New Roman" w:hAnsi="Times New Roman"/>
          <w:sz w:val="20"/>
        </w:rPr>
        <w:t xml:space="preserve">Korsana completed financings totaling $175 million in its Series Seed and Series A financing from a syndicate of healthcare investors led by Fairmount, Venrock Healthcare Capital Partners, Wellington Management and TCGX, with participation by J.P. Morgan Life Sciences Private Capital, Janus Henderson Investors, Sanofi Ventures, Foresite Capital, and others. Additionally, Korsana has secured financing commitments that, upon closing of the Korsana Pre-Closing Financing, are expected to result in total gross proceeds of $380 million from a syndicate of healthcare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Korsana Common Stock and Korsana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Paragon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research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Paragon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WuXi Biologics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2024, Korsana entered into a biologics master services agreement (the “WuXi Biologics MSA”) with WuXi Biologics (Hong Kong) Limited (“WuXi Biologics (Hong Kong)”). The WuXi Biologics MSA governs certain development activities and good manufacturing practice (“GMP”) manufacturing and testing for the KRSA-028 program, as well as potential future programs, on a work order basis. Under the WuXi Biologics MSA, Korsana is obligated to pay WuXi Biologics (Hong Kong) a service fee and all non-cancellable obligations in the amount specified in each work order associated with the agreement for the provision of services. WuXi Biologics (Hong Kong) is obligated to, among other things, (i) perform manufacturing services in accordance with applicable standards and law using personnel with appropriate qualifications, and to manufacture product in accordance with cGMP, (ii) comply with confidentiality and invention assignment provisions, (iii) notify Korsana of regulatory visits or inspections and provide redacted copies of any report or written communication received from such authorities in connection therewith and (iv) assign to Korsana all right, title and interest in and to all intellectual property created or developed in connection with the provision of the services, and all intellectual property relating to such inventions,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MSA terminates on the later of (i) December 12, 2029 or (ii) the completion of services under all work orders executed by the parties prior to December 12, 2029, unless terminated earlier; provided that Korsana may extend the term continuously for additional two-year periods upon written notice to WuXi Biologics (Hong Kong) at least thirty (30) days prior to the expiration of the then-current term. The term of each work order terminates upon completion of the services under such work order, unless terminated earlier. Korsana can terminate the WuXi Biologics MSA or any work order (i) at any time upon 30 days’ prior written notice, or (ii) immediately upon written notice if WuXi Biologics (Hong Kong) fails to obtain or maintain required material governmental licenses or approvals. Either party may terminate a work order (i) at any time upon six months’ prior notice with reasonable cause, provided however that if WuXi Biologics (Hong Kong) terminates a work order in such manner, no termination or cancellation fees shall be paid by Korsana and (ii) immediately for cause upon (a) the other party’s material breach that remains uncured for 30 days after notice of such breach, (b) the other party’s bankruptcy, or (c) a force majeure event that prevents performance for a period of at least 90 days. </w:t>
      </w:r>
    </w:p>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various work orders pursuant to the WuXi Biologics MSA for ongoing manufacturing work related to KRSA-028. </w:t>
      </w:r>
    </w:p>
    <w:p>
      <w:pPr>
        <w:pStyle w:val="TextBody"/>
        <w:bidi w:val="0"/>
        <w:spacing w:before="360" w:after="0"/>
        <w:jc w:val="left"/>
        <w:rPr>
          <w:rFonts w:ascii="Times New Roman" w:hAnsi="Times New Roman"/>
          <w:b/>
          <w:sz w:val="20"/>
        </w:rPr>
      </w:pPr>
      <w:r>
        <w:rPr>
          <w:rFonts w:ascii="Times New Roman" w:hAnsi="Times New Roman"/>
          <w:b/>
          <w:sz w:val="20"/>
        </w:rPr>
        <w:t xml:space="preserve">WuXi Cell Line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 2024, Korsana entered into a cell line license agreement (the “Cell Line License Agreement”) with WuXi Biologics Ireland Limited (“WuXi Biologics Ireland”). Under the Cell Line License Agreement, Korsana received a non-exclusive, worldwide, sublicensable license to certain of WuXi Biologics Ireland’s know-how, cell line, biological materials and media and feeds to make, have made, use, sell, have sold, offer for sale, import, keep and otherwise deal in and further commercialize certain therapeutic products produced through the use of the cell line licensed by WuXi Biologics Ireland under the Cell Line License Agreement (the “WuXi Biologics Ireland Licensed Products”). KRSA-028 is manufactured using a cell line licensed under the Cell Line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Korsana incurred a non-refundable license fee of $0.15 million. Additionally, if Korsana manufactures all of its commercial supplies of bulk drug product for a particular WuXi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Biologics Ireland Licensed Product with a manufacturer other than WuXi Biologics Ireland or its affiliates, it is required to make royalty payments to WuXi Biologics Ireland in an amount equal to a fraction of a single digit percentage of global net sales of the applicable WuXi Biologics Ireland Licensed Product manufactured by a third-party manufacturer (the “Royalty”). If Korsana manufactures part of its commercial supplies of bulk drug product for a particular WuXi Biologics Ireland Licensed Product with WuXi Biologics Ireland or its affiliates, then the Royalty will be reduced accordingly on a pro rata basis. If Korsana manufactures all of its commercial supplies of bulk drug product for a particular WuXi Biologics Ireland Licensed Product with WuXi Biologics Ireland or its affiliates, then no Royalty is payable. Korsana has the option, at any time, to pay WuXi Biologics Ireland a non-refundable lump-sum royalty buyout payment on a drug product-by-drug product basis to extinguish future Royalty obligations with respect to such drug product. </w:t>
      </w:r>
    </w:p>
    <w:p>
      <w:pPr>
        <w:pStyle w:val="TextBody"/>
        <w:bidi w:val="0"/>
        <w:spacing w:before="240" w:after="0"/>
        <w:jc w:val="left"/>
        <w:rPr>
          <w:rFonts w:ascii="Times New Roman" w:hAnsi="Times New Roman"/>
          <w:sz w:val="20"/>
        </w:rPr>
      </w:pPr>
      <w:r>
        <w:rPr>
          <w:rFonts w:ascii="Times New Roman" w:hAnsi="Times New Roman"/>
          <w:sz w:val="20"/>
        </w:rPr>
        <w:t xml:space="preserve">The Cell Line License Agreement will continue indefinitely unless terminated (i) by Korsana upon six months’ prior written notice and its payment of all undisputed amounts due to WuXi Biologics Ireland through the effective date of termination, (ii) by WuXi Biologics Ireland for a material breach by Korsana that remains uncured for 60 days after written notice, (iii) by WuXi Biologics Ireland if Korsana fails to make a payment and such failure continues for 30 days after receiving notice of such failure, or (iv) by either party upon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Korsana entered into Amendment No. 1 to the Cell Line License Agreement with WuXi Biologics Ireland. The amendment expands the scope of the Cell Line License Agreement to include certain additional proprietary cell lines developed by WuXi Biologics Ireland through genetic engineering of the original host cell line. The amendment updates the license grant in the Cell Line License Agreement to encompass cell lines derived from the original host cell line or such engineered cell lines. The license fee applies regardless of which licensed cell line is used. All other terms of the Cell Line License Agreement remain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Korsana strives to protect the proprietary programs and technologies that it believes are important to its business, including seeking and maintaining patent protection intended to cover the composition of matter of its programs, its methods of use and manufacture, and other inventions. Korsana will rely upon a combination of patents, trademarks, trade secret protection, copyrights and confidentiality agreements, licenses, and its agreements with Paragon and Paragon Laboratories to protect the intellectual property related to Korsana’s programs and technologies and to prevent third parties from competing unfairly with Korsana. </w:t>
      </w:r>
    </w:p>
    <w:p>
      <w:pPr>
        <w:pStyle w:val="TextBody"/>
        <w:bidi w:val="0"/>
        <w:spacing w:before="240" w:after="0"/>
        <w:jc w:val="left"/>
        <w:rPr>
          <w:rFonts w:ascii="Times New Roman" w:hAnsi="Times New Roman"/>
          <w:sz w:val="20"/>
        </w:rPr>
      </w:pPr>
      <w:r>
        <w:rPr>
          <w:rFonts w:ascii="Times New Roman" w:hAnsi="Times New Roman"/>
          <w:sz w:val="20"/>
        </w:rPr>
        <w:t>Korsana does not currently own any issued patents or pending patent applications. With respect to Research Program 002 (including KRSA-028) and Research Program 001, Paragon has filed provisional patent applications in the United States directed to: (i) antibodies targeting A</w:t>
      </w:r>
      <w:r>
        <w:rPr>
          <w:rFonts w:ascii="SYMBOL" w:hAnsi="SYMBOL"/>
          <w:sz w:val="20"/>
        </w:rPr>
        <w:t>b</w:t>
      </w:r>
      <w:r>
        <w:rPr>
          <w:rFonts w:ascii="Times New Roman" w:hAnsi="Times New Roman"/>
          <w:sz w:val="20"/>
        </w:rPr>
        <w:t xml:space="preserve"> and (ii) antibodies targeting both A</w:t>
      </w:r>
      <w:r>
        <w:rPr>
          <w:rFonts w:ascii="SYMBOL" w:hAnsi="SYMBOL"/>
          <w:sz w:val="20"/>
        </w:rPr>
        <w:t>b</w:t>
      </w:r>
      <w:r>
        <w:rPr>
          <w:rFonts w:ascii="Times New Roman" w:hAnsi="Times New Roman"/>
          <w:sz w:val="20"/>
        </w:rPr>
        <w:t xml:space="preserve"> and TfR1, including applications covering composition of matter, pharmaceutical formulations, and methods of using such antibodies, which Korsana has exclusively licensed from Paragon pursuant to the Paragon License Agreement. With respect to the THETA technology, Paragon has filed provisional patent applications in the United States directed to antibodies targeting TfR1, including applications covering composition of matter, pharmaceutical formulations, and methods for using such antibodies or compounds, such as bispecific antibodies, comprising such antibodies, which Korsana has non-exclusively licensed from Paragon pursuant to the Paragon License Agreement. Korsana controls patent prosecution for patents exclusively licensed under the Paragon License Agreement, including those covering the entirety of KRSA-028, and Paragon controls patent prosecution for patents non-exclusively licensed from Paragon pursuant to the Paragon License Agreement, including those specific to the THETA technology. </w:t>
      </w:r>
    </w:p>
    <w:p>
      <w:pPr>
        <w:pStyle w:val="TextBody"/>
        <w:bidi w:val="0"/>
        <w:spacing w:before="240" w:after="0"/>
        <w:jc w:val="left"/>
        <w:rPr>
          <w:rFonts w:ascii="Times New Roman" w:hAnsi="Times New Roman"/>
          <w:sz w:val="20"/>
        </w:rPr>
      </w:pPr>
      <w:r>
        <w:rPr>
          <w:rFonts w:ascii="Times New Roman" w:hAnsi="Times New Roman"/>
          <w:sz w:val="20"/>
        </w:rPr>
        <w:t xml:space="preserve">A provisional patent application is an application filed in the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 is filed, either a corresponding non-provisional patent application or a petition to convert the provisional patent application into a non-provisional patent application must be filed within 12 months or such effective filing date will be lost.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 </w:t>
      </w:r>
    </w:p>
    <w:p>
      <w:pPr>
        <w:pStyle w:val="TextBody"/>
        <w:bidi w:val="0"/>
        <w:spacing w:before="240" w:after="0"/>
        <w:jc w:val="left"/>
        <w:rPr>
          <w:rFonts w:ascii="Times New Roman" w:hAnsi="Times New Roman"/>
          <w:sz w:val="20"/>
        </w:rPr>
      </w:pPr>
      <w:r>
        <w:rPr>
          <w:rFonts w:ascii="Times New Roman" w:hAnsi="Times New Roman"/>
          <w:sz w:val="20"/>
        </w:rPr>
        <w:t xml:space="preserve">If Korsana or Paragon timely file non-provisional patent applications in the United States and in countries outside of the United States with regard to KRSA-028 provisional patent applications and these non-provisional patent applications result in issued patents, such patents are expected to expire in 2046, without taking potential patent term adjustment or patent term extension into consideration. If Paragon timely files non-provisional patent applications in the United States and in countries outside of the United States with regard to the THETA technology-related provisional patent applications and these non-provisional patent applications result in issued patents, such patents are expected to expire in 2046, without taking potential patent term adjustment or patent term extension into consideration.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risks related to Korsana’s intellectual property, see the section titled “</w:t>
      </w:r>
      <w:r>
        <w:rPr>
          <w:rFonts w:ascii="Times New Roman" w:hAnsi="Times New Roman"/>
          <w:i/>
          <w:sz w:val="20"/>
        </w:rPr>
        <w:t>Risk Factors</w:t>
      </w:r>
      <w:r>
        <w:rPr>
          <w:rFonts w:ascii="Times New Roman" w:hAnsi="Times New Roman"/>
          <w:sz w:val="20"/>
        </w:rPr>
        <w:t> — </w:t>
      </w:r>
      <w:r>
        <w:rPr>
          <w:rFonts w:ascii="Times New Roman" w:hAnsi="Times New Roman"/>
          <w:i/>
          <w:sz w:val="20"/>
        </w:rPr>
        <w:t>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IP Rights </w:t>
      </w:r>
    </w:p>
    <w:p>
      <w:pPr>
        <w:pStyle w:val="TextBody"/>
        <w:bidi w:val="0"/>
        <w:spacing w:before="120" w:after="0"/>
        <w:jc w:val="left"/>
        <w:rPr>
          <w:rFonts w:ascii="Times New Roman" w:hAnsi="Times New Roman"/>
          <w:sz w:val="20"/>
        </w:rPr>
      </w:pPr>
      <w:r>
        <w:rPr>
          <w:rFonts w:ascii="Times New Roman" w:hAnsi="Times New Roman"/>
          <w:sz w:val="20"/>
        </w:rPr>
        <w:t>In addition to patents, Korsana relies upon unpatented trade secrets, know-how and continuing technological innovation to develop and maintain its competitive position. However, trade secrets and know-how can be difficult to protect. Korsana seeks to protect its proprietary information, in part by executing confidentiality agreements with its collaborators and scientific advisors, and non-competition, non-solicitation, confidentiality and invention assignment agreements with its employees and consultants. Korsana has also executed agreements requiring assignment of inventions with selected scientific advisors and collaborators. The confidentiality agreements Korsana enters into are designed to protect its proprietary information and the agreements or clauses requiring assignment of inventions to it are designed to grant it ownership of technologies that are developed through its relationship with the respective counterparty. Korsana cannot guarantee, however, that it has executed such agreements with all applicable counterparties, that such agreements will not be breached, or that these agreements will afford it adequate protection of its intellectual property and proprietary rights. For more information, please see the section titled “</w:t>
      </w:r>
      <w:r>
        <w:rPr>
          <w:rFonts w:ascii="Times New Roman" w:hAnsi="Times New Roman"/>
          <w:i/>
          <w:sz w:val="20"/>
        </w:rPr>
        <w:t>Risk Factors—Risks Related to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Korsana’s product candidates be approved for commercialization, Korsana intends to develop a plan to commercialize them in the United States and other key markets, through internal infrastructure and/or external partnerships in a manner that will enable Korsana to realize the full commercial value of its programs. Given Korsana’s stage of development, it has not yet established a commercial organization or distribution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own or operate, and currently has no plans to establish, any manufacturing facilities. All of its preclinical and clinical drug supply development, manufacturing, storage, distribution, and testing are outsourced to third-party manufacturers and facilities. Korsana’s manufacturing strategy enables it to more efficiently direct financial resources to the research, development, and commercialization of programs rather than diverting resources to internally develop and maintain manufacturing facilities. As Korsana’s programs advance through development, it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Korsana expects to face intense competition from other biopharmaceutical companies that are developing agents for the treatment of neurodegenerative diseases, including Alzheimer’s disease. Korsana believes the key competitive factors affecting the success of its product candidates, if approved, will include efficacy, safety profile, method of administration (including the potential for subcutaneous self-injection versus intravenous infusion), blood-brain barrier penetration, cost of treatment, level of promotional activity, and intellectual property protection. Many of Korsana’s competitors have significantly greater financial, manufacturing, marketing, sales, distribution and technical resources and more experience in research and development, clinical trials, regulatory matters, and commercialization than Korsana does. These competitors also compete with Korsana in recruiting and retaining qualified scientific and management personnel and in establishing clinical trial sites and patient registration for clinical trials, as well as in acquiring technologies complementary to, or necessary for, Korsana’s programs. </w:t>
      </w:r>
    </w:p>
    <w:p>
      <w:pPr>
        <w:pStyle w:val="TextBody"/>
        <w:bidi w:val="0"/>
        <w:spacing w:before="240" w:after="0"/>
        <w:jc w:val="left"/>
        <w:rPr>
          <w:rFonts w:ascii="Times New Roman" w:hAnsi="Times New Roman"/>
          <w:sz w:val="20"/>
        </w:rPr>
      </w:pPr>
      <w:r>
        <w:rPr>
          <w:rFonts w:ascii="Times New Roman" w:hAnsi="Times New Roman"/>
          <w:sz w:val="20"/>
        </w:rPr>
        <w:t xml:space="preserve">If approved for the treatment of patients with Alzheimer’s disease, KRSA-028 would compete with two anti-amyloid antibody therapies that have been approved by the FDA for treatment of early Alzheimer’s disease: lecanemab (Leqembi), marketed by Eisai and Biogen, and donanemab (Kisunla), marketed by Eli Lilly. </w:t>
      </w:r>
    </w:p>
    <w:p>
      <w:pPr>
        <w:pStyle w:val="TextBody"/>
        <w:bidi w:val="0"/>
        <w:spacing w:before="240" w:after="0"/>
        <w:jc w:val="left"/>
        <w:rPr>
          <w:rFonts w:ascii="Times New Roman" w:hAnsi="Times New Roman"/>
          <w:sz w:val="20"/>
        </w:rPr>
      </w:pPr>
      <w:r>
        <w:rPr>
          <w:rFonts w:ascii="Times New Roman" w:hAnsi="Times New Roman"/>
          <w:sz w:val="20"/>
        </w:rPr>
        <w:t xml:space="preserve">Korsana is aware of several companies with product candidates in clinical development for the treatment of patients with Alzheimer’s disease, including Roche (including Genentech, its wholly owned subsidiary), Lilly, Eisai, Biogen, AbbVie, Merck, Sanofi, Bristol Myers Squibb, Voyager Therapeutics, Denali Therapeutics, Acumen, Alzheon, AC Immune, and others. </w:t>
      </w:r>
    </w:p>
    <w:p>
      <w:pPr>
        <w:pStyle w:val="TextBody"/>
        <w:bidi w:val="0"/>
        <w:spacing w:before="240" w:after="0"/>
        <w:jc w:val="left"/>
        <w:rPr>
          <w:rFonts w:ascii="Times New Roman" w:hAnsi="Times New Roman"/>
          <w:sz w:val="20"/>
        </w:rPr>
      </w:pPr>
      <w:r>
        <w:rPr>
          <w:rFonts w:ascii="Times New Roman" w:hAnsi="Times New Roman"/>
          <w:sz w:val="20"/>
        </w:rPr>
        <w:t xml:space="preserve">Beyond Korsana’s Alzheimer’s disease program, Korsana is advancing a pipeline of THETA™-enabled therapies for other undisclosed neurodegenerative diseases with high unmet need. Korsana expects to face competition from companies developing disease-modifying therapies across a range of neurodegenerative indications, many of which have substantially greater resources and experience than Korsana does.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Korsana is developing. Korsana, along with its third-party contractors, will be required to navigate the various preclinical, clinical and commercial approval requirements of the governing regulatory agencies of the countries in which Korsana wishes to conduct studies or seek approval or licensure of its product candidates. Generally, before a new therapeutic product can be marketed, considerable data demonstrating a biological product candidate’s quality, safety, purity and potency,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Korsana’s company and its products or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the FDA’s current Good Laboratory Practices (“GLP”)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is commenced;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current Good Manufacturing Practices (“cGMPs”);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Good Clinical Practice (“GCP”) requirements to establish the safety, purity and potency of the proposed biologic product candidate for its intended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all pivotal clinical trials;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particular indications for use in the United States.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any clinical trial with a product candidate in the United States, Korsana must submit an IND to the FDA. An IND is a request for authorization from the FDA to administer an investigational new drug product to humans. The central focus of an IND submission is on the general investigational plan and the protocol or protocols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(“NAMs”).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w:t>
      </w:r>
    </w:p>
    <w:p>
      <w:pPr>
        <w:pStyle w:val="TextBody"/>
        <w:bidi w:val="0"/>
        <w:spacing w:before="240" w:after="0"/>
        <w:jc w:val="left"/>
        <w:rPr>
          <w:rFonts w:ascii="Times New Roman" w:hAnsi="Times New Roman"/>
          <w:sz w:val="20"/>
        </w:rPr>
      </w:pPr>
      <w:r>
        <w:rPr>
          <w:rFonts w:ascii="Times New Roman" w:hAnsi="Times New Roman"/>
          <w:sz w:val="20"/>
        </w:rPr>
        <w:t xml:space="preserve">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 except that the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Combination Products </w:t>
      </w:r>
    </w:p>
    <w:p>
      <w:pPr>
        <w:pStyle w:val="TextBody"/>
        <w:bidi w:val="0"/>
        <w:spacing w:before="120" w:after="0"/>
        <w:jc w:val="left"/>
        <w:rPr>
          <w:rFonts w:ascii="Times New Roman" w:hAnsi="Times New Roman"/>
          <w:sz w:val="20"/>
        </w:rPr>
      </w:pPr>
      <w:r>
        <w:rPr>
          <w:rFonts w:ascii="Times New Roman" w:hAnsi="Times New Roman"/>
          <w:sz w:val="20"/>
        </w:rPr>
        <w:t xml:space="preserve">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with both device and drug/biologic components are subject to cGMP requirements applicable to both drugs and devices, including the Quality Management System Regulation applicable to medical devices.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Korsana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Korsana and its third-party manufacturers. Changes to the manufacturing process are strictly regulated, and, depending on the significance of the change, may require prior FDA approval before being implemented. </w:t>
      </w:r>
    </w:p>
    <w:p>
      <w:pPr>
        <w:pStyle w:val="TextBody"/>
        <w:bidi w:val="0"/>
        <w:spacing w:before="240" w:after="0"/>
        <w:jc w:val="left"/>
        <w:rPr>
          <w:rFonts w:ascii="Times New Roman" w:hAnsi="Times New Roman"/>
          <w:sz w:val="20"/>
        </w:rPr>
      </w:pPr>
      <w:r>
        <w:rPr>
          <w:rFonts w:ascii="Times New Roman" w:hAnsi="Times New Roman"/>
          <w:sz w:val="20"/>
        </w:rPr>
        <w:t xml:space="preserve">FDA regulations also require investigation and correction of any deviations from cGMPs and impose reporting requirements upon Korsana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Korsana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 is granted twelve years of exclusivity from the time of first licensure of the reference product. The first biologic product submitted under the abbreviated approval pathway that is determined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Korsana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Korsana’s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Korsana is also subject to additional similar U.S. state and foreign law equivalents of each of the above federal laws, which, in some cases, differ from each other in significant ways, and may not have the same effect, thus complicating compliance efforts. If Korsana’s operations are found to be in violation of any of such laws or any other governmental regulations that apply, Korsana may be subject to penalties, including, without limitation, civil, criminal and administrative penalties, damages, fines, exclusion from government-funded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Korsana’s operations or the operations of its partners. </w:t>
      </w:r>
    </w:p>
    <w:p>
      <w:pPr>
        <w:pStyle w:val="TextBody"/>
        <w:bidi w:val="0"/>
        <w:spacing w:before="240" w:after="0"/>
        <w:jc w:val="left"/>
        <w:rPr>
          <w:rFonts w:ascii="Times New Roman" w:hAnsi="Times New Roman"/>
          <w:sz w:val="20"/>
        </w:rPr>
      </w:pPr>
      <w:r>
        <w:rPr>
          <w:rFonts w:ascii="Times New Roman" w:hAnsi="Times New Roman"/>
          <w:sz w:val="20"/>
        </w:rPr>
        <w:t xml:space="preserve">For example, HIPAA, as amended by the Health Information Technology for Economic and Clinical Health (“HITECH”), and their respective implementing regulations impose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 </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Korsana submits electronic healthcare claims and payment transactions that do not comply with the electronic data transmission standards established under HIPAA and HITECH, payments to Korsana may be delayed or denied.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state laws, such as the California Consumer Privacy Act of 2018 (“CCPA”), as amended by the California Privacy Rights Act of 2020, govern the privacy and security of personal information,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health-related information in certain circumstances, some of which are more stringent than HIPAA in various ways. Numerous other states have passed similar laws, but many differ from each other in significant ways and may not have the same effect,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 </w:t>
      </w:r>
    </w:p>
    <w:p>
      <w:pPr>
        <w:pStyle w:val="TextBody"/>
        <w:bidi w:val="0"/>
        <w:spacing w:before="240" w:after="0"/>
        <w:jc w:val="left"/>
        <w:rPr>
          <w:rFonts w:ascii="Times New Roman" w:hAnsi="Times New Roman"/>
          <w:sz w:val="20"/>
        </w:rPr>
      </w:pPr>
      <w:r>
        <w:rPr>
          <w:rFonts w:ascii="Times New Roman" w:hAnsi="Times New Roman"/>
          <w:sz w:val="20"/>
        </w:rPr>
        <w:t xml:space="preserve">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Korsana and the third parties upon whom Korsana relies.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Korsana’s use of artificial intelligence and machine learning may be subject to laws and evolving regulations regarding the use of artificial intelligence and machine learning, controlling for data bias, and antidiscrimination.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Korsana’s ability to successfully commercialize its product candidates, if approved,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candidate for which Korsana obtains regulatory approval. Sales of any approved product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Korsana’s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Korsana to provide scientific and clinical support for the use of its product candidates to each payor separately, with no assurance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Korsana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Korsana’s product candidates. Historically, products launched in the EU do not follow price structures of the U.S. and generally prices tend to be significantly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 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Korsana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the HHS and other agencies to communicate most-favored-nation price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(“GDP”) per capita of at least 60% of the U.S. GDP per capital.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Korsana’s business.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IRA, continued legislative and enforcement interest exists in the United States with respect to specialty drug pricing practices. Specifically, Korsana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Korsana’s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Korsana’s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Korsana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Korsana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Laws </w:t>
      </w:r>
    </w:p>
    <w:p>
      <w:pPr>
        <w:pStyle w:val="TextBody"/>
        <w:bidi w:val="0"/>
        <w:spacing w:before="120" w:after="0"/>
        <w:jc w:val="left"/>
        <w:rPr>
          <w:rFonts w:ascii="Times New Roman" w:hAnsi="Times New Roman"/>
          <w:sz w:val="20"/>
        </w:rPr>
      </w:pPr>
      <w:r>
        <w:rPr>
          <w:rFonts w:ascii="Times New Roman" w:hAnsi="Times New Roman"/>
          <w:sz w:val="20"/>
        </w:rPr>
        <w:t xml:space="preserve">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processing of personal data is mainly governed by the GDPR as incorporated into UK law pursuant to the European Union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transfers from the UK to other countries, these transfers are also subject to specific transfer rules under the UK regime. These UK international transfer rules broadly mirror the EU GDPR rules.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UK-US Data Bridge recognizes the United States as offering an adequate level of data protection where the recipient is a U.S. organization certified to the EU-US Data Privacy Framework and participating in the UK Extension to the EU-US Data Privacy Framework.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or UK GDPR and the related national data protection laws of the EEA countries may result in significant monetary fines for noncompliance of up to €20 million or £17.5 million (as applicable), 4% of the total worldwide annual turnover (for higher-tier infringements). This is enforced by ICO and is entirely separate from fines under EU GDPR. In addition, violations of national laws can trigger additional, administrative penalties, investigations, corrective orders, temporary or definitive bans, and, in some jurisdictions, and a number of criminal offenses for organizations and, in certain cases, their directors and officers, as well as civil liability claims from individuals whose personal data was processed. </w:t>
      </w:r>
    </w:p>
    <w:p>
      <w:pPr>
        <w:pStyle w:val="TextBody"/>
        <w:bidi w:val="0"/>
        <w:spacing w:before="240" w:after="0"/>
        <w:jc w:val="left"/>
        <w:rPr>
          <w:rFonts w:ascii="Times New Roman" w:hAnsi="Times New Roman"/>
          <w:sz w:val="20"/>
        </w:rPr>
      </w:pPr>
      <w:r>
        <w:rPr>
          <w:rFonts w:ascii="Times New Roman" w:hAnsi="Times New Roman"/>
          <w:sz w:val="20"/>
        </w:rPr>
        <w:t xml:space="preserve">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Korsana, harm to Korsana’s reputation, and adversely impact its business and operating results. </w:t>
      </w:r>
    </w:p>
    <w:p>
      <w:pPr>
        <w:pStyle w:val="TextBody"/>
        <w:bidi w:val="0"/>
        <w:spacing w:before="360" w:after="0"/>
        <w:jc w:val="left"/>
        <w:rPr>
          <w:rFonts w:ascii="Times New Roman" w:hAnsi="Times New Roman"/>
          <w:i/>
          <w:sz w:val="20"/>
        </w:rPr>
      </w:pPr>
      <w:r>
        <w:rPr>
          <w:rFonts w:ascii="Times New Roman" w:hAnsi="Times New Roman"/>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CTR, a sponsor is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need to comply with the CTR and have to be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the CTR, national laws, regulations, and the applicable GCP and GLP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2023, the MHRA published detailed guidance on its recently announced new International Recognition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 that is issued by the EC following the scientific assessment of the application by the European Medicines Agency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 </w:t>
      </w:r>
    </w:p>
    <w:p>
      <w:pPr>
        <w:pStyle w:val="TextBody"/>
        <w:bidi w:val="0"/>
        <w:spacing w:before="24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240" w:after="0"/>
        <w:jc w:val="left"/>
        <w:rPr>
          <w:rFonts w:ascii="Times New Roman" w:hAnsi="Times New Roman"/>
          <w:sz w:val="20"/>
        </w:rPr>
      </w:pPr>
      <w:r>
        <w:rPr>
          <w:rFonts w:ascii="Times New Roman" w:hAnsi="Times New Roman"/>
          <w:sz w:val="20"/>
        </w:rPr>
        <w:t xml:space="preserve">Any authorization which is not followed by the actual placing of the drug on the EU market (in case of centralized procedure) or on the market of the authorizing member state within three years after authorization ceases to be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UK, the period of three years during which the drug has not been marketed in Great Britain will be restarted from the date of conversion to a Great Britain MA. Following Windsor Framework changes, which became effective January 1, 2025, European Commission Union authorizations are no longer valid in Northern Ireland and centrally authorized products are instead authorized by the MHRA under UK-wide marketing authorizations; existing licenses for product licensed by the MHRA that covers Great Britain only become geographically valid UK-wide while retaining their license number/prefix.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 </w:t>
      </w:r>
    </w:p>
    <w:p>
      <w:pPr>
        <w:pStyle w:val="TextBody"/>
        <w:bidi w:val="0"/>
        <w:spacing w:before="240" w:after="0"/>
        <w:jc w:val="left"/>
        <w:rPr>
          <w:rFonts w:ascii="Times New Roman" w:hAnsi="Times New Roman"/>
          <w:sz w:val="20"/>
        </w:rPr>
      </w:pPr>
      <w:r>
        <w:rPr>
          <w:rFonts w:ascii="Times New Roman" w:hAnsi="Times New Roman"/>
          <w:sz w:val="20"/>
        </w:rPr>
        <w:t xml:space="preserve">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w:t>
      </w:r>
    </w:p>
    <w:p>
      <w:pPr>
        <w:pStyle w:val="TextBody"/>
        <w:bidi w:val="0"/>
        <w:spacing w:before="240" w:after="0"/>
        <w:jc w:val="left"/>
        <w:rPr>
          <w:rFonts w:ascii="Times New Roman" w:hAnsi="Times New Roman"/>
          <w:sz w:val="20"/>
        </w:rPr>
      </w:pPr>
      <w:r>
        <w:rPr>
          <w:rFonts w:ascii="Times New Roman" w:hAnsi="Times New Roman"/>
          <w:sz w:val="20"/>
        </w:rPr>
        <w:t xml:space="preserve">The data exclusivity period begins on the date of the product’s first MA in the EU. After eight years, a generic product application may be submitted and generic companies may rely on the MA holder’s data. </w:t>
      </w:r>
    </w:p>
    <w:p>
      <w:pPr>
        <w:pStyle w:val="TextBody"/>
        <w:bidi w:val="0"/>
        <w:spacing w:before="240" w:after="0"/>
        <w:jc w:val="left"/>
        <w:rPr>
          <w:rFonts w:ascii="Times New Roman" w:hAnsi="Times New Roman"/>
          <w:sz w:val="20"/>
        </w:rPr>
      </w:pPr>
      <w:r>
        <w:rPr>
          <w:rFonts w:ascii="Times New Roman" w:hAnsi="Times New Roman"/>
          <w:sz w:val="20"/>
        </w:rPr>
        <w:t xml:space="preserve">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2023, the EC submitted a proposal for the reform of the European pharmaceutical legislation and negotiations are still ongoing. The timing for finalization of these negotiations and entry into force are unclear. </w:t>
      </w:r>
    </w:p>
    <w:p>
      <w:pPr>
        <w:pStyle w:val="TextBody"/>
        <w:bidi w:val="0"/>
        <w:spacing w:before="240" w:after="0"/>
        <w:jc w:val="left"/>
        <w:rPr>
          <w:rFonts w:ascii="Times New Roman" w:hAnsi="Times New Roman"/>
          <w:sz w:val="20"/>
        </w:rPr>
      </w:pPr>
      <w:r>
        <w:rPr>
          <w:rFonts w:ascii="Times New Roman" w:hAnsi="Times New Roman"/>
          <w:sz w:val="20"/>
        </w:rPr>
        <w:t xml:space="preserve">The current drafts envisage: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shortening of the periods of data exclusivity from eight to six years (with transferrable vouchers for an additional year of market protection as an incentive for the development of new antibiotics),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earlier regulatory guidance and extension of market exclusivity for orphan medicines (depending on certain conditions),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four-year data exclusivity for additional indications of existing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rules governing the availability of products (including shortage prevention plans and some supply obligations for manufacturers).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In the UK, the MHRA has published guidance on the procedures for UK PIPs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intended to encourage drug development in areas of unmet medical need and provides accelerated assessment of products representing substantial innovation reviewed under the centralized procedure. </w:t>
      </w:r>
    </w:p>
    <w:p>
      <w:pPr>
        <w:pStyle w:val="TextBody"/>
        <w:bidi w:val="0"/>
        <w:spacing w:before="240" w:after="0"/>
        <w:jc w:val="left"/>
        <w:rPr>
          <w:rFonts w:ascii="Times New Roman" w:hAnsi="Times New Roman"/>
          <w:sz w:val="20"/>
        </w:rPr>
      </w:pPr>
      <w:r>
        <w:rPr>
          <w:rFonts w:ascii="Times New Roman" w:hAnsi="Times New Roman"/>
          <w:sz w:val="20"/>
        </w:rPr>
        <w:t xml:space="preserve">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Korsana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Korsana’s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 </w:t>
      </w:r>
    </w:p>
    <w:p>
      <w:pPr>
        <w:pStyle w:val="TextBody"/>
        <w:bidi w:val="0"/>
        <w:spacing w:before="240" w:after="0"/>
        <w:jc w:val="left"/>
        <w:rPr>
          <w:rFonts w:ascii="Times New Roman" w:hAnsi="Times New Roman"/>
          <w:sz w:val="20"/>
        </w:rPr>
      </w:pPr>
      <w:r>
        <w:rPr>
          <w:rFonts w:ascii="Times New Roman" w:hAnsi="Times New Roman"/>
          <w:sz w:val="20"/>
        </w:rPr>
        <w:t xml:space="preserve">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 / declaration of a crisis or emergency mode. The European Parliament has not yet voted on the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Korsana’s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Korsana’s products to the general public and may also impose limitations on its promotional activities with healthcare professionals. </w:t>
      </w:r>
    </w:p>
    <w:p>
      <w:pPr>
        <w:pStyle w:val="TextBody"/>
        <w:bidi w:val="0"/>
        <w:spacing w:before="240" w:after="0"/>
        <w:jc w:val="left"/>
        <w:rPr>
          <w:rFonts w:ascii="Times New Roman" w:hAnsi="Times New Roman"/>
          <w:sz w:val="20"/>
        </w:rPr>
      </w:pPr>
      <w:r>
        <w:rPr>
          <w:rFonts w:ascii="Times New Roman" w:hAnsi="Times New Roman"/>
          <w:sz w:val="20"/>
        </w:rPr>
        <w:t xml:space="preserve">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in the UK and 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 </w:t>
      </w:r>
    </w:p>
    <w:p>
      <w:pPr>
        <w:pStyle w:val="TextBody"/>
        <w:bidi w:val="0"/>
        <w:spacing w:before="240" w:after="0"/>
        <w:jc w:val="left"/>
        <w:rPr>
          <w:rFonts w:ascii="Times New Roman" w:hAnsi="Times New Roman"/>
          <w:sz w:val="20"/>
        </w:rPr>
      </w:pPr>
      <w:r>
        <w:rPr>
          <w:rFonts w:ascii="Times New Roman" w:hAnsi="Times New Roman"/>
          <w:sz w:val="20"/>
        </w:rPr>
        <w:t xml:space="preserve">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Korsana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Regulation of Medicinal Products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The Australian Therapeutic Goods Administration (“TGA”) and the National Health and Medical Research Council (“NHMRC”) set the GCP requirements for clinical research in Australia.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 regulations, standards and codes set by the TGA and NHMRC is mandatory. Under the Therapeutic Goods Act 1989 (Cth) and the Therapeutic Goods Regulations 1990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although reporting timeframes may differ to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An HREC reviews, approves and provides continuing oversight of trial protocols (including any amendments), methods and materials intended to be used in obtaining and documenting informed consent of the clinical trial subjects. </w:t>
      </w:r>
    </w:p>
    <w:p>
      <w:pPr>
        <w:pStyle w:val="TextBody"/>
        <w:bidi w:val="0"/>
        <w:spacing w:before="240" w:after="0"/>
        <w:jc w:val="left"/>
        <w:rPr>
          <w:rFonts w:ascii="Times New Roman" w:hAnsi="Times New Roman"/>
          <w:sz w:val="20"/>
        </w:rPr>
      </w:pPr>
      <w:r>
        <w:rPr>
          <w:rFonts w:ascii="Times New Roman" w:hAnsi="Times New Roman"/>
          <w:sz w:val="20"/>
        </w:rPr>
        <w:t xml:space="preserve">The CTN Scheme broadly involves: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an HREC, of all material relating to the proposed clinical trial, including the trial protocol;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HREC reviews the scientific validity of the trial design, the balance of risk versus harm of the therapeutic good, the ethical acceptability of the trial process, and approves the trial protocol. The HREC is also responsible for monitoring the conduct of the trial;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institution or organization at which the trial will be conducted (the “Approving Authority”) giving final approval for the conduct of the trial at the site, in terms no less restrictive to those advised by the HREC;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investigator submitting a ‘Notification of Intent to Conduct a Clinical Trial’ form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clinical trials in Australia.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CTA Scheme: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submits an application to conduct a clinical trial to the TGA for evaluation and comment, which includes payment of relevant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TGA will undertake a preliminary assessment to ensure that there is sufficient data to begin evaluation. If critical data is missing, the TGA may request further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must forward any comments made by the TGA delegate to the HREC(s) at the sites where the trial will be conducted;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HREC is responsible for considering the scientific and ethical issues of the proposed trial protocol.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sponsor cannot commence a trial under the CTA Scheme until written advice has been received from the TGA regarding the application and approval for the conduct of the trial has been obtained from an ethics committee and the institution at which the trial will be conducted. </w:t>
      </w:r>
    </w:p>
    <w:p>
      <w:pPr>
        <w:pStyle w:val="TextBody"/>
        <w:bidi w:val="0"/>
        <w:spacing w:before="240" w:after="0"/>
        <w:jc w:val="left"/>
        <w:rPr>
          <w:rFonts w:ascii="Times New Roman" w:hAnsi="Times New Roman"/>
          <w:sz w:val="20"/>
        </w:rPr>
      </w:pPr>
      <w:r>
        <w:rPr>
          <w:rFonts w:ascii="Times New Roman" w:hAnsi="Times New Roman"/>
          <w:sz w:val="20"/>
        </w:rPr>
        <w:t xml:space="preserve">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 </w:t>
      </w:r>
    </w:p>
    <w:p>
      <w:pPr>
        <w:pStyle w:val="TextBody"/>
        <w:bidi w:val="0"/>
        <w:spacing w:before="240" w:after="0"/>
        <w:jc w:val="left"/>
        <w:rPr>
          <w:rFonts w:ascii="Times New Roman" w:hAnsi="Times New Roman"/>
          <w:sz w:val="20"/>
        </w:rPr>
      </w:pPr>
      <w:r>
        <w:rPr>
          <w:rFonts w:ascii="Times New Roman" w:hAnsi="Times New Roman"/>
          <w:sz w:val="20"/>
        </w:rPr>
        <w:t xml:space="preserve">Once a sponsor decides to register a therapeutic good/pharmaceutical product in Australia, in order to obtain registration of the product on the ARTG, it is required that (amongst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appropriate documentation, including the outcomes of clinical trials and studies, to allow the TGA to assess the quality, safety, and efficacy of the therapeutic product/ pharmaceutical product;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sponsor submits evidence which demonstrates that the manufacture of the therapeutic product/ pharmaceutical product complies with the applicable GMP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TGA has the ultimate discretion to decide whether to include the therapeutic product/ pharmaceutical product in the ARTG.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of Medical Products in New Zealand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 New Zealand are regulated under the Medicines Act 1981 (“Medicines Act”) and Medicines Regulations 1984.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Trial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New Zealand Medicines and Medical Devices Safety Authority (“Medsafe”) is the regulatory authority that administers the application and approval process for medicines and clinical trials in New Zealand (under delegation from the Director-General of Health). Approval from Medsafe is required in the following two circumstances: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a medicine can be distributed in New Zealand — see “Approval for Distribution” below; however, there is an exemption from this approval requirement for medicines that are imported or manufactured for the sole purpose of use in a clinical trial (including pharmacokinetic, bioequivalence and first-in-human studies);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all clinical trials involving unapproved medicines carried out in New Zealand; however, if a medicine is already approved by Medsafe for distribution in New Zealand, then there is no separate requirement to obtain approval for clinical trials with that medicine (including if the medicine is being tested for a use not provided for under its existing authorization).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Medsafe also expects all clinical trials to be carried out in accordance with internationally accepted standards for good clinical practice as published by the EMA in its Guideline for Good Clinical Practice, to the extent that these standards are compatible with the Medicines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Clinical Trial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clinical trial approval process requires submission of an online application to Medsafe. The application must include information about the nature of the medicine, the purpose of the trial, details of the investigators conducting the trial, written consent to nomination from each investigator, copies of information supplied to the investigators, a protocol of the trial, and details of the sites and facilities used. The application must be made by the actual or intended importer, manufacturer, packer, or supplier of the medicine in New Zealand. Once approved, the applicant becomes the “sponsor” and assumes responsibility and legal liability for the trial in New Zealand. </w:t>
      </w:r>
    </w:p>
    <w:p>
      <w:pPr>
        <w:pStyle w:val="TextBody"/>
        <w:bidi w:val="0"/>
        <w:spacing w:before="240" w:after="0"/>
        <w:jc w:val="left"/>
        <w:rPr>
          <w:rFonts w:ascii="Times New Roman" w:hAnsi="Times New Roman"/>
          <w:sz w:val="20"/>
        </w:rPr>
      </w:pPr>
      <w:r>
        <w:rPr>
          <w:rFonts w:ascii="Times New Roman" w:hAnsi="Times New Roman"/>
          <w:sz w:val="20"/>
        </w:rPr>
        <w:t xml:space="preserve">Once an application is received, Medsafe provides it to the Health Research Council of New Zealand (“HRC”). One of two HRC standing committees will consider the application and make a recommendation to Medsafe as to whether the clinical trial should be approved (with or without conditions) or declined. </w:t>
      </w:r>
    </w:p>
    <w:p>
      <w:pPr>
        <w:pStyle w:val="TextBody"/>
        <w:bidi w:val="0"/>
        <w:spacing w:before="240" w:after="0"/>
        <w:jc w:val="left"/>
        <w:rPr>
          <w:rFonts w:ascii="Times New Roman" w:hAnsi="Times New Roman"/>
          <w:sz w:val="20"/>
        </w:rPr>
      </w:pPr>
      <w:r>
        <w:rPr>
          <w:rFonts w:ascii="Times New Roman" w:hAnsi="Times New Roman"/>
          <w:sz w:val="20"/>
        </w:rPr>
        <w:t xml:space="preserve">The Standing Committee on Therapeutic Trials considers pharmaceutical medicine trial applications, while the Gene Technology Advisory Committee considers applications for trials involving gene and other biotechnology therapies. Both standing committees undertake a similar scientific assessment process, and consider factors such as trial protocol and design, data collection, and general compliance with the Guideline for Good Practice before making a recommendation to Medsafe. </w:t>
      </w:r>
    </w:p>
    <w:p>
      <w:pPr>
        <w:pStyle w:val="TextBody"/>
        <w:bidi w:val="0"/>
        <w:spacing w:before="360" w:after="0"/>
        <w:jc w:val="left"/>
        <w:rPr>
          <w:rFonts w:ascii="Times New Roman" w:hAnsi="Times New Roman"/>
          <w:i/>
          <w:sz w:val="20"/>
        </w:rPr>
      </w:pPr>
      <w:r>
        <w:rPr>
          <w:rFonts w:ascii="Times New Roman" w:hAnsi="Times New Roman"/>
          <w:i/>
          <w:sz w:val="20"/>
        </w:rPr>
        <w:t xml:space="preserve">Ethical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Medsafe expects all clinical trials to be approved by the Health and Disability Ethics Committee (“HDEC”), regardless of whether Medicines Act approval is required. HDEC reviews and approves applications and provides ongoing oversight of clinical trials to ensure alignment with good ethical practice. HDEC approval can be sought before, during, or after Medicines Act approval is sought from Medsafe.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w:t>
      </w:r>
    </w:p>
    <w:p>
      <w:pPr>
        <w:pStyle w:val="TextBody"/>
        <w:bidi w:val="0"/>
        <w:spacing w:before="120" w:after="0"/>
        <w:jc w:val="left"/>
        <w:rPr>
          <w:rFonts w:ascii="Times New Roman" w:hAnsi="Times New Roman"/>
          <w:sz w:val="20"/>
        </w:rPr>
      </w:pPr>
      <w:r>
        <w:rPr>
          <w:rFonts w:ascii="Times New Roman" w:hAnsi="Times New Roman"/>
          <w:sz w:val="20"/>
        </w:rPr>
        <w:t xml:space="preserve">A clinical trial’s sponsor may register a trial with the Australian New Zealand Clinical Trials Registry (“ANZCTR”), an online public registry of clinical trials undertaken in New Zealand, Australia, and elsewhere. While not mandatory, the ANZCTR is a recognized part of the World Health Organisation Registry Network and registration is encouraged by the World Health Organisation. </w:t>
      </w:r>
    </w:p>
    <w:p>
      <w:pPr>
        <w:pStyle w:val="TextBody"/>
        <w:bidi w:val="0"/>
        <w:spacing w:before="360" w:after="0"/>
        <w:jc w:val="left"/>
        <w:rPr>
          <w:rFonts w:ascii="Times New Roman" w:hAnsi="Times New Roman"/>
          <w:i/>
          <w:sz w:val="20"/>
        </w:rPr>
      </w:pPr>
      <w:r>
        <w:rPr>
          <w:rFonts w:ascii="Times New Roman" w:hAnsi="Times New Roman"/>
          <w:i/>
          <w:sz w:val="20"/>
        </w:rPr>
        <w:t xml:space="preserve">Approval for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If a sponsor decides to distribute the new medicine product in New Zealand after the clinical trial, the sponsor must apply for distribution approval. This is separate to the approval process for clinical trials and involves submitting an application to Medsafe for consideration. Medsafe assesses the safety, efficacy, quality, and risk profile of the medicine, and makes a recommendation to the Minister of Health as to whether the medicine should be approved for distribution (in practice, the Minister follows Medsafe’s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local, state, and federal laws, including in the United States,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Korsana’s business. These and other laws govern Korsana’s use, handling and disposal of various biological, chemical, and radioactive substances used in, and wastes generated by, Korsana’s operations. If Korsana’s operations result in contamination of the environment or expose individuals to hazardous or biohazardous substances, Korsana could be liable for damages, environmental remediation, and/or governmental fines. Korsana believes that it is in material compliance with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laws and occupational health and safety laws that continued compliance therewith will not have a material adverse effect on its business. Korsana cannot predict, however, how changes in these laws may affect its future operations. Korsana may incur significant costs to comply with such laws and regulations now or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and Facilities </w:t>
      </w:r>
    </w:p>
    <w:p>
      <w:pPr>
        <w:pStyle w:val="TextBody"/>
        <w:bidi w:val="0"/>
        <w:spacing w:before="120" w:after="0"/>
        <w:jc w:val="left"/>
        <w:rPr>
          <w:rFonts w:ascii="Times New Roman" w:hAnsi="Times New Roman"/>
          <w:sz w:val="20"/>
        </w:rPr>
      </w:pPr>
      <w:r>
        <w:rPr>
          <w:rFonts w:ascii="Times New Roman" w:hAnsi="Times New Roman"/>
          <w:sz w:val="20"/>
        </w:rPr>
        <w:t xml:space="preserve">Korsana currently operates as a virtual company and does not maintain physical corporate offices. Korsana’s employees currently work remotely. In March 2026, Korsana entered into a lease agreement pursuant to which it will lease approximately 9,164 square feet of office space in Waltham, Massachusetts to serve as Korsana’s corporate headquarters. This lease is expected to commence in the third quarter of 2026 and has a term of four years. Korsana believes this arrangement supports its current and near-term future anticipated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Korsana may be involved in legal proceedings arising in the ordinary course of its business. Korsana is not presently a party to or aware of any legal proceedings that, in the opinion of management, would have, individually or in the aggregate, a material adverse effect on its business, financial condition or results of operations. Regardless of outcome, litigation can have an adverse impact on Korsana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Korsana had 25 employees, all of whom were employed full time. None of Korsana’s employees are represented by a labor union or covered under a collective bargaining agreement. Korsana considers its relationship with its employees to be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11069_30"/>
      <w:bookmarkEnd w:id="32"/>
      <w:r>
        <w:rPr>
          <w:rFonts w:ascii="Times New Roman" w:hAnsi="Times New Roman"/>
          <w:b/>
          <w:sz w:val="20"/>
        </w:rPr>
        <w:t xml:space="preserve">CYCLERION’S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Cyclerion’s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Cyclerion’s current plans, estimates and beliefs. Cyclerion’s historical results are not necessarily indicative of the results that may be expected for any period in the future. Cyclerion’s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“Cyclerion,” the “Company,” “we,” “us,” “our” and other similar terms refer to Cyclerion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and 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We focus on building a pipeline of innovative therapeutics to address serious neuropsychiatric disorders with significant unmet medical need. Our current strategic focus is centered on the development of a novel therapeutic approach for neuropsychiatric conditions, with the lead indication being treatment-resistant depression (“TRD”), which we believe represents a substantial clinical and commercial opportunity. Over the past year, we have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z w:val="20"/>
        </w:rPr>
      </w:pPr>
      <w:r>
        <w:rPr>
          <w:rFonts w:ascii="Times New Roman" w:hAnsi="Times New Roman"/>
          <w:sz w:val="20"/>
        </w:rPr>
        <w:t xml:space="preserve">In parallel with the advancement of our neuropsychiatric strategy, Cyclerion continues to evaluate opportunities related to our legacy soluble guanylate cyclase (“sGC”) stimulator assets, including potential collaborations, monetization opportunities, or other strategic transactions intended to maximize shareholder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the Merger Agreement with Korsana, a privately held biotechnology company discovering and developing novel therapies to reduce the burden of neurodegenerative diseases, pursuant to which Korsana will become a wholly owned subsidiary of Cyclerion and Cyclerion will operate under the name Korsana Biosciences, Inc. following the Merger. Cyclerion anticipates that the Merger will close in the third quarter of 2026, subject to certain closing conditions, along with the concurrent Korsana Pre-Closing Financing. Following the Merger, the current business of Korsana will become the primary business of Cyclerion.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Effective Time, Cyclerion will enter into the CVR Agreement with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Overview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Research and development expenses are incurred in connection with the discovery and development of our 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 2025, Akebia publicly announced that it has recently initiated Phase 2 clinical trials for the treatment of focal segmental glomerulosclerosis (“FSGS”) using Praliciguat. Pursuant to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w:t>
      </w:r>
    </w:p>
    <w:p>
      <w:pPr>
        <w:pStyle w:val="TextBody"/>
        <w:bidi w:val="0"/>
        <w:spacing w:before="240" w:after="0"/>
        <w:jc w:val="left"/>
        <w:rPr>
          <w:rFonts w:ascii="Times New Roman" w:hAnsi="Times New Roman"/>
          <w:sz w:val="20"/>
        </w:rPr>
      </w:pPr>
      <w:r>
        <w:rPr>
          <w:rFonts w:ascii="Times New Roman" w:hAnsi="Times New Roman"/>
          <w:sz w:val="20"/>
        </w:rPr>
        <w:t xml:space="preserve">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evaluate other activities aimed at enhancing shareholder value, which may potentially include collaborations, licenses, mergers, acquisitions, and/or other targeted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research and development expenses of continuing operations, employee and facility related costs allocated to research and development expense, and discovery and preclinical phase programs, for the three months ended March 31, 2026 and 2025 and the years ended December 31, 2025 and 2024. The product pipeline expenses related primarily to external costs associated with nonclinical studies and clinical trial costs. </w:t>
      </w:r>
    </w:p>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3410"/>
        <w:gridCol w:w="120"/>
        <w:gridCol w:w="281"/>
        <w:gridCol w:w="763"/>
        <w:gridCol w:w="120"/>
        <w:gridCol w:w="241"/>
        <w:gridCol w:w="281"/>
        <w:gridCol w:w="524"/>
        <w:gridCol w:w="60"/>
        <w:gridCol w:w="120"/>
        <w:gridCol w:w="161"/>
        <w:gridCol w:w="440"/>
        <w:gridCol w:w="68"/>
        <w:gridCol w:w="138"/>
        <w:gridCol w:w="161"/>
        <w:gridCol w:w="442"/>
        <w:gridCol w:w="75"/>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0"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and related internal costs</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7</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31</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103</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723</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928</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183</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single" w:sz="2" w:space="1" w:color="000000"/>
              </w:pBdr>
              <w:bidi w:val="0"/>
              <w:spacing w:before="0" w:after="0"/>
              <w:jc w:val="left"/>
              <w:rPr/>
            </w:pPr>
            <w:r>
              <w:rPr/>
              <w:t> </w:t>
            </w:r>
          </w:p>
        </w:tc>
        <w:tc>
          <w:tcPr>
            <w:tcW w:w="763" w:type="dxa"/>
            <w:tcBorders/>
            <w:vAlign w:val="center"/>
          </w:tcPr>
          <w:p>
            <w:pPr>
              <w:pStyle w:val="TableContents"/>
              <w:pBdr>
                <w:top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single" w:sz="2" w:space="1" w:color="000000"/>
              </w:pBdr>
              <w:bidi w:val="0"/>
              <w:spacing w:before="0" w:after="0"/>
              <w:jc w:val="left"/>
              <w:rPr/>
            </w:pPr>
            <w:r>
              <w:rPr/>
              <w:t> </w:t>
            </w:r>
          </w:p>
        </w:tc>
        <w:tc>
          <w:tcPr>
            <w:tcW w:w="52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730</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959</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286</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double" w:sz="6" w:space="1" w:color="000000"/>
              </w:pBdr>
              <w:bidi w:val="0"/>
              <w:spacing w:before="0" w:after="0"/>
              <w:jc w:val="left"/>
              <w:rPr/>
            </w:pPr>
            <w:r>
              <w:rPr/>
              <w:t> </w:t>
            </w:r>
          </w:p>
        </w:tc>
        <w:tc>
          <w:tcPr>
            <w:tcW w:w="763" w:type="dxa"/>
            <w:tcBorders/>
            <w:vAlign w:val="center"/>
          </w:tcPr>
          <w:p>
            <w:pPr>
              <w:pStyle w:val="TableContents"/>
              <w:pBdr>
                <w:top w:val="double" w:sz="6"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281" w:type="dxa"/>
            <w:tcBorders/>
            <w:vAlign w:val="center"/>
          </w:tcPr>
          <w:p>
            <w:pPr>
              <w:pStyle w:val="TableContents"/>
              <w:pBdr>
                <w:top w:val="double" w:sz="6" w:space="1" w:color="000000"/>
              </w:pBdr>
              <w:bidi w:val="0"/>
              <w:spacing w:before="0" w:after="0"/>
              <w:jc w:val="left"/>
              <w:rPr/>
            </w:pPr>
            <w:r>
              <w:rPr/>
              <w:t> </w:t>
            </w:r>
          </w:p>
        </w:tc>
        <w:tc>
          <w:tcPr>
            <w:tcW w:w="52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Securing regulatory approvals for new drugs is a lengthy and costly process. Any failure by us or our partners to obtain, or any delay in obtaining, regulatory approvals would materially adversely affect our product candidate development efforts and our business overall.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w:t>
      </w:r>
    </w:p>
    <w:p>
      <w:pPr>
        <w:pStyle w:val="TextBody"/>
        <w:bidi w:val="0"/>
        <w:spacing w:before="240" w:after="0"/>
        <w:jc w:val="left"/>
        <w:rPr>
          <w:rFonts w:ascii="Times New Roman" w:hAnsi="Times New Roman"/>
          <w:sz w:val="20"/>
        </w:rPr>
      </w:pPr>
      <w:r>
        <w:rPr>
          <w:rFonts w:ascii="Times New Roman" w:hAnsi="Times New Roman"/>
          <w:sz w:val="20"/>
        </w:rPr>
        <w:t>If we continue to progress the development of our product candidates, the successful development of any current or potential future product candidates is highly uncertain and subject to a number of risks. Please refer to “</w:t>
      </w:r>
      <w:r>
        <w:rPr>
          <w:rFonts w:ascii="Times New Roman" w:hAnsi="Times New Roman"/>
          <w:i/>
          <w:sz w:val="20"/>
        </w:rPr>
        <w:t>Risk Factors—Risks Related to Cyclerion</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General and administrative expenses consist primarily of compensation, benefits and other employee and non-employee related expenses for personnel in our administrative, finance, legal, information technology, business development, and human resource functions. Other costs include the legal costs of pursuing patent protection of our intellectual property, general and administrative related facility costs, insurance costs and professional fees for accounting and legal services. We record all general and administrative expenses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Our discussion and analysis of our financial condition and results of operations is based upon our consolidated financial statements prepared in accordance with U.S. generally accepted accounting principles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All research and development expenses are expensed as incurred. We defer and capitalize nonrefundable advance payments we make for research and development activities until the related goods are received or the related services are performed.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705" w:type="dxa"/>
        <w:jc w:val="left"/>
        <w:tblInd w:w="0" w:type="dxa"/>
        <w:tblLayout w:type="fixed"/>
        <w:tblCellMar>
          <w:top w:w="0" w:type="dxa"/>
          <w:left w:w="0" w:type="dxa"/>
          <w:bottom w:w="0" w:type="dxa"/>
          <w:right w:w="0" w:type="dxa"/>
        </w:tblCellMar>
      </w:tblPr>
      <w:tblGrid>
        <w:gridCol w:w="3125"/>
        <w:gridCol w:w="120"/>
        <w:gridCol w:w="169"/>
        <w:gridCol w:w="768"/>
        <w:gridCol w:w="187"/>
        <w:gridCol w:w="145"/>
        <w:gridCol w:w="169"/>
        <w:gridCol w:w="772"/>
        <w:gridCol w:w="155"/>
        <w:gridCol w:w="120"/>
        <w:gridCol w:w="140"/>
        <w:gridCol w:w="635"/>
        <w:gridCol w:w="155"/>
        <w:gridCol w:w="120"/>
        <w:gridCol w:w="60"/>
        <w:gridCol w:w="500"/>
        <w:gridCol w:w="36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9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(100</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730</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1928</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2,479</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1,502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65</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3,209</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1,538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109</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(3,209</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(1,457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120</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68" w:type="dxa"/>
            <w:tcBorders/>
            <w:shd w:fill="CCEEFF" w:val="clear"/>
            <w:vAlign w:val="center"/>
          </w:tcPr>
          <w:p>
            <w:pPr>
              <w:pStyle w:val="TableContents"/>
              <w:bidi w:val="0"/>
              <w:spacing w:before="0" w:after="283"/>
              <w:jc w:val="left"/>
              <w:rPr>
                <w:sz w:val="4"/>
                <w:szCs w:val="4"/>
              </w:rPr>
            </w:pPr>
            <w:r>
              <w:rPr>
                <w:sz w:val="4"/>
                <w:szCs w:val="4"/>
              </w:rPr>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right"/>
              <w:rPr/>
            </w:pPr>
            <w:r>
              <w:rPr/>
              <w:t>32</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14</w:t>
            </w:r>
          </w:p>
        </w:tc>
        <w:tc>
          <w:tcPr>
            <w:tcW w:w="36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32</w:t>
            </w:r>
          </w:p>
        </w:tc>
        <w:tc>
          <w:tcPr>
            <w:tcW w:w="187"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other comprehensive loss</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68" w:type="dxa"/>
            <w:tcBorders/>
            <w:vAlign w:val="center"/>
          </w:tcPr>
          <w:p>
            <w:pPr>
              <w:pStyle w:val="TableContents"/>
              <w:bidi w:val="0"/>
              <w:spacing w:before="0" w:after="283"/>
              <w:jc w:val="right"/>
              <w:rPr/>
            </w:pPr>
            <w:r>
              <w:rPr/>
              <w:t>(3,177</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772" w:type="dxa"/>
            <w:tcBorders/>
            <w:vAlign w:val="center"/>
          </w:tcPr>
          <w:p>
            <w:pPr>
              <w:pStyle w:val="TableContents"/>
              <w:bidi w:val="0"/>
              <w:spacing w:before="0" w:after="283"/>
              <w:jc w:val="right"/>
              <w:rPr/>
            </w:pPr>
            <w:r>
              <w:rPr/>
              <w:t>(1,429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w:t>
            </w:r>
          </w:p>
        </w:tc>
        <w:tc>
          <w:tcPr>
            <w:tcW w:w="36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768" w:type="dxa"/>
            <w:tcBorders/>
            <w:vAlign w:val="center"/>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pBdr>
                <w:top w:val="single" w:sz="2" w:space="1" w:color="000000"/>
              </w:pBdr>
              <w:bidi w:val="0"/>
              <w:spacing w:before="0" w:after="0"/>
              <w:jc w:val="left"/>
              <w:rPr/>
            </w:pPr>
            <w:r>
              <w:rPr/>
              <w:t> </w:t>
            </w:r>
          </w:p>
        </w:tc>
        <w:tc>
          <w:tcPr>
            <w:tcW w:w="77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00"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On July 22, 2024, we entered into the Option Agreement with the Optionee, which the Optionee had the Option to enter into an exclusive license to olinciguat for human therapeutics, subject to certain carveouts. We recognized revenue of $0.1 million related to the Option extension fee and expense reimbursement during the three months ended March 31, 2025. The Option Agreement was terminated in October 2025 and no revenue was recognized during the three months ended March 31, 2026.</w:t>
      </w:r>
    </w:p>
    <w:p>
      <w:pPr>
        <w:pStyle w:val="TextBody"/>
        <w:bidi w:val="0"/>
        <w:spacing w:before="360" w:after="0"/>
        <w:jc w:val="left"/>
        <w:rPr>
          <w:rFonts w:ascii="Times New Roman" w:hAnsi="Times New Roman"/>
          <w:sz w:val="20"/>
        </w:rPr>
      </w:pPr>
      <w:r>
        <w:rPr>
          <w:rFonts w:ascii="Times New Roman" w:hAnsi="Times New Roman"/>
          <w:b/>
          <w:sz w:val="20"/>
        </w:rPr>
        <w:t>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Research and development expense.</w:t>
      </w:r>
      <w:r>
        <w:rPr>
          <w:rFonts w:ascii="Times New Roman" w:hAnsi="Times New Roman"/>
          <w:sz w:val="20"/>
        </w:rPr>
        <w:t xml:space="preserve"> The increase in research and development expense of approximately $0.7 million for the three months ended March 31, 2026 compared to the three months ended March 31, 2025, was primarily driven by increases of approximately $0.6 million in professional consulting and approximately $0.1 million in license option fee.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The increase in general and administrative expenses of approximately $1.0 million for the three months ended March 31, 2026 compared to the three months ended March 31, 2025 was primarily driven by increases of approximately $0.3 million in professional consulting and $0.9 million in corporate legal fees, offset by a decrease of $0.1 million in patent fees and $0.1 million in insurance expense.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was not changed significantly for the three months ended March 31, 2026, compared to the three months ended March 31, 2025. </w:t>
      </w:r>
    </w:p>
    <w:p>
      <w:pPr>
        <w:pStyle w:val="TextBody"/>
        <w:bidi w:val="0"/>
        <w:spacing w:before="360" w:after="0"/>
        <w:jc w:val="left"/>
        <w:rPr>
          <w:rFonts w:ascii="Times New Roman" w:hAnsi="Times New Roman"/>
          <w:sz w:val="20"/>
        </w:rPr>
      </w:pPr>
      <w:r>
        <w:rPr>
          <w:rFonts w:ascii="Times New Roman" w:hAnsi="Times New Roman"/>
          <w:b/>
          <w:sz w:val="20"/>
        </w:rPr>
        <w:t>Results of Operations for the Years Ended December 31, 2025 and December 31,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Revenues and Expenses </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320"/>
        <w:gridCol w:w="120"/>
        <w:gridCol w:w="140"/>
        <w:gridCol w:w="635"/>
        <w:gridCol w:w="155"/>
        <w:gridCol w:w="120"/>
        <w:gridCol w:w="140"/>
        <w:gridCol w:w="635"/>
        <w:gridCol w:w="155"/>
        <w:gridCol w:w="120"/>
        <w:gridCol w:w="140"/>
        <w:gridCol w:w="635"/>
        <w:gridCol w:w="155"/>
        <w:gridCol w:w="120"/>
        <w:gridCol w:w="60"/>
        <w:gridCol w:w="455"/>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65"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license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(43</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XX</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10</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235</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5,342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14</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25</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37</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(38</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from settlement of account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XX</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153</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55" w:type="dxa"/>
            <w:tcBorders/>
            <w:vAlign w:val="center"/>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15</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55" w:type="dxa"/>
            <w:tcBorders/>
            <w:vAlign w:val="center"/>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Revenue from license agreement. </w:t>
      </w:r>
      <w:r>
        <w:rPr>
          <w:rFonts w:ascii="Times New Roman" w:hAnsi="Times New Roman"/>
          <w:sz w:val="20"/>
        </w:rPr>
        <w:t xml:space="preserve">On December 13, 2024, we entered into the 2024 Amendment with Akebia providing for payments aggregating $1.75 million all of which was recognized in revenue during the year ended December 31, 2024. $1.25 million of this amount was paid in December 2024 and the remaining $0.5 million was paid in September 2025.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us. We recognized revenue and accounts receivable of $1.0 million during the year ended December 31, 2025, and the $1.0 million payment was received in February 2026. </w:t>
      </w:r>
    </w:p>
    <w:p>
      <w:pPr>
        <w:pStyle w:val="TextBody"/>
        <w:bidi w:val="0"/>
        <w:spacing w:before="240" w:after="0"/>
        <w:jc w:val="left"/>
        <w:rPr>
          <w:rFonts w:ascii="Times New Roman" w:hAnsi="Times New Roman"/>
          <w:sz w:val="20"/>
        </w:rPr>
      </w:pPr>
      <w:r>
        <w:rPr>
          <w:rFonts w:ascii="Times New Roman" w:hAnsi="Times New Roman"/>
          <w:i/>
          <w:sz w:val="20"/>
        </w:rPr>
        <w:t>Revenues from purchase agreement</w:t>
      </w:r>
      <w:r>
        <w:rPr>
          <w:rFonts w:ascii="Times New Roman" w:hAnsi="Times New Roman"/>
          <w:sz w:val="20"/>
        </w:rPr>
        <w:t xml:space="preserve">. In September 2025, we entered into the Purchase Agreement with Akebia. Akebia paid $0.8 million to us for the purchase of Additional Development Materials during the year ended December 31, 2025. The Additional Development Materials were delivered to Akebia as of December 31, 2025 and we recognized revenue of $0.8 million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Revenue from option agreement. </w:t>
      </w:r>
      <w:r>
        <w:rPr>
          <w:rFonts w:ascii="Times New Roman" w:hAnsi="Times New Roman"/>
          <w:sz w:val="20"/>
        </w:rPr>
        <w:t xml:space="preserve">On July 22, 2024, we entered into the Option Agreement with the Optionee, under which the Optionee had the Option to enter into an exclusive license to olinciguat for human therapeutics, subject to certain carveouts. We recognized revenue of $0.2 million related to the Option fee payment and expense reimbursement during the year ended December 31, 2024 and we recognized revenue of $0.3 million related to the Option extension fee, amendment fee and expense reimbursement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expenses. </w:t>
      </w:r>
      <w:r>
        <w:rPr>
          <w:rFonts w:ascii="Times New Roman" w:hAnsi="Times New Roman"/>
          <w:sz w:val="20"/>
        </w:rPr>
        <w:t xml:space="preserve">The increase in research and development expenses of approximately $0.7 million for the year ended December 31, 2025 compared to the year ended December 31, 2024 was driven by an increase of $0.1 million in license fees, $0.6 million in professional consulting to support the research and development efforts related to CYC-126, and $0.1 million in outside service fees, offset by a decrease of $0.1 million in stock compensation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The increase in general and administrative expenses of approximately $0.7 million for the year ended December 31, 2025 compared to the year ended December 31, 2024 was primarily driven by an increase of $0.8 million in professional consulting, $0.1 million in outside service fee and $0.7 million in corporate legal fees, offset by a decrease of $0.3 million in patent fees, $0.2 million in insurance expense, $0.1 million in board member fees and $0.3 million in employee-related expenses. </w:t>
      </w:r>
    </w:p>
    <w:p>
      <w:pPr>
        <w:pStyle w:val="TextBody"/>
        <w:bidi w:val="0"/>
        <w:spacing w:before="240" w:after="0"/>
        <w:jc w:val="left"/>
        <w:rPr>
          <w:rFonts w:ascii="Times New Roman" w:hAnsi="Times New Roman"/>
          <w:sz w:val="20"/>
        </w:rPr>
      </w:pPr>
      <w:r>
        <w:rPr>
          <w:rFonts w:ascii="Times New Roman" w:hAnsi="Times New Roman"/>
          <w:i/>
          <w:sz w:val="20"/>
        </w:rPr>
        <w:t>Interest and other income, net.</w:t>
      </w:r>
      <w:r>
        <w:rPr>
          <w:rFonts w:ascii="Times New Roman" w:hAnsi="Times New Roman"/>
          <w:sz w:val="20"/>
        </w:rPr>
        <w:t xml:space="preserve"> Interest and other income decreased by approximately $0.1 million for the year ended December 31, 2025 compared to the year ended December 31, 2024 primarily attributable to the reduction in interest rates. </w:t>
      </w:r>
    </w:p>
    <w:p>
      <w:pPr>
        <w:pStyle w:val="TextBody"/>
        <w:bidi w:val="0"/>
        <w:spacing w:before="240" w:after="0"/>
        <w:jc w:val="left"/>
        <w:rPr>
          <w:rFonts w:ascii="Times New Roman" w:hAnsi="Times New Roman"/>
          <w:sz w:val="20"/>
        </w:rPr>
      </w:pPr>
      <w:r>
        <w:rPr>
          <w:rFonts w:ascii="Times New Roman" w:hAnsi="Times New Roman"/>
          <w:i/>
          <w:sz w:val="20"/>
        </w:rPr>
        <w:t xml:space="preserve">Gain from settlement of account payable. </w:t>
      </w:r>
      <w:r>
        <w:rPr>
          <w:rFonts w:ascii="Times New Roman" w:hAnsi="Times New Roman"/>
          <w:sz w:val="20"/>
        </w:rPr>
        <w:t xml:space="preserve">During the year ended December 31, 2024, we reached a settlement agreement with a vendor for a disputed account payable and recorded a gain of $0.4 million on settlement of account payable. No such transaction occurred during the year ended December 31, 2025. </w:t>
      </w:r>
    </w:p>
    <w:p>
      <w:pPr>
        <w:pStyle w:val="TextBody"/>
        <w:bidi w:val="0"/>
        <w:spacing w:before="240" w:after="0"/>
        <w:jc w:val="left"/>
        <w:rPr>
          <w:rFonts w:ascii="Times New Roman" w:hAnsi="Times New Roman"/>
          <w:sz w:val="20"/>
        </w:rPr>
      </w:pPr>
      <w:r>
        <w:rPr>
          <w:rFonts w:ascii="Times New Roman" w:hAnsi="Times New Roman"/>
          <w:i/>
          <w:sz w:val="20"/>
        </w:rPr>
        <w:t xml:space="preserve">Gain from insurance recovery. </w:t>
      </w:r>
      <w:r>
        <w:rPr>
          <w:rFonts w:ascii="Times New Roman" w:hAnsi="Times New Roman"/>
          <w:sz w:val="20"/>
        </w:rPr>
        <w:t xml:space="preserve">During the year ended December 31, 2025, we recorded approximately $1.3 million of insurance recoveries related to loss of advanced intermediated GMP finished materials covered by several policies with third-party insurers. No such gain was recognized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been funded primarily from sales of our equity securities, payments received in connection with the sale of assets to Tisento, milestone payments from Akebia and an option to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2025, we closed on a private placement of 499,998 shares of our common stock, pursuant to a Stock Purchase Agreement, for total gross proceeds of approximately $1.375 million. We also incurred transaction costs of $0.1 million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2025, we filed a Registration Statement on Form S-3 (the “2025 Shelf”) with the SEC in relation to the registration of common stock, preferred stock, warrants and units of any combination thereof for an aggregate initial offering price not to exceed $25.0 million. The amount we can sell in any twelve-month period under the 2025 Shelf, which was declared effective in February 2025, cannot exceed one-third of the value of our public float. </w:t>
      </w:r>
    </w:p>
    <w:p>
      <w:pPr>
        <w:pStyle w:val="TextBody"/>
        <w:bidi w:val="0"/>
        <w:spacing w:before="240" w:after="0"/>
        <w:jc w:val="left"/>
        <w:rPr>
          <w:rFonts w:ascii="Times New Roman" w:hAnsi="Times New Roman"/>
          <w:sz w:val="20"/>
        </w:rPr>
      </w:pPr>
      <w:r>
        <w:rPr>
          <w:rFonts w:ascii="Times New Roman" w:hAnsi="Times New Roman"/>
          <w:sz w:val="20"/>
        </w:rPr>
        <w:t>On May 7, 2025, we entered into an “at the market” equity offering program (the “ATM Program”) pursuant to a Sales Agreement (the “2025 Sales Agreement”) by and between us and Guggenheim Securities LLC (“Guggenheim Securities”). Pursuant to the terms of the 2025 Sales Agreement, we can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ATM Program to fund the development of product candidates and for other general corporate purposes, including funding potential new clinical programs and product candidates. financing our existing businesses and operations and expanding our businesses and operations through new product development programs and additional hires.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of the ATM Shares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 Company exhausted all sales under the that may currently be made pursuant to Instruction I.B.6. </w:t>
      </w:r>
    </w:p>
    <w:p>
      <w:pPr>
        <w:pStyle w:val="TextBody"/>
        <w:bidi w:val="0"/>
        <w:spacing w:before="240" w:after="0"/>
        <w:jc w:val="left"/>
        <w:rPr>
          <w:rFonts w:ascii="Times New Roman" w:hAnsi="Times New Roman"/>
          <w:sz w:val="20"/>
        </w:rPr>
      </w:pPr>
      <w:r>
        <w:rPr>
          <w:rFonts w:ascii="Times New Roman" w:hAnsi="Times New Roman"/>
          <w:sz w:val="20"/>
        </w:rPr>
        <w:t xml:space="preserve">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t>
      </w:r>
    </w:p>
    <w:p>
      <w:pPr>
        <w:pStyle w:val="TextBody"/>
        <w:bidi w:val="0"/>
        <w:spacing w:before="240" w:after="0"/>
        <w:jc w:val="left"/>
        <w:rPr>
          <w:rFonts w:ascii="Times New Roman" w:hAnsi="Times New Roman"/>
          <w:sz w:val="20"/>
        </w:rPr>
      </w:pPr>
      <w:r>
        <w:rPr>
          <w:rFonts w:ascii="Times New Roman" w:hAnsi="Times New Roman"/>
          <w:sz w:val="20"/>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w:t>
      </w:r>
    </w:p>
    <w:p>
      <w:pPr>
        <w:pStyle w:val="TextBody"/>
        <w:bidi w:val="0"/>
        <w:spacing w:before="240" w:after="0"/>
        <w:jc w:val="left"/>
        <w:rPr>
          <w:rFonts w:ascii="Times New Roman" w:hAnsi="Times New Roman"/>
          <w:sz w:val="20"/>
        </w:rPr>
      </w:pPr>
      <w:r>
        <w:rPr>
          <w:rFonts w:ascii="Times New Roman" w:hAnsi="Times New Roman"/>
          <w:sz w:val="20"/>
        </w:rPr>
        <w:t xml:space="preserve">On March 31, 2026, we had approximately $2.8 million of unrestricted cash and cash equivalents. Our cash equivalents include amounts held in U.S. government money market funds. We invest cash in excess of immediate requirements in accordance with our investment policy, which requires all investments held by us to be at least “AAA” rated or equivalent, with a remaining final maturity when purchased of less than twelve months, so as to primarily achieve liquidity and capital preservation.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cannot be considered probable at this time because these plans are not entirely within our control and/or have not been approved by the Board of Directors as of the date of these consolidated financial statements.</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recurring losses since our inception, including net losses of $3.2 million for the three months ended March 31, 2026 and $3.5 million for the year ended December 31, 2025. In addition, as of March 31, 2026, we had an accumulated deficit of $274.2 million. We expect that our cash and cash equivalents as of March 31, 2026, will be sufficient to fund operations into the third quarter of 2026, however, we will need to obtain additional funding to sustain operations as we expect to continue to generate operating losses for the foreseeable future. Accordingly, we have concluded that substantial doubt exists about our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cash flows for the periods presented: </w:t>
      </w:r>
    </w:p>
    <w:p>
      <w:pPr>
        <w:pStyle w:val="TextBody"/>
        <w:bidi w:val="0"/>
        <w:spacing w:before="0" w:after="0"/>
        <w:jc w:val="left"/>
        <w:rPr/>
      </w:pPr>
      <w:r>
        <w:rPr/>
        <w:t> </w:t>
      </w:r>
    </w:p>
    <w:tbl>
      <w:tblPr>
        <w:tblW w:w="7581" w:type="dxa"/>
        <w:jc w:val="left"/>
        <w:tblInd w:w="0" w:type="dxa"/>
        <w:tblLayout w:type="fixed"/>
        <w:tblCellMar>
          <w:top w:w="0" w:type="dxa"/>
          <w:left w:w="0" w:type="dxa"/>
          <w:bottom w:w="0" w:type="dxa"/>
          <w:right w:w="0" w:type="dxa"/>
        </w:tblCellMar>
      </w:tblPr>
      <w:tblGrid>
        <w:gridCol w:w="3380"/>
        <w:gridCol w:w="120"/>
        <w:gridCol w:w="176"/>
        <w:gridCol w:w="801"/>
        <w:gridCol w:w="195"/>
        <w:gridCol w:w="151"/>
        <w:gridCol w:w="176"/>
        <w:gridCol w:w="707"/>
        <w:gridCol w:w="155"/>
        <w:gridCol w:w="120"/>
        <w:gridCol w:w="140"/>
        <w:gridCol w:w="455"/>
        <w:gridCol w:w="155"/>
        <w:gridCol w:w="120"/>
        <w:gridCol w:w="60"/>
        <w:gridCol w:w="380"/>
        <w:gridCol w:w="29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91" w:type="dxa"/>
            <w:gridSpan w:val="14"/>
            <w:tcBorders/>
            <w:vAlign w:val="center"/>
          </w:tcPr>
          <w:p>
            <w:pPr>
              <w:pStyle w:val="TableContents"/>
              <w:bidi w:val="0"/>
              <w:spacing w:before="0" w:after="283"/>
              <w:jc w:val="center"/>
              <w:rPr>
                <w:b/>
              </w:rPr>
            </w:pPr>
            <w:r>
              <w:rPr>
                <w:b/>
              </w:rPr>
              <w:t>(dollars in thousands)</w:t>
            </w:r>
          </w:p>
        </w:tc>
        <w:tc>
          <w:tcPr>
            <w:tcW w:w="29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(1,176</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(968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801" w:type="dxa"/>
            <w:tcBorders/>
            <w:vAlign w:val="center"/>
          </w:tcPr>
          <w:p>
            <w:pPr>
              <w:pStyle w:val="TableContents"/>
              <w:bidi w:val="0"/>
              <w:spacing w:before="0" w:after="283"/>
              <w:jc w:val="right"/>
              <w:rPr/>
            </w:pPr>
            <w:r>
              <w:rPr/>
              <w:t>(66</w:t>
            </w:r>
          </w:p>
        </w:tc>
        <w:tc>
          <w:tcPr>
            <w:tcW w:w="19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825</w:t>
            </w:r>
          </w:p>
        </w:tc>
        <w:tc>
          <w:tcPr>
            <w:tcW w:w="19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07" w:type="dxa"/>
            <w:tcBorders/>
            <w:shd w:fill="CCEEFF" w:val="clear"/>
            <w:vAlign w:val="center"/>
          </w:tcPr>
          <w:p>
            <w:pPr>
              <w:pStyle w:val="TableContents"/>
              <w:bidi w:val="0"/>
              <w:spacing w:before="0" w:after="283"/>
              <w:jc w:val="right"/>
              <w:rPr/>
            </w:pPr>
            <w:r>
              <w:rPr/>
              <w:t>1,375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(550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3380"/>
        <w:gridCol w:w="120"/>
        <w:gridCol w:w="140"/>
        <w:gridCol w:w="635"/>
        <w:gridCol w:w="155"/>
        <w:gridCol w:w="120"/>
        <w:gridCol w:w="140"/>
        <w:gridCol w:w="635"/>
        <w:gridCol w:w="155"/>
        <w:gridCol w:w="120"/>
        <w:gridCol w:w="140"/>
        <w:gridCol w:w="560"/>
        <w:gridCol w:w="60"/>
        <w:gridCol w:w="120"/>
        <w:gridCol w:w="60"/>
        <w:gridCol w:w="380"/>
        <w:gridCol w:w="36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36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0" w:type="dxa"/>
            <w:gridSpan w:val="14"/>
            <w:tcBorders/>
            <w:vAlign w:val="center"/>
          </w:tcPr>
          <w:p>
            <w:pPr>
              <w:pStyle w:val="TableContents"/>
              <w:bidi w:val="0"/>
              <w:spacing w:before="0" w:after="283"/>
              <w:jc w:val="center"/>
              <w:rPr>
                <w:b/>
              </w:rPr>
            </w:pPr>
            <w:r>
              <w:rPr>
                <w:b/>
              </w:rPr>
              <w:t>(dollars in thousands)</w:t>
            </w:r>
          </w:p>
        </w:tc>
        <w:tc>
          <w:tcPr>
            <w:tcW w:w="36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(3,314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(4,333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(24</w:t>
            </w:r>
          </w:p>
        </w:tc>
        <w:tc>
          <w:tcPr>
            <w:tcW w:w="36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3,322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of $1.2 million for the three months ended March 31, 2026 was primarily a result of our $3.2 million net loss from operations. The net loss was offset by a decrease in accounts receivable of $1.0 million and an increase in accrued expenses and other current liabilities of $0.9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of $1.0 million for the three months ended March 31, 2025 was primarily a result of our $1.4 million net loss from operations. The net loss was offset by non-cash stock-based compensation expense of $0.1 million, a decrease in prepaid expenses of $0.2 million, an increase in accounts payable of $0.1 million and an increase in accrued expenses and other current liabilities of $0.1 million.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$3.3 million for the year ended December 31, 2025 was primarily a result of our $3.5 million net loss from operations. The net loss was also adjusted by an increase in accounts receivable of $0.4 million and a decrease in accrued expenses and other current liabilities of $0.1 million. The net loss was offset by non-cash stock-based compensation expense of $0.4 million, an increase of accounts payable of $0.1 million and an increase of accrued research and development costs of $0.2 million. </w:t>
      </w:r>
    </w:p>
    <w:p>
      <w:pPr>
        <w:pStyle w:val="TextBody"/>
        <w:bidi w:val="0"/>
        <w:spacing w:before="240" w:after="0"/>
        <w:jc w:val="left"/>
        <w:rPr>
          <w:rFonts w:ascii="Times New Roman" w:hAnsi="Times New Roman"/>
          <w:sz w:val="20"/>
        </w:rPr>
      </w:pPr>
      <w:r>
        <w:rPr>
          <w:rFonts w:ascii="Times New Roman" w:hAnsi="Times New Roman"/>
          <w:sz w:val="20"/>
        </w:rPr>
        <w:t>Net cash used in operating activities was $4.3 million for the year ended December 31, 2024 was primarily a result of our $3.1 million net loss from operations. The net loss was also adjusted by gain from settlement of accounts payable of $0.4 million, an increase in accounts receivable of $0.6 million, a decrease in accounts payable, accrued expenses and other current liabilities of $1.0 million. The net loss was offset by non-cash stock-based compensation expense of $0.6 million.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investment activities of $0.1 million for the three months ended March 31, 2026 was due to purchase of lab equipment acquired during the three months ended March 31, 2026. There was no investing activity in the three months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three months ended March 31, 2026 of $0.8 million was due to the net proceeds received from ATM related to the issuance of 405,000 shares of our common stock under the ATM. Net cash provided by financing activities for the three months ended March 31, 2025 of $1.4 million was due to cash received from the 2025 Equity Private Placement related to issuance of 499,998 shares common stock at a purchase price of $2.75 per share.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2025 of $3.3 million was due to $1.2 million net proceeds received from the 2025 Cyclerion Private Placement related to the issuance of 499,998 shares of our common stock at a purchase price of $2.75 per share and $2.1 million net proceeds received from ATM related to the issuance of 715,220 shares of our common stock under the ATM. There was no financing activity incurred during the year ended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we are unable to complete the Merger, we expect our expenses to fluctuate as we continue to maintain out-license opportunities and potentially seek to broaden our portfolio through in-licensing of complementary assets. We expect that our cash and cash equivalents as of March 31, 2026, will be sufficient to fund operations through the closing of the Merger. As a result, if we are unable to complete the Merger, we will need to obtain additional funding to sustain operations as we expect to continue to generate operating losses for the foreseeable future. Failure to obtain necessary capital when needed may delay development of any current or potential future product candidates, or our ability to continue our operations. Because there is substantial doubt about our ability to continue as a going concern for a reasonable period of time, an investment in our common stock is highly speculative; holders of our common stock could suffer a total loss of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many risks and uncertainties associated with research, development and commercialization of product candidates, we are unable to estimate the exact amount of our working capital requirements. Our expenses will fluctuate, and our future funding requirements will depend on, and could increase or decrease significantly as a result of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scope, progress, results and costs of researching and developing our current and any potential future product candidates, and any preclinical studies and clinical trials we may conduct;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timing and outcome of regulatory review of any current and any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future activities, including medical affairs, manufacturing and distribution, of any current or potential future product candidates for which we receive marketing approval;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and timing of necessary actions to support our strategic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preparing, filing and prosecuting patent applications, maintaining and enforcing our intellectual property rights and defending intellectual property-related claims;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timing, receipt and amount of sales of, or milestone payments related to or royalties on, our current or potential future product candidates, if any. </w:t>
            </w:r>
          </w:p>
        </w:tc>
      </w:tr>
    </w:tbl>
    <w:p>
      <w:pPr>
        <w:pStyle w:val="TextBody"/>
        <w:bidi w:val="0"/>
        <w:spacing w:before="240" w:after="0"/>
        <w:jc w:val="left"/>
        <w:rPr>
          <w:rFonts w:ascii="Times New Roman" w:hAnsi="Times New Roman"/>
          <w:sz w:val="20"/>
        </w:rPr>
      </w:pPr>
      <w:r>
        <w:rPr>
          <w:rFonts w:ascii="Times New Roman" w:hAnsi="Times New Roman"/>
          <w:sz w:val="20"/>
        </w:rPr>
        <w:t>A change in any of these or other variables with respect to the development of any current or potential future product candidates could significantly change the costs and timing of the development of that product candidate.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capital requirements will depend primarily on our ability to complete the proposed transaction with Korsana. If we do not complete the proposed transaction with Korsana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 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we raise funds through collaborations, strategic alliances or licensing arrangements with third parties, as to which raise there can be no assurances, we may have to relinquish rights to our technologies, future revenue streams, research programs or product candidates or grant licenses on terms that may not be favorable to us. If we do not complete the Merger and are unable to raise funds, we may need to cease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Commitments and Obligations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Tax-related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exclude assets, liabilities or obligations pertaining to uncertain tax positions from our contractual commitments and obligations as we cannot make a reliable estimate of the period of cash settlement with the respective taxing authorities. As of March 31, 2026, we had no uncertain tax 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Separation Benefits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benefit of the former Chief Financial Officer, we paid $0.1 million each in May 2024 and August 2024. We have no further separation benefits obligation as of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New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new accounting pronouncements see Note 2, </w:t>
      </w:r>
      <w:r>
        <w:rPr>
          <w:rFonts w:ascii="Times New Roman" w:hAnsi="Times New Roman"/>
          <w:i/>
          <w:sz w:val="20"/>
        </w:rPr>
        <w:t>Summary of Significant Accounting Policies</w:t>
      </w:r>
      <w:r>
        <w:rPr>
          <w:rFonts w:ascii="Times New Roman" w:hAnsi="Times New Roman"/>
          <w:sz w:val="20"/>
        </w:rPr>
        <w:t xml:space="preserve">, of the consolidated financial statements appearing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111069_31"/>
      <w:bookmarkEnd w:id="33"/>
      <w:r>
        <w:rPr>
          <w:rFonts w:ascii="Times New Roman" w:hAnsi="Times New Roman"/>
          <w:b/>
          <w:sz w:val="20"/>
        </w:rPr>
        <w:t xml:space="preserve">KORSANA’S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Korsana’s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Korsana’s current plans, estimates and beliefs. Korsana’s historical results are not necessarily indicative of the results that may be expected for any period in the future. Korsana’s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Korsana is a biopharmaceutical company developing therapeutics to treat neurodegenerative diseases beginning with Alzheimer’s disease (“AD”). Korsana’s lead product candidate, KRSA-028, is an anti-amyloid beta (“A</w:t>
      </w:r>
      <w:r>
        <w:rPr>
          <w:rFonts w:ascii="SYMBOL" w:hAnsi="SYMBOL"/>
          <w:sz w:val="20"/>
        </w:rPr>
        <w:t>b</w:t>
      </w:r>
      <w:r>
        <w:rPr>
          <w:rFonts w:ascii="Times New Roman" w:hAnsi="Times New Roman"/>
          <w:sz w:val="20"/>
        </w:rPr>
        <w:t>”) antibody that combines the proprietary Therapeutic Targeting (“THETA™”) platform informed by clinical and regulatory learnings from other anti-A</w:t>
      </w:r>
      <w:r>
        <w:rPr>
          <w:rFonts w:ascii="SYMBOL" w:hAnsi="SYMBOL"/>
          <w:sz w:val="20"/>
        </w:rPr>
        <w:t>b</w:t>
      </w:r>
      <w:r>
        <w:rPr>
          <w:rFonts w:ascii="Times New Roman" w:hAnsi="Times New Roman"/>
          <w:sz w:val="20"/>
        </w:rPr>
        <w:t xml:space="preserve"> products that have achieved regulatory approval or are in late-stage clinical trials. KRSA-028 was designed to build upon the success of these prior products while addressing shortcomings that limit their clinical and commercial success, such as the ability to penetrate the brain. Korsana believes that KRSA-028 has the potential to rapidly clear amyloid plaques resulting in meaningful impacts on clinical symptoms in AD patients, and to do so while avoiding adverse effects associated with the specific designs of prior products. After Korsana completes GLP toxicity studies, it intends to submit a Clinical Trial Notification (“CTN”) in Australia or a Clinical Trial Application (“CTA”) in New Zealand by the end of 2026 and an Investigational New Drug (“IND”) application in the United States in the first quarter of 2027. Pharmacokinetic data in healthy volunteers is anticipated by mid-year 2027 and interim proof-of-concept data in AD patients is anticipated between year-end 2027 and the first quarter of 2028. The outcome of preclinical studies and early-stage clinical trials may not be predictive of the success of later clinical trials. See “</w:t>
      </w:r>
      <w:r>
        <w:rPr>
          <w:rFonts w:ascii="Times New Roman" w:hAnsi="Times New Roman"/>
          <w:i/>
          <w:sz w:val="20"/>
        </w:rPr>
        <w:t>Risk Factors – Risks Related to Korsana – Risks Related to Korsana’s Discovery, Development, and Commercialization – Preclinical and clinical development involves a lengthy and expensive process that is subject to delays and with uncertain outcomes, and results of earlier studies and trials may not be predictive of future clinical trial results. If Korsana’s preclinical studies and clinical trials are not sufficient to support regulatory approval of any of its product candidates, Korsana may incur additional costs or experience delays in completing, or ultimately be unable to complete, the development of such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 is a progressive and devastating neurodegenerative disease that slowly destroys cognition and leads to progressive impairment in patients’ ability to conduct activities of daily living. Prevalence increases with age; up to one-third of people over age 85 have symptoms. There are seven million people suffering from AD in the United States, a number that is expected to double by 2050 due to an aging population. AD is the seventh-leading cause of death in the United States with an estimated 500,000 deaths every year. </w:t>
      </w:r>
    </w:p>
    <w:p>
      <w:pPr>
        <w:pStyle w:val="TextBody"/>
        <w:bidi w:val="0"/>
        <w:spacing w:before="240" w:after="0"/>
        <w:jc w:val="left"/>
        <w:rPr>
          <w:rFonts w:ascii="Times New Roman" w:hAnsi="Times New Roman"/>
          <w:sz w:val="20"/>
        </w:rPr>
      </w:pPr>
      <w:r>
        <w:rPr>
          <w:rFonts w:ascii="Times New Roman" w:hAnsi="Times New Roman"/>
          <w:sz w:val="20"/>
        </w:rPr>
        <w:t>Until recently, approved treatments for AD addressed only symptoms and had no impact on the course of the disease. That situation changed after the approval of antibody-based therapeutics that targeted A</w:t>
      </w:r>
      <w:r>
        <w:rPr>
          <w:rFonts w:ascii="SYMBOL" w:hAnsi="SYMBOL"/>
          <w:sz w:val="20"/>
        </w:rPr>
        <w:t>b</w:t>
      </w:r>
      <w:r>
        <w:rPr>
          <w:rFonts w:ascii="Times New Roman" w:hAnsi="Times New Roman"/>
          <w:sz w:val="20"/>
        </w:rPr>
        <w:t>. Clinical trials of these therapeutics have provided clear evidence that antibody-mediated depletion of A</w:t>
      </w:r>
      <w:r>
        <w:rPr>
          <w:rFonts w:ascii="SYMBOL" w:hAnsi="SYMBOL"/>
          <w:sz w:val="20"/>
        </w:rPr>
        <w:t>b</w:t>
      </w:r>
      <w:r>
        <w:rPr>
          <w:rFonts w:ascii="Times New Roman" w:hAnsi="Times New Roman"/>
          <w:sz w:val="20"/>
        </w:rPr>
        <w:t xml:space="preserve"> in the brain correlates with a reduction in the rate of cognitive decline in symptomatic AD. </w:t>
      </w:r>
    </w:p>
    <w:p>
      <w:pPr>
        <w:pStyle w:val="TextBody"/>
        <w:bidi w:val="0"/>
        <w:spacing w:before="240" w:after="0"/>
        <w:jc w:val="left"/>
        <w:rPr>
          <w:rFonts w:ascii="Times New Roman" w:hAnsi="Times New Roman"/>
          <w:sz w:val="20"/>
        </w:rPr>
      </w:pPr>
      <w:r>
        <w:rPr>
          <w:rFonts w:ascii="Times New Roman" w:hAnsi="Times New Roman"/>
          <w:sz w:val="20"/>
        </w:rPr>
        <w:t>KRSA-028 was designed using clinical and regulatory learnings from these pioneering antibody-based therapeutics, together with Korsana’s proprietary combination of antibody engineering technologies, with the goal of improving clinical efficacy and safety profiles. KRSA-028 targets what is believed to be the most clinically relevant form of A</w:t>
      </w:r>
      <w:r>
        <w:rPr>
          <w:rFonts w:ascii="SYMBOL" w:hAnsi="SYMBOL"/>
          <w:sz w:val="20"/>
        </w:rPr>
        <w:t>b</w:t>
      </w:r>
      <w:r>
        <w:rPr>
          <w:rFonts w:ascii="Times New Roman" w:hAnsi="Times New Roman"/>
          <w:sz w:val="20"/>
        </w:rPr>
        <w:t xml:space="preserve"> and is designed to improve brain uptake while reducing effects on reticulocytes.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was also designed with physicochemical properties and stability intended to enable potent anti-A</w:t>
      </w:r>
      <w:r>
        <w:rPr>
          <w:rFonts w:ascii="SYMBOL" w:hAnsi="SYMBOL"/>
          <w:sz w:val="20"/>
        </w:rPr>
        <w:t>b</w:t>
      </w:r>
      <w:r>
        <w:rPr>
          <w:rFonts w:ascii="Times New Roman" w:hAnsi="Times New Roman"/>
          <w:sz w:val="20"/>
        </w:rPr>
        <w:t xml:space="preserve"> activity to the brain via subcutaneous injections. Key features of KRSA-028’s design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a proprietary transferrin receptor, or TfR, based shuttle designed to potentially improve delivery to the brain, which Korsana believes may also help reduce or avoid the treatment-related complications known as amyloid-related imaging abnormalities, or ARIA, associated with the two approved disease-modifying therapies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Targeting 3-pyroglutamate A</w:t>
            </w:r>
            <w:r>
              <w:rPr>
                <w:rFonts w:ascii="SYMBOL" w:hAnsi="SYMBOL"/>
                <w:sz w:val="20"/>
              </w:rPr>
              <w:t>b</w:t>
            </w:r>
            <w:r>
              <w:rPr>
                <w:rFonts w:ascii="Times New Roman" w:hAnsi="Times New Roman"/>
                <w:sz w:val="20"/>
              </w:rPr>
              <w:t>, or 3pE-A</w:t>
            </w:r>
            <w:r>
              <w:rPr>
                <w:rFonts w:ascii="SYMBOL" w:hAnsi="SYMBOL"/>
                <w:sz w:val="20"/>
              </w:rPr>
              <w:t>b</w:t>
            </w:r>
            <w:r>
              <w:rPr>
                <w:rFonts w:ascii="Times New Roman" w:hAnsi="Times New Roman"/>
                <w:sz w:val="20"/>
              </w:rPr>
              <w:t>, a form of A</w:t>
            </w:r>
            <w:r>
              <w:rPr>
                <w:rFonts w:ascii="SYMBOL" w:hAnsi="SYMBOL"/>
                <w:sz w:val="20"/>
              </w:rPr>
              <w:t>b</w:t>
            </w:r>
            <w:r>
              <w:rPr>
                <w:rFonts w:ascii="Times New Roman" w:hAnsi="Times New Roman"/>
                <w:sz w:val="20"/>
              </w:rPr>
              <w:t xml:space="preserve"> that is enriched in amyloid plaques that is believed to contribute to plaque formation in 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Incorporating Fc domain modifications designed to potentially improve half-life and reduce the potential for hematologic adverse events seen with other antibodies that incorporate TfR-based shuttles, while potentially preserving antibody-mediated immune function believed to contribute to amyloid plaque clearance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Enabling subcutaneous formulation through potentially favorable solubility, viscosity, and stability characteristics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proprietary THETA technology used to create KRSA-028 combines the benefits of TfR-mediated shuttling to the brain with Fc modifications to extend half-life and spare reticulocytes from destruction shown to be caused by third-party TfR-shuttled investigational products. The THETA technology was designed to retain phagocytic capacity, the mechanism by which the two approved disease-modifying products are thought to clear amyloid plaques from the brain. Korsana believes that the THETA platform will lead to meaningful improvements in the ability to deliver therapeutic modalities, such as antibodies, to the brain, while minimizing the frequency of adverse events associated with other TfR-based shuttle systems. Korsana intends to expand its pipeline by advancing other product candidates that incorporate THETA technology. Korsana anticipates disclosing details on its next product candidate in late 2026 or 2027.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in November 2024, Korsana has devoted substantially all of its resources to raising capital, organizing and staffing Korsana, business and scientific planning, conducting discovery and research activities, establishing arrangements with third parties, and providing general and administrative support for these operations. Korsana does not have any programs approved for sale and has not generated any revenue from product sales. To date, Korsana has funded its operations primarily with proceeds from the issuance of convertible preferred stock. In November 2024, Korsana received $10.0 million in gross proceeds from the issuance of Series A preferred stock, subsequently reclassified to Series Seed preferred stock in September 2025. Additionally in September 2025, Korsana received $15.0 million in gross proceeds from the issuance of Series Seed preferred stock and $151.0 million in gross proceeds from the issuance of Series A preferred stock to various investors. </w:t>
      </w:r>
    </w:p>
    <w:p>
      <w:pPr>
        <w:pStyle w:val="TextBody"/>
        <w:bidi w:val="0"/>
        <w:spacing w:before="240" w:after="0"/>
        <w:jc w:val="left"/>
        <w:rPr>
          <w:rFonts w:ascii="Times New Roman" w:hAnsi="Times New Roman"/>
          <w:sz w:val="20"/>
        </w:rPr>
      </w:pPr>
      <w:r>
        <w:rPr>
          <w:rFonts w:ascii="Times New Roman" w:hAnsi="Times New Roman"/>
          <w:sz w:val="20"/>
        </w:rPr>
        <w:t xml:space="preserve">Korsana has incurred operating losses since inception. Korsana’s ability to generate product revenue sufficient to achieve profitability will depend heavily on the successful development and eventual commercialization of any programs Korsana may develop. Korsana generated net losses of $13.5 million and $0.1 million for the three months ended March 31, 2026, and March 31, 2025. Korsana generated net losses of $35.6 million and $0.1 million for the year ended December 31, 2025 and for the period from November 8, 2024 (inception) to December 31, 2024. As of March 31, 2026, Korsana had an accumulated deficit of $49.2 million. Korsana expects to continue to incur significantly increased expenses for the foreseeable future if and as 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its existing and future research and development and discovery-related development of its programs 001 and 002 (A</w:t>
            </w:r>
            <w:r>
              <w:rPr>
                <w:rFonts w:ascii="SYMBOL" w:hAnsi="SYMBOL"/>
                <w:sz w:val="20"/>
              </w:rPr>
              <w:t>b</w:t>
            </w:r>
            <w:r>
              <w:rPr>
                <w:rFonts w:ascii="Times New Roman" w:hAnsi="Times New Roman"/>
                <w:sz w:val="20"/>
              </w:rPr>
              <w:t xml:space="preserve"> and TfR1) (together the “A</w:t>
            </w:r>
            <w:r>
              <w:rPr>
                <w:rFonts w:ascii="SYMBOL" w:hAnsi="SYMBOL"/>
                <w:sz w:val="20"/>
              </w:rPr>
              <w:t>b</w:t>
            </w:r>
            <w:r>
              <w:rPr>
                <w:rFonts w:ascii="Times New Roman" w:hAnsi="Times New Roman"/>
                <w:sz w:val="20"/>
              </w:rPr>
              <w:t xml:space="preserve"> program”) and its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and identifies additional research programs and product candidates and initiates discovery- related activities and preclinical studies for those programs;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completes future preclinical studies for Korsana’s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investigational new drug applications or comparable foreign applications that allow commencement of Korsana’s planned clinical trials or future clinical trials for any programs Korsana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enrollment and successfully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pursues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research and development, clinical, manufacturing and commercial personnel;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challenges, or other issues associated with the preclinical and clinical development of Korsana’s programs, including with respect to its regulatory strategies;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and enhances a sustainable, scalable, reproducible and transferable clinical and commercial-scale current good manufacturing practices (“cGMP”) capabilities through a third-party or Korsana’s own manufacturing facility for the programs Korsana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obtains and maintains regulatory approvals for any product candidates for which Korsana successfully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programs for which Korsana may obtain regulatory approval;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 candidates for which Korsana receives regulatory approval,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safety, tolerability and efficacy profile of any product Korsana may develop in additional indications following approval in one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Korsana’s intellectual property portfolio and other intellectual property protection or regulatory exclusivity for any products Korsana may develop and defends any intellectual property-related claims;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acquires or in-licenses product candidates or programs, intellectual property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Korsana’s current collaborations and establishes and maintains any future collaborations, including making milestone, royalty or other payments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changes in the outcome of any of these variables with respect to the development of programs that Korsana may identify could mean a significant change in the costs and timing associated with the development of such programs. For example, if the U.S. Food and Drug Administration or another comparable regulatory authority were to require Korsana to conduct clinical trials beyond those that Korsana currently anticipates will be required to complete clinical development and obtain regulatory approval of one or more product candidates, or if Korsana experiences significant delays in Korsana’s preclinical studies or clinical trials, Korsana would be required to expend significant additional financial resources and time to advance and complete clinical development. Korsana may never obtain regulatory approval for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Korsana will not generate revenue from product sales unless and until it successfully initiates and completes clinical development and obtains regulatory approval for any product candidates. If Korsana obtains regulatory approval for any of its product candidates and does not enter into a commercialization partnership, it expects to incur significant expenses related to developing Korsana’s commercialization capability to support product sales, manufacturing, marketing,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Based on its current operating plan, Korsana has concluded its existing cash and cash equivalents will be sufficient to fund its operating plan for at least 12 months after the date Korsana’s financial statements for the period ended March 31, 2026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an Agreement and Plan of Merger (as subsequently amended on April 17, 2026, the “Merger Agreement”) with Cyclerion Therapeutics Inc. (“Cyclerion”) and Cariboos Merger Sub Corp and Cariboos Merger Sub II, LLC, wholly owned subsidiaries of Cyclerion, pursuant to which,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Merger Sub II will change its corporate name to “Korsana Biopharma Operating Company, LLC” and Cyclerion will change its name to “Korsana Biosciences, Inc.” Cyclerion following the Merger is referred to herein as the “Combined Company.” The Combined Company will be led by Korsana’s management team and remains focused on discovering and developing novel therapies designed to reduce the burden of neurodegenerative diseases, starting with Alzheimer’s disease. In connection with the Merger, Korsana and Cyclerion entered into the Subscription Agreement with certain institutional and accredited investors, pursuant to which such investors have agreed, subject to the terms and conditions of such agreements, to purchase immediately prior to the consummation of the Merger, shares of Korsana common stock and pre-funded warrants for an aggregate purchase price of $380.0 million in the Korsana Pre-Closing Financing. The closing of the Korsana Pre-Closing Financing is conditioned on the satisfaction or waiver of the conditions set forth in the Merger Agreement and is expected to occur immediately prior to the closing of the Merger. The proceeds from the Subscription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Korsana estimates that its existing cash and cash equivalents as of the date of this proxy statement/prospectus, together with the net proceeds from the Merger and the Korsana Pre-Closing Financing, will be sufficient to enable Korsana to fund its operating expenses and capital expenditure requirements into 2029. Korsana has based this estimate on assumptions that may prove to be wrong, Korsana’s operating plan may change as a result of many factors currently unknown to Korsana and Korsana could exhaust its available capital resources sooner than Korsana expects. See the sections titled “— </w:t>
      </w:r>
      <w:r>
        <w:rPr>
          <w:rFonts w:ascii="Times New Roman" w:hAnsi="Times New Roman"/>
          <w:i/>
          <w:sz w:val="20"/>
        </w:rPr>
        <w:t>Liquidity and Capital Resources</w:t>
      </w:r>
      <w:r>
        <w:rPr>
          <w:rFonts w:ascii="Times New Roman" w:hAnsi="Times New Roman"/>
          <w:sz w:val="20"/>
        </w:rPr>
        <w:t>” below and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Korsana’s Operations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Korsana’s business. Korsana is subject to continuing risks and uncertainties in connection with the current macroeconomic environment, including increases in inflation, fluctuating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Korsana is closely monitoring the impact of the current macroeconomic and geopolitical conditions on all aspects of Korsana’s business, including the impacts on participants in any future clinical trials and its employees, suppliers, vendors and business partners and Korsana’s future access to capital, the ultimate extent of the impact on Korsana’s business remains highly uncertain and will depend on future developments and factors that continue to evolve. Most of these developments and factors are outside Korsana’s control and could exist for an extended period of time. Korsana will continue to evaluate the nature and extent of the potential impacts to its business, results of operations, liquidity and capital resources. For additional information, see the section titled “Risk Factors — Risks Related to Korsana’s Business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Korsana has not generated revenue from any sources, including product sales, and does not expect to generate any revenue from the sale of products in the foreseeable future. If Korsana’s development efforts for its product candidates are successful and result in regulatory approval, Korsana may generate revenue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from product sales or payments from future collaboration or license agreements that Korsana may enter into with third parties, or any combination thereof. Korsana cannot predict if, when, or to what extent it will generate revenue from the commercialization and sale of Korsana’s product candidates. Korsana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Korsana’s operating expenses consist of (i) research and development expenses and (ii)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Korsana’s programs.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costs of funding research performed by third parties, including Paragon, that conduct research and development activities on Korsana’s behalf and services rendered under the Paragon ADOA (as defined below) for research programs, the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continuing Korsana’s current research programs and discovery-phase development of any programs Korsana may identify, including under future agreements with third parties, such as consultants and contractors;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and equity-based compensation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expenses research and development costs as incurred. For the three months ended March 31, 2026, Korsana recognized $8.8 million of expenses in connection with services provided by Paragon under the Paragon ADOA in Korsana’s condensed consolidated statements of operations and comprehensive loss. For the three months ended March 31, 2025, Korsana recognized less than $0.1 million of expenses in connection with services provided by Paragon for the 001 program and stock compensation. For the year ended December 31, 2025, Korsana recognized $31.3 million of expenses in connection with services provided by Paragon under the Paragon ADOA in Korsana’s consolidated statements of operations and comprehensive loss. There were no expenses recognized during the period November 8, 2024 (inception) to December 31, 2024 related to the Paragon ADOA. See the section titled “Contractual Commitments and Obligations” below for further details on Korsana’s research plans.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its research and development expenses will increase substantially for the foreseeable future as Korsana continues to invest in research and development activities related to the continued development of Korsana’s programs, developing any future programs, including investments in manufacturing, as Korsana advances any program Korsana may identify and continue to conduct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expenses, including recruiting costs, salaries, bonuses, benefits and equity-based compensation, for individuals in Korsana’s executive, finance, legal, operations, human resources, business development and other administrative functions. Other significant general and administrative expenses include legal fees relating to corporate matters and patent-related activities, insurance costs, information technology, and professional and consulting fees associated with accounting, audit, tax and investor and public relations. </w:t>
      </w:r>
    </w:p>
    <w:p>
      <w:pPr>
        <w:pStyle w:val="TextBody"/>
        <w:bidi w:val="0"/>
        <w:spacing w:before="240" w:after="0"/>
        <w:jc w:val="left"/>
        <w:rPr>
          <w:rFonts w:ascii="Times New Roman" w:hAnsi="Times New Roman"/>
          <w:sz w:val="20"/>
        </w:rPr>
      </w:pPr>
      <w:r>
        <w:rPr>
          <w:rFonts w:ascii="Times New Roman" w:hAnsi="Times New Roman"/>
          <w:sz w:val="20"/>
        </w:rPr>
        <w:t xml:space="preserve">Korsana expects that its general and administrative expenses will increase substantially for the foreseeable future as Korsana increases its headcount and establishes office space to support its expected growth. Korsana also expects to incur increased expenses associated with becoming a public company, including transactional costs and increased costs of accounting, audit, legal, regulatory and tax related services associated with maintaining compliance with SEC requirements, additional director and officer insurance costs, and investor and public relations costs. Korsana also expects to incur additional intellectual property-related expenses as Korsana files patent applications to protect innovations arising from its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includes interest income of $1.3 million earned for the three months ended March 31, 2026 and $0.1 million for the three months ended March 31, 2025. Other income includes interest income of $1.6 million earned for the year ended December 31, 2025 and less than $0.1 million for the period from November 8, 2024 (inception) to December 31, 2024. Other income relates to interest earned on Korsana’s money market accounts. The increase in interest income relates to an increase in the cash and cash equivalents balance from the issuance of Korsana’s Series A convertible preferred stock in September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three months ended March 31, 2026 and for the three months ended March 31, 2025. No provision for income taxes was recorded for the year ended December 31, 2025 and for the period from November 8, 2024 (inception) through December 31, 2024. Korsana has recorded a full valuation allowance against its net deferred tax assets at the various balance sheet dates, as Korsana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condensed consolidated statements of operations and comprehensive loss for the periods presented (in thousands):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2660"/>
        <w:gridCol w:w="120"/>
        <w:gridCol w:w="251"/>
        <w:gridCol w:w="1359"/>
        <w:gridCol w:w="155"/>
        <w:gridCol w:w="120"/>
        <w:gridCol w:w="378"/>
        <w:gridCol w:w="1232"/>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143</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8"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$8.8 million for the three months ended March 31, 2026 and less than $0.1 million for the three months March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5915"/>
        <w:gridCol w:w="120"/>
        <w:gridCol w:w="274"/>
        <w:gridCol w:w="1336"/>
        <w:gridCol w:w="60"/>
        <w:gridCol w:w="120"/>
        <w:gridCol w:w="563"/>
        <w:gridCol w:w="1047"/>
        <w:gridCol w:w="75"/>
      </w:tblGrid>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selected program / platform:</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8,897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11,477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99</w:t>
            </w:r>
          </w:p>
        </w:tc>
        <w:tc>
          <w:tcPr>
            <w:tcW w:w="7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$7.1 million for the three months ended March 31, 2026 and $0 for the three months ended March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$1.5 million for the three months ended March 31, 2026 and $0 for the three months ended March 31, 2025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$0.2 million for the three months ended March 31, 2026 and less than $0.1 million for the three months ended March 31, 2025.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three months ended March 31, 2026 and $0 for the three months ended March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$11.5 million for the period ended March 31, 2026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 million of personnel-related costs related to recruiting costs, salaries, benefits, and other compensation-related costs, including stock-based compensation expense of $0.3 million of which $0.2 million of stock-based compensation expense related to the 2026 Parasa Warrant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$0.2 million of toxicology testing for the A</w:t>
            </w:r>
            <w:r>
              <w:rPr>
                <w:rFonts w:ascii="SYMBOL" w:hAnsi="SYMBOL"/>
                <w:sz w:val="20"/>
              </w:rPr>
              <w:t>b</w:t>
            </w:r>
            <w:r>
              <w:rPr>
                <w:rFonts w:ascii="Times New Roman" w:hAnsi="Times New Roman"/>
                <w:sz w:val="20"/>
              </w:rPr>
              <w:t xml:space="preserve"> program with a third-party contract research organization;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$0.3 million of other research and development expense related to chemistry, manufacturing, and development costs with a third-party contract development and manufacturing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$0.1 million for the three months ended March 31, 2025 and consisted primarily of the following: </w:t>
      </w:r>
    </w:p>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than $0.1 million of research and development expense due to third party services rendered for the A</w:t>
            </w:r>
            <w:r>
              <w:rPr>
                <w:rFonts w:ascii="SYMBOL" w:hAnsi="SYMBOL"/>
                <w:sz w:val="20"/>
              </w:rPr>
              <w:t>b</w:t>
            </w:r>
            <w:r>
              <w:rPr>
                <w:rFonts w:ascii="Times New Roman" w:hAnsi="Times New Roman"/>
                <w:sz w:val="20"/>
              </w:rPr>
              <w:t xml:space="preserve"> program; and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4595"/>
        <w:gridCol w:w="120"/>
        <w:gridCol w:w="322"/>
        <w:gridCol w:w="1288"/>
        <w:gridCol w:w="60"/>
        <w:gridCol w:w="120"/>
        <w:gridCol w:w="563"/>
        <w:gridCol w:w="1047"/>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1,661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pBdr>
                <w:top w:val="single" w:sz="2" w:space="1" w:color="000000"/>
              </w:pBdr>
              <w:bidi w:val="0"/>
              <w:spacing w:before="0" w:after="0"/>
              <w:jc w:val="left"/>
              <w:rPr/>
            </w:pPr>
            <w:r>
              <w:rPr/>
              <w:t> </w:t>
            </w:r>
          </w:p>
        </w:tc>
        <w:tc>
          <w:tcPr>
            <w:tcW w:w="128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single" w:sz="2" w:space="1" w:color="000000"/>
              </w:pBdr>
              <w:bidi w:val="0"/>
              <w:spacing w:before="0" w:after="0"/>
              <w:jc w:val="left"/>
              <w:rPr/>
            </w:pPr>
            <w:r>
              <w:rPr/>
              <w:t> </w:t>
            </w:r>
          </w:p>
        </w:tc>
        <w:tc>
          <w:tcPr>
            <w:tcW w:w="104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3,283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w:t>
            </w:r>
          </w:p>
        </w:tc>
        <w:tc>
          <w:tcPr>
            <w:tcW w:w="1047"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2" w:type="dxa"/>
            <w:tcBorders/>
            <w:vAlign w:val="center"/>
          </w:tcPr>
          <w:p>
            <w:pPr>
              <w:pStyle w:val="TableContents"/>
              <w:pBdr>
                <w:top w:val="double" w:sz="6" w:space="1" w:color="000000"/>
              </w:pBdr>
              <w:bidi w:val="0"/>
              <w:spacing w:before="0" w:after="0"/>
              <w:jc w:val="left"/>
              <w:rPr/>
            </w:pPr>
            <w:r>
              <w:rPr/>
              <w:t> </w:t>
            </w:r>
          </w:p>
        </w:tc>
        <w:tc>
          <w:tcPr>
            <w:tcW w:w="128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3" w:type="dxa"/>
            <w:tcBorders/>
            <w:vAlign w:val="center"/>
          </w:tcPr>
          <w:p>
            <w:pPr>
              <w:pStyle w:val="TableContents"/>
              <w:pBdr>
                <w:top w:val="double" w:sz="6" w:space="1" w:color="000000"/>
              </w:pBdr>
              <w:bidi w:val="0"/>
              <w:spacing w:before="0" w:after="0"/>
              <w:jc w:val="left"/>
              <w:rPr/>
            </w:pPr>
            <w:r>
              <w:rPr/>
              <w:t> </w:t>
            </w:r>
          </w:p>
        </w:tc>
        <w:tc>
          <w:tcPr>
            <w:tcW w:w="104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$3.3 million for the three months ended March 31, 2026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$1.7 million of professional and consulting fees associated with accounting, audit, investor and public relations, and legal fees due to an increase in Korsana’s business activity;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$1.4 million of personnel-related costs related to recruiting costs, salaries, benefits and other compensation-related costs, including stock-based compensation of $0.4 million; and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less than $0.1 million for three months ended March 31, 2025 and consisted primarily of the following: </w:t>
      </w:r>
    </w:p>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professional and consulting fees associated with accounting, audit, tax and insurance; and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other business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statements of operations and comprehensive loss for the periods presented (in thousands): </w:t>
      </w:r>
    </w:p>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2660"/>
        <w:gridCol w:w="120"/>
        <w:gridCol w:w="305"/>
        <w:gridCol w:w="1650"/>
        <w:gridCol w:w="155"/>
        <w:gridCol w:w="120"/>
        <w:gridCol w:w="460"/>
        <w:gridCol w:w="1495"/>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165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32,785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w:t>
            </w:r>
          </w:p>
        </w:tc>
        <w:tc>
          <w:tcPr>
            <w:tcW w:w="1495"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4,506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109</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1,649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pBdr>
                <w:top w:val="single" w:sz="2" w:space="1" w:color="000000"/>
              </w:pBdr>
              <w:bidi w:val="0"/>
              <w:spacing w:before="0" w:after="0"/>
              <w:jc w:val="left"/>
              <w:rPr/>
            </w:pPr>
            <w:r>
              <w:rPr/>
              <w:t> </w:t>
            </w:r>
          </w:p>
        </w:tc>
        <w:tc>
          <w:tcPr>
            <w:tcW w:w="16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0" w:type="dxa"/>
            <w:tcBorders/>
            <w:vAlign w:val="center"/>
          </w:tcPr>
          <w:p>
            <w:pPr>
              <w:pStyle w:val="TableContents"/>
              <w:pBdr>
                <w:top w:val="single" w:sz="2" w:space="1" w:color="000000"/>
              </w:pBdr>
              <w:bidi w:val="0"/>
              <w:spacing w:before="0" w:after="0"/>
              <w:jc w:val="left"/>
              <w:rPr/>
            </w:pPr>
            <w:r>
              <w:rPr/>
              <w:t> </w:t>
            </w:r>
          </w:p>
        </w:tc>
        <w:tc>
          <w:tcPr>
            <w:tcW w:w="149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$31.2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$1.2 million for the year ended December 31, 2025 and $0 for the period from November 8, 2024 (inception) to December 31,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research and development expenses incurred for the periods presented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90"/>
        <w:gridCol w:w="120"/>
        <w:gridCol w:w="333"/>
        <w:gridCol w:w="1622"/>
        <w:gridCol w:w="60"/>
        <w:gridCol w:w="120"/>
        <w:gridCol w:w="694"/>
        <w:gridCol w:w="1291"/>
        <w:gridCol w:w="75"/>
      </w:tblGrid>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18,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Extemal research and development costs by selected program / platform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r>
              <w:rPr>
                <w:rFonts w:ascii="SYMBOL" w:hAnsi="SYMBOL"/>
                <w:sz w:val="20"/>
              </w:rPr>
              <w:t>b</w:t>
            </w:r>
            <w:r>
              <w:rPr>
                <w:rFonts w:ascii="Times New Roman" w:hAnsi="Times New Roman"/>
                <w:sz w:val="20"/>
              </w:rPr>
              <w:t xml:space="preserve"> program (1)</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27,003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 program 003 (2)</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4,062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 (3)</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(4)</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pBdr>
                <w:top w:val="single" w:sz="2" w:space="1" w:color="000000"/>
              </w:pBdr>
              <w:bidi w:val="0"/>
              <w:spacing w:before="0" w:after="0"/>
              <w:jc w:val="left"/>
              <w:rPr/>
            </w:pPr>
            <w:r>
              <w:rPr/>
              <w:t> </w:t>
            </w:r>
          </w:p>
        </w:tc>
        <w:tc>
          <w:tcPr>
            <w:tcW w:w="12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32,785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jc w:val="left"/>
              <w:rPr/>
            </w:pPr>
            <w:r>
              <w:rPr/>
              <w:t> </w:t>
            </w:r>
          </w:p>
        </w:tc>
      </w:tr>
      <w:tr>
        <w:trPr/>
        <w:tc>
          <w:tcPr>
            <w:tcW w:w="5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4" w:type="dxa"/>
            <w:tcBorders/>
            <w:vAlign w:val="center"/>
          </w:tcPr>
          <w:p>
            <w:pPr>
              <w:pStyle w:val="TableContents"/>
              <w:pBdr>
                <w:top w:val="single" w:sz="2" w:space="1" w:color="000000"/>
              </w:pBdr>
              <w:bidi w:val="0"/>
              <w:spacing w:before="0" w:after="0"/>
              <w:jc w:val="left"/>
              <w:rPr/>
            </w:pPr>
            <w:r>
              <w:rPr/>
              <w:t> </w:t>
            </w:r>
          </w:p>
        </w:tc>
        <w:tc>
          <w:tcPr>
            <w:tcW w:w="129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$26.4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$3.9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$0.9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less than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$32.8 million for the year ended December 31, 2025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$26.4 million of research and development expense due to Paragon for services rendered under the Paragon ADOA for the A</w:t>
            </w:r>
            <w:r>
              <w:rPr>
                <w:rFonts w:ascii="SYMBOL" w:hAnsi="SYMBOL"/>
                <w:sz w:val="20"/>
              </w:rPr>
              <w:t>b</w:t>
            </w:r>
            <w:r>
              <w:rPr>
                <w:rFonts w:ascii="Times New Roman" w:hAnsi="Times New Roman"/>
                <w:sz w:val="20"/>
              </w:rPr>
              <w:t xml:space="preserv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$3.9 million of research and development expense due to Paragon for services rendered under the Paragon ADOA for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$1.6 million of personnel-related costs related to recruiting costs, salaries, benefits, and other compensation-related costs, including stock-based compensation expense of $0.9 million of which $0.8 million of stock-based compensation related to the 2025 Parasa Warrant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$0.6 million of research and development expense due to an increase in chemistry, manufacturing, and development costs for the A</w:t>
            </w:r>
            <w:r>
              <w:rPr>
                <w:rFonts w:ascii="SYMBOL" w:hAnsi="SYMBOL"/>
                <w:sz w:val="20"/>
              </w:rPr>
              <w:t>b</w:t>
            </w:r>
            <w:r>
              <w:rPr>
                <w:rFonts w:ascii="Times New Roman" w:hAnsi="Times New Roman"/>
                <w:sz w:val="20"/>
              </w:rPr>
              <w:t xml:space="preserve"> program, including $0.4 million of toxicology testing for the A</w:t>
            </w:r>
            <w:r>
              <w:rPr>
                <w:rFonts w:ascii="SYMBOL" w:hAnsi="SYMBOL"/>
                <w:sz w:val="20"/>
              </w:rPr>
              <w:t>b</w:t>
            </w:r>
            <w:r>
              <w:rPr>
                <w:rFonts w:ascii="Times New Roman" w:hAnsi="Times New Roman"/>
                <w:sz w:val="20"/>
              </w:rPr>
              <w:t xml:space="preserve"> program with a third-party contract research 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research and development expense related to chemistry, manufacturing, and development costs with a third-party contract development and manufacturing organization;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$0.1 million of research and development expense due to an increase in chemistry, manufacturing, and development costs for undisclosed program 003, including $0.1 million of toxicology testing for undisclosed program 003 with a third-party contract research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stock-based compensation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total general and administrative expenses for the periods presented (in thousands): </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595"/>
        <w:gridCol w:w="120"/>
        <w:gridCol w:w="391"/>
        <w:gridCol w:w="1564"/>
        <w:gridCol w:w="60"/>
        <w:gridCol w:w="120"/>
        <w:gridCol w:w="684"/>
        <w:gridCol w:w="1271"/>
        <w:gridCol w:w="75"/>
      </w:tblGrid>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fees(1)</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2,452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1,274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fees related to patent(2)</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single" w:sz="2" w:space="1" w:color="000000"/>
              </w:pBdr>
              <w:bidi w:val="0"/>
              <w:spacing w:before="0" w:after="0"/>
              <w:jc w:val="left"/>
              <w:rPr/>
            </w:pPr>
            <w:r>
              <w:rPr/>
              <w:t> </w:t>
            </w:r>
          </w:p>
        </w:tc>
        <w:tc>
          <w:tcPr>
            <w:tcW w:w="156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pBdr>
                <w:top w:val="single" w:sz="2" w:space="1" w:color="000000"/>
              </w:pBdr>
              <w:bidi w:val="0"/>
              <w:spacing w:before="0" w:after="0"/>
              <w:jc w:val="left"/>
              <w:rPr/>
            </w:pPr>
            <w:r>
              <w:rPr/>
              <w:t> </w:t>
            </w:r>
          </w:p>
        </w:tc>
        <w:tc>
          <w:tcPr>
            <w:tcW w:w="127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4,506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53</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double" w:sz="6" w:space="1" w:color="000000"/>
              </w:pBdr>
              <w:bidi w:val="0"/>
              <w:spacing w:before="0" w:after="0"/>
              <w:jc w:val="left"/>
              <w:rPr/>
            </w:pPr>
            <w:r>
              <w:rPr/>
              <w:t> </w:t>
            </w:r>
          </w:p>
        </w:tc>
        <w:tc>
          <w:tcPr>
            <w:tcW w:w="156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pBdr>
                <w:top w:val="double" w:sz="6" w:space="1" w:color="000000"/>
              </w:pBdr>
              <w:bidi w:val="0"/>
              <w:spacing w:before="0" w:after="0"/>
              <w:jc w:val="left"/>
              <w:rPr/>
            </w:pPr>
            <w:r>
              <w:rPr/>
              <w:t> </w:t>
            </w:r>
          </w:p>
        </w:tc>
        <w:tc>
          <w:tcPr>
            <w:tcW w:w="1271"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$0.5 million for the year ended December 31, 2025 and $0 for the period from November 8, 2024 (inception) to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$0.6 million for the year ended December 31, 2025 and $0 for the period from November 8, 2024 (inception) to December 31, 2024.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 of $0.1 million for the year ended December 31, 2025 and $0 for the period from November 8, 2024 (inception) to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$4.5 million for the year ended December 31, 2025 and consisted primarily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$2.4 million of professional and consulting fees associated with accounting, audit, investor and public relations, and legal fees due to an increase in Korsana’s business activity, including $0.5 million reimbursed to Paragon and the chief executive officer for such services provided;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 million of personnel-related costs related to recruiting costs, salaries, benefits and other compensation-related costs, including stock-based compensation of $0.7 million;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$0.6 million of legal fees due to Paragon associated with patent-related activities; and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$0.2 million of other business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less than $0.1 million for the period from November 8, 2024 (inception) to December 31, 2024 and consisted primarily of the following: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$0.1 million of corporate legal fees and legal fees associated with patent-related activities.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Since its inception, Korsana has incurred significant operating losses. Korsana expects to incur significant expenses and operating losses for the foreseeable future as Korsana continues the preclinical development of its programs and commences clinical development of the A</w:t>
      </w:r>
      <w:r>
        <w:rPr>
          <w:rFonts w:ascii="SYMBOL" w:hAnsi="SYMBOL"/>
          <w:sz w:val="20"/>
        </w:rPr>
        <w:t>b</w:t>
      </w:r>
      <w:r>
        <w:rPr>
          <w:rFonts w:ascii="Times New Roman" w:hAnsi="Times New Roman"/>
          <w:sz w:val="20"/>
        </w:rPr>
        <w:t xml:space="preserve"> program and undisclosed program 003. Korsana has not yet commercialized any products and Korsana does not expect to generate revenue from sales of products for several years, if at all. To date, Korsana has primarily funded its operations with proceeds from the issuance of Series Seed and Series A preferred stock. In November 2024, Korsana issued and sold 8,000,000 shares of Series A convertible preferred stock (subsequently reclassified to Series Seed preferred stock in September 2025) at a purchase price of $1.25 per share, for total gross proceeds of $10.0 million. In September 2025, Korsana received $15.0 million in gross proceeds from the issuance of Series Seed preferred stock and $151.0 million from the issuance of Series A preferred stock. As of March 31, 2026, Korsana had cash and cash equivalents of $134.2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Three Months Ended March 31, 2026 and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2975"/>
        <w:gridCol w:w="120"/>
        <w:gridCol w:w="251"/>
        <w:gridCol w:w="1359"/>
        <w:gridCol w:w="155"/>
        <w:gridCol w:w="120"/>
        <w:gridCol w:w="474"/>
        <w:gridCol w:w="1136"/>
        <w:gridCol w:w="17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(19,477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135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pBdr>
                <w:top w:val="single" w:sz="2" w:space="1" w:color="000000"/>
              </w:pBdr>
              <w:bidi w:val="0"/>
              <w:spacing w:before="0" w:after="0"/>
              <w:jc w:val="left"/>
              <w:rPr/>
            </w:pPr>
            <w:r>
              <w:rPr/>
              <w:t> </w:t>
            </w:r>
          </w:p>
        </w:tc>
        <w:tc>
          <w:tcPr>
            <w:tcW w:w="113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(19,877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135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4" w:type="dxa"/>
            <w:tcBorders/>
            <w:vAlign w:val="center"/>
          </w:tcPr>
          <w:p>
            <w:pPr>
              <w:pStyle w:val="TableContents"/>
              <w:pBdr>
                <w:top w:val="double" w:sz="6" w:space="1" w:color="000000"/>
              </w:pBdr>
              <w:bidi w:val="0"/>
              <w:spacing w:before="0" w:after="0"/>
              <w:jc w:val="left"/>
              <w:rPr/>
            </w:pPr>
            <w:r>
              <w:rPr/>
              <w:t> </w:t>
            </w:r>
          </w:p>
        </w:tc>
        <w:tc>
          <w:tcPr>
            <w:tcW w:w="1136"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operating activities was $19.5 million, which was primarily attributable to a net loss of $13.5 million and decreases in operating assets and liabilities of $6.6 million, partially offset by non-cash charges of $0.7 million. Non-cash charges consisted of $0.7 million in stock-based compensation expense. The changes in operating assets and liabilities primarily consisted of a $0.2 million decrease in accounts payable, $6.0 million decrease in accrued expenses and other current liabilities, and $0.5 million increase in prepaid expenses and other current assets. The decrease in accounts payable, and accrued expenses and other current liabilities was primarily due to repayment of vendor invoicing.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2025, net cash used by operating activities was less than $0.1 million, which was primarily attributable to a net loss of $0.1 million, partially offset by increases in operating assets and liabilities of less than $0.1 million and non-cash charges of less than $0.1 million. Non-cash charges consisted of less than $0.1 million in stock-based compensation expense. The changes in operating assets and liabilities consisted of $0.2 million increase in accounts payable and accrued expenses and other current liabilities and $0.2 million decrease in prepaid expenses and other current assets.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investing activities was $0.2 million, which is attributable to $0.2 million purchase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net cash used in financing activities was $0.2 million, which is attributable to $0.2 million of deferred offering cost payments in connection with Korsana’s proposed merger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November 8,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Korsana’s cash flows for the periods presented (in thousands): </w:t>
      </w:r>
    </w:p>
    <w:p>
      <w:pPr>
        <w:pStyle w:val="TextBody"/>
        <w:bidi w:val="0"/>
        <w:spacing w:before="0" w:after="0"/>
        <w:jc w:val="left"/>
        <w:rPr/>
      </w:pPr>
      <w:r>
        <w:rPr/>
        <w:t> </w:t>
      </w:r>
    </w:p>
    <w:tbl>
      <w:tblPr>
        <w:tblW w:w="8510" w:type="dxa"/>
        <w:jc w:val="left"/>
        <w:tblInd w:w="0" w:type="dxa"/>
        <w:tblLayout w:type="fixed"/>
        <w:tblCellMar>
          <w:top w:w="0" w:type="dxa"/>
          <w:left w:w="0" w:type="dxa"/>
          <w:bottom w:w="0" w:type="dxa"/>
          <w:right w:w="0" w:type="dxa"/>
        </w:tblCellMar>
      </w:tblPr>
      <w:tblGrid>
        <w:gridCol w:w="4130"/>
        <w:gridCol w:w="120"/>
        <w:gridCol w:w="291"/>
        <w:gridCol w:w="1664"/>
        <w:gridCol w:w="155"/>
        <w:gridCol w:w="120"/>
        <w:gridCol w:w="333"/>
        <w:gridCol w:w="1622"/>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w:t>
              <w:br/>
              <w:t>November 8, 2024</w:t>
              <w:br/>
              <w:t>(Inception) to</w:t>
              <w:br/>
              <w:t>December 31, 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(22,406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166,433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10,064</w:t>
            </w:r>
          </w:p>
        </w:tc>
        <w:tc>
          <w:tcPr>
            <w:tcW w:w="7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single" w:sz="2" w:space="1" w:color="000000"/>
              </w:pBdr>
              <w:bidi w:val="0"/>
              <w:spacing w:before="0" w:after="0"/>
              <w:jc w:val="left"/>
              <w:rPr/>
            </w:pPr>
            <w:r>
              <w:rPr/>
              <w:t> </w:t>
            </w:r>
          </w:p>
        </w:tc>
        <w:tc>
          <w:tcPr>
            <w:tcW w:w="16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single" w:sz="2" w:space="1" w:color="000000"/>
              </w:pBdr>
              <w:bidi w:val="0"/>
              <w:spacing w:before="0" w:after="0"/>
              <w:jc w:val="left"/>
              <w:rPr/>
            </w:pPr>
            <w:r>
              <w:rPr/>
              <w:t> </w:t>
            </w:r>
          </w:p>
        </w:tc>
        <w:tc>
          <w:tcPr>
            <w:tcW w:w="162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in cash</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144,027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10,108</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double" w:sz="6" w:space="1" w:color="000000"/>
              </w:pBdr>
              <w:bidi w:val="0"/>
              <w:spacing w:before="0" w:after="0"/>
              <w:jc w:val="left"/>
              <w:rPr/>
            </w:pPr>
            <w:r>
              <w:rPr/>
              <w:t> </w:t>
            </w:r>
          </w:p>
        </w:tc>
        <w:tc>
          <w:tcPr>
            <w:tcW w:w="166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pBdr>
                <w:top w:val="double" w:sz="6" w:space="1" w:color="000000"/>
              </w:pBdr>
              <w:bidi w:val="0"/>
              <w:spacing w:before="0" w:after="0"/>
              <w:jc w:val="left"/>
              <w:rPr/>
            </w:pPr>
            <w:r>
              <w:rPr/>
              <w:t> </w:t>
            </w:r>
          </w:p>
        </w:tc>
        <w:tc>
          <w:tcPr>
            <w:tcW w:w="162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used in operating activities was $22.4 million, which was primarily attributable to a net loss of $35.6 million, partially offset by non-cash charges of $1.6 million and changes in operating assets and liabilities of $11.6 million. Non-cash charges consisted of $1.6 million in stock-based compensation expense. The changes in operating assets and liabilities primarily consisted of a $0.1 million increase in accounts payable, $12.0 million increase in accrued expenses and other current liabilities, partially offset by $0.5 million increase in prepaid expenses and other current assets. The increase in accounts payable, and accrued expenses and other current liabilities was primarily due to an increase in Korsana’s business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$10.6 million of additional accrued expenses and other current liabilities related to the research and development activities conducted by Paragon on behalf of Korsana, as well as vendor invoicing and payments. The increase in prepaid expenses and other current assets was primarily due to prepaid research and development expenses with Korsana’s contract research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operating activities was less than $0.1 million, which was primarily attributable to a net loss of $0.1 million, offset by non-cash charges of $0.1 million and changes in operating assets and liabilities of $0.1 million. Non-cash charges consisted of $0.1 million in stock-based compensation expense. The changes in operating assets and liabilities consisted of $0.1 million increase in accounts payable, accrued expenses and other current liabilities. The increase in accounts payable, accrued expenses and other current liabilities was primarily due to an increase in Korsana’s business activities, as well as vendor invoicing and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net cash provided by financing activities was $166.4 million, consisting of $15.0 million of net proceeds from the issuance of Korsana’s Series Seed convertible preferred stock, $150.6 million of net proceeds from the issuance of Korsana’s Series A convertible preferred stock, and $0.9 million of net proceeds from the issuance of Korsana’s restricted stock awards (“RSAs”). </w:t>
      </w:r>
    </w:p>
    <w:p>
      <w:pPr>
        <w:pStyle w:val="TextBody"/>
        <w:bidi w:val="0"/>
        <w:spacing w:before="240" w:after="0"/>
        <w:jc w:val="left"/>
        <w:rPr>
          <w:rFonts w:ascii="Times New Roman" w:hAnsi="Times New Roman"/>
          <w:sz w:val="20"/>
        </w:rPr>
      </w:pPr>
      <w:r>
        <w:rPr>
          <w:rFonts w:ascii="Times New Roman" w:hAnsi="Times New Roman"/>
          <w:sz w:val="20"/>
        </w:rPr>
        <w:t xml:space="preserve">From November 8, 2024 (inception) to December 31, 2024, net cash provided by financing activities was $10.1 million, consisting of $10.0 million of net proceeds from the issuance of Korsana’s Series A convertible preferred stock, subsequently reclassified to Series Seed convertible preferred stock during the year ended December 31, 2025, and $0.1 million of proceeds from the issuance of restricted stock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Korsana has not generated any revenue from product sales. Korsana does not expect to generate revenue from product sales unless and until Korsana successfully completes preclinical and clinical development of, receives regulatory approval for, and commercializes a product candidate. Korsana does not know when, or if, that will occur. Korsana expects its expenses to increase substantially in connection with its ongoing activities, particularly as Korsana advances the preclinical activities and studies and initiates clinical trials. In addition, if Korsana obtains regulatory approval for any programs, Korsana expects to incur significant expenses related to product sales, marketing, and distribution to the extent that such sales, marketing and distribution are not the responsibility of potential collaborators. Further, Korsana expects to incur additional costs associated with operating as a public company. The timing and amount of Korsana’s operating expenditures will depend largely on the factors set out above. For more information, see the section titled “</w:t>
      </w:r>
      <w:r>
        <w:rPr>
          <w:rFonts w:ascii="Times New Roman" w:hAnsi="Times New Roman"/>
          <w:i/>
          <w:sz w:val="20"/>
        </w:rPr>
        <w:t>Risk Factors — Risks Related To Korsana’s Limited Operating History, Financial Position and Capital Requirements</w:t>
      </w:r>
      <w:r>
        <w:rPr>
          <w:rFonts w:ascii="Times New Roman" w:hAnsi="Times New Roman"/>
          <w:sz w:val="20"/>
        </w:rPr>
        <w:t xml:space="preserve">” beginning on page 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Korsana’s funding requirements and timing and amount of its operating expenditures will depend on many factors,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rate of progress in the development of Korsana’s existing and future research and development and discovery-related development of its A</w:t>
            </w:r>
            <w:r>
              <w:rPr>
                <w:rFonts w:ascii="SYMBOL" w:hAnsi="SYMBOL"/>
                <w:sz w:val="20"/>
              </w:rPr>
              <w:t>b</w:t>
            </w:r>
            <w:r>
              <w:rPr>
                <w:rFonts w:ascii="Times New Roman" w:hAnsi="Times New Roman"/>
                <w:sz w:val="20"/>
              </w:rPr>
              <w:t xml:space="preserve"> program and undisclosed program 003;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additional research programs and product candidates and discovery-related activities and preclinical studies for those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Korsana to successfully file investigational new drug applications or comparable foreign applications and obtain authorization to commence Korsana’s planned clinical trials or future clinical trials for any programs Korsana may develop the costs of enrollment and successful completion of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pursue positive results from Korsana’s future clinical trials that support a finding of safety and effectiveness, an acceptable risk-benefit profile in the intended populations and a competitive efficacy, safety and half-life profile;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research and development, clinical, manufacturing and commercial personnel;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adding operational, financial and management information systems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necessary to obtain regulatory approvals, if any, for any approved products in the United States and other jurisdictions, and the costs of post-marketing studies that could be required by regulatory authorities in jurisdictions where approval is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developing, maintaining and enhancing sustainable, scalable, reproducible and transferable clinical and commercial-scale cGMP capabilities through a third-party or Korsana’s own manufacturing facility for the programs Korsana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establishing sales, marketing and distribution infrastructure to commercialize any programs, for any of Korsana’s product candidates for which Korsana receives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sales of Korsana’s product candidates for which Korsana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maintaining, expanding, enforcing, defending and protecting Korsana’s intellectual property rights and protection or regulatory exclusivity for any products Korsana may develop and defending any intellectual property-related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payment of milestone, royalty or other payments Korsana must make pursuant to its existing and potential future collaborations and licensing arrangements with third parties;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Korsana incurs in maintaining business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costs of audit, legal, regulatory and tax- related services associated with maintaining compliance with an exchange listing and SEC requirements, director and officer insurance premiums and investor and public relations costs;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Korsana acquires or invests in businesses, products and technologies, including entering into licensing or collaboration arrangements for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Korsana may never generate the necessary data or results required to obtain marketing approval and achieve product sales. In addition, Korsana’s programs, if approved, may not achieve commercial success. Korsana’s commercial revenues, if any, will be derived from sales of products that Korsana does not expect to be commercially available for many years, if ever. Accordingly, Korsana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Korsana on acceptable terms, or at all. Korsana does not currently have any committed external source of funds. To the extent that Korsana raises additional capital through the sale of equity or convertible debt securities, ownership interests will be diluted, and the terms of these securities may include liquidation or other preferences that adversely affect the rights of Korsana’s existing stockholders. Additional debt financing and preferred equity financing, if available, may involve agreements that include covenants limiting or restricting Korsana’s ability to take specific actions, such as incurring debt, making capital expenditures or declaring dividends and may require the issuance of warrants, which could potentially dilute ownership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Korsana raises additional funds through strategic collaborations or licensing arrangements with third parties, Korsana may have to relinquish valuable rights to its technologies, future revenue streams, research programs, or product candidates or grant licenses on terms that may not be favorable to Korsana. If Korsana is unable to raise additional funds through equity or debt financings when needed, Korsana may be required to delay, limit or terminate its product development programs or any future commercialization efforts or grant rights to develop and market product candidates to third parties that Korsana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had cash and cash equivalents of $134.2 million. Korsana expects that the existing cash that and cash equivalents, which was primarily raised from Series Seed and Series A convertible preferred stock financings, will be sufficient to fund Korsana’s operating plans for at least twelve months from the date these financial statements are available to be issued. Korsana estimates that its existing cash and cash equivalents as of the date of this proxy statement/prospectus, together with the net proceeds from the Merger and the Korsana Pre-Closing Financing, will be sufficient to enable Korsana to fund Korsana’s operating expenses and capital expenditure obligations requirements through 2029. Korsana has based this estimate on assumptions that may prove to be wrong, Korsana’s operating plan may change as a result of many factors currently unknown to Korsana and Korsana could exhaust its available capital resources sooner than Korsana expects.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Other Commitments 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Korsana entered into an Antibody Discovery and Option Agreement with Paragon and Parasa (the “Paragon ADOA”).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As of March 31, 2026, Korsana has recorded an aggregate of $40.1 million of operating expenses under the Paragon ADOA for development costs.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Parasa will be entitled to grants of warrants to purchase a number of shares equal to 1.00% of Korsana’s outstanding capital stock on a fully diluted basis as of the grant date, at an exercise price equal to fair market value. The grant dates for the issuance of the warrants was on December 31, 2025 and expected to be on December 31, 2026. Parasa’s research and discovery related activities have a service inception date preceding the grant dates, with the full award being vested as of the grant date with no post-grant date service requirement. Accordingly, the Company accrues compensation cost for the warrants expected to be granted to Parasa as the related services are provided based on the estimated fair value of the warrants at each interim reporting date, with cumulative adjustments recognized for changes in fair value through the respective grant date. When the Company entered into the Paragon ADOA with Parasa, the underlying terms and conditions of the warrant agreements had not been executed and it was uncertain whether the final terms and conditions would result in liability- or equity-classified warrants. Given the uncertainty related to the terms and conditions of the warrant agreements and the determination of liability or equity classification prior to the grant dates, the Company initially accrues the costs for the warrants as a liability.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Upon the grant of the warrant and the finalization of the terms and conditions, the Company concluded that equity classification was appropriate, resulting in a reclassification of the award from liability to equity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Korsana concluded that the rights obtained under the Paragon ADOA represent an asset acquisition whereby the underlying assets comprise in-process research and development assets with no alternative future use. The Paragon ADOA did not qualify as a business combination because substantially all of the fair value of the assets acquired was concentrated in the in-process research and development assets, which represent a group of similar identifiable assets. All of the upfront consideration paid by Korsana was allocated to the in-process research and development assets acquired and was immediately expensed as part of research and development expenses on the consolidated statement of operations and comprehensive loss. The research initiation fees represent a one-time cost on a research program-by 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related to the 2026 Parasa Warrant Obligation. An amount of $3.6 million was unpaid by Korsana at March 31, 2026 and is included in related party accrued expenses and other current liabilities within Korsana’s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Korsana’s consolidated statements of operations and comprehensive loss during the year ended December 31, 2025. An amount of $10.6 million was unpaid by Korsana at December 31, 2025 and was included in related party accrued expenses and other current liabilities within Korsana’s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Platform Option Agreement with Paragon and Parasa (the “Paragon POA”), in connection with the Paragon ADOA. Under the Paragon POA, Korsana may designate up to four target combinations (each consisting of one or two therapeutic targets and a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has an option ( a “PPOA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360" w:after="0"/>
        <w:jc w:val="left"/>
        <w:rPr>
          <w:rFonts w:ascii="Times New Roman" w:hAnsi="Times New Roman"/>
          <w:sz w:val="20"/>
        </w:rPr>
      </w:pPr>
      <w:r>
        <w:rPr>
          <w:rFonts w:ascii="Times New Roman" w:hAnsi="Times New Roman"/>
          <w:b/>
          <w:i/>
          <w:sz w:val="20"/>
        </w:rPr>
        <w:t>Paragon Research Letter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April 3, 2026, Korsana entered into a research letter agreement (the “Paragon Research Letter Agreement”) with Paragon Laboratories, Inc.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date that the aggregate costs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360" w:after="0"/>
        <w:jc w:val="left"/>
        <w:rPr>
          <w:rFonts w:ascii="Times New Roman" w:hAnsi="Times New Roman"/>
          <w:sz w:val="20"/>
        </w:rPr>
      </w:pPr>
      <w:r>
        <w:rPr>
          <w:rFonts w:ascii="Times New Roman" w:hAnsi="Times New Roman"/>
          <w:i/>
          <w:sz w:val="20"/>
        </w:rPr>
        <w:t>Paragon License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June 8, 2026, Korsana entered into a license agreement with Paragon for certain antibody transport vehicle compounds discovered, generated, identified or characterized by Paragon in the course of performing Research Program 001 and Research Program 002 under the Paragon ADOA, including KRSA-028, together with certain related antibodies, antibody transport vehicles and products comprising the foregoing (the “Paragon License Agreement”).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specified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120" w:after="0"/>
        <w:jc w:val="left"/>
        <w:rPr>
          <w:rFonts w:ascii="Times New Roman" w:hAnsi="Times New Roman"/>
          <w:sz w:val="20"/>
        </w:rPr>
      </w:pPr>
      <w:r>
        <w:rPr>
          <w:rFonts w:ascii="Times New Roman" w:hAnsi="Times New Roman"/>
          <w:sz w:val="20"/>
        </w:rPr>
        <w:t>Korsana considers Paragon, Paragon Laboratories, Parasa and Fairmount to be related parties. See the section titled “</w:t>
      </w:r>
      <w:r>
        <w:rPr>
          <w:rFonts w:ascii="Times New Roman" w:hAnsi="Times New Roman"/>
          <w:i/>
          <w:sz w:val="20"/>
        </w:rPr>
        <w:t>Certain Relationships and Related Party Transactions of the Combined Company — Korsana Transactions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Korsana’s management’s discussion and analysis of its financial condition and results of operations is based on Korsana’s financial statements, which have been prepared in accordance with U.S. GAAP. The preparation of these financial statements requires Korsana to make estimates and assumptions that affect the reported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assets and liabilities and the disclosure of contingent assets and liabilities at the date of the financial statements, as well as the reported revenues recognized and expenses incurred during the reporting periods. Korsana’s estimates are based on its historical experience and on various other factors that Korsana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Korsana’s significant accounting policies are described in more detail in Note 2 to its financial statements for the year ended December 31, 2025 and for the period ended November 8, 2024 (inception) to December 31, 2024, as well as any new significant accounting policies described in Note 2 to its financial statements for the three months ended March 31, 2026, included elsewhere in this proxy statement/prospectus, Korsana believes the following accounting policies used in the preparation of Korsana’s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Contract Costs Accruals </w:t>
      </w:r>
    </w:p>
    <w:p>
      <w:pPr>
        <w:pStyle w:val="TextBody"/>
        <w:bidi w:val="0"/>
        <w:spacing w:before="120" w:after="0"/>
        <w:jc w:val="left"/>
        <w:rPr>
          <w:rFonts w:ascii="Times New Roman" w:hAnsi="Times New Roman"/>
          <w:sz w:val="20"/>
        </w:rPr>
      </w:pPr>
      <w:r>
        <w:rPr>
          <w:rFonts w:ascii="Times New Roman" w:hAnsi="Times New Roman"/>
          <w:sz w:val="20"/>
        </w:rPr>
        <w:t xml:space="preserve">Korsana records the costs associated with research studies and manufacturing development as incurred. These costs are a significant component of Korsana’s research and development expenses, with a substantial portion of Korsana’s ongoing research and development activities conducted by third-party service providers, including contract research organizations (“CROs”) and contract manufacturing organizations (“CMOs”), and Korsana’s related party Paragon. </w:t>
      </w:r>
    </w:p>
    <w:p>
      <w:pPr>
        <w:pStyle w:val="TextBody"/>
        <w:bidi w:val="0"/>
        <w:spacing w:before="240" w:after="0"/>
        <w:jc w:val="left"/>
        <w:rPr>
          <w:rFonts w:ascii="Times New Roman" w:hAnsi="Times New Roman"/>
          <w:sz w:val="20"/>
        </w:rPr>
      </w:pPr>
      <w:r>
        <w:rPr>
          <w:rFonts w:ascii="Times New Roman" w:hAnsi="Times New Roman"/>
          <w:sz w:val="20"/>
        </w:rPr>
        <w:t xml:space="preserve">Korsana accrues for expenses resulting from obligations under its Paragon ADOA and Paragon POA by and among Korsana, Paragon and Parasa, and agreements with CROs, CMOs, and other outside service providers for which payment flows do not match the periods over which materials or services are provided to Korsana.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Korsana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Korsana’s accruals could materially affect its results of operations. As of March 31, 2026, Korsana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Korsana measures stock-based awards granted to employees, directors, and non-employees in the form of stock options and restricted stock awards (“RSAs”), based on their fair value on the date of the grant using the Black-Scholes option-pricing model.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Korsana had paid cash in exchange for the goods or services. Korsana accounts for forfeitures as they occur. Korsana classifies its stock-based compensation expenses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option-pricing model uses inputs that are determined by the board of directors on the date of grant and assumptions Korsana makes for the volatility of stock-based awards, the expected term of stock- based awards, the risk-free interest rate for a period that approximates the expected term of Korsana’s stock-based awards and its expected dividend yield. Korsana has historically been a private company and lacks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company-specific historical and implied volatility information of Korsana’s stock. Therefore, Korsana estimates its expected stock volatility based on the historical volatility of a representative group of public companies in the biotechnology industry and expects to continue to do so until such time as it has adequate historical data regarding the volatility of its own traded stock price. The expected term of Korsana’s stock options has been determined utilizing the “simplified” method for awards that qualify as “plain-vanilla” stock options. The risk-free interest rate is determined by reference to the U.S. Treasury yield curve for time periods approximately equal to the remaining contractual term of the options on the date of measurement. Korsana has estimated a 0% dividend yield based on the expected dividend yield and the fact that Korsana has never paid, and does not expect to pay, any cash dividends in the foreseeable future. See Note 7 to Korsana’s financial statements included elsewhere in this proxy statement/prospectus for information concerning certain of the specific assumptions Korsana used in applying the Black-Scholes option-pricing model to determine the estimated fair value of its stock options granted in the periods presented.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Korsana’s common stock as of March 31, 2026, the estimated fair value of stock-based awards has been determined by Korsana’s board of directors as of the date of grant, with input from management, and with consideration of additional objective and subjective factors that Korsana believed were relevant. In addition, the board of directors considered various objective and subjective factors to determine the fair value of Korsana’s share-based awards as of each grant date,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Korsana sold shares of Korsana Preferred Stock and preferences of the Korsana Preferred Stock relative to its stock-based awards at the time of each grant;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common stock valuations;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Korsana’s research and development programs, including the status of discovery-phase studies for Korsana’s product candidates;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stage of development and business strategy;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financial position, including cash on hand, and its historical and forecasted performance and operating results; and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Korsana’s common stock and Korsana Preferred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Korsana’s common stock valuations were prepared using a recent transactions method, including an option pricing method (“OPM”). Under this method, Korsana used the observed transaction price from a recent preferred stock financing and solved for the total equity value that results in that preferred stock price, using an OPM that allocates value across the capital structure based on the rights and preferences of each equity class. The resulting total equity value was then allocated to the common stock and preferred stock based on their respective economic rights, resulting in an estimated fair value of the common stock as of the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Korsana had used significantly different assumptions or estimates, the fair value of Korsana’s common stock and its stock-based compensation expense could have been materially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Korsana’s common stock has been established, it is no longer necessary for the board of directors to estimate the fair value of Korsana’s common stock in connection with its valuation and accounting for granted stock-based awards or other such awards Korsana may grant, as the fair value of its common stock is determined based on the quoted market price of Korsana’s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Korsana’s financial position, results of operations or cash flows is disclosed in Note 2 to Korsana’s financial statements as of March 31, 2026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Korsana did not have, nor does Korsana currently have,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Korsana’s results of operations and financial condition are presented based on historical cost. While it is difficult to accurately measure the impact of inflation due to the imprecise nature of the estimates required, Korsana believes the effects of inflation, if any, on its business, results of operations, financial condition or financial statements included elsewhere in this proxy statement/prospectus have been immaterial. Korsana cannot assure you its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11069_32"/>
      <w:bookmarkEnd w:id="34"/>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the business and affairs of the Combined Company will be managed under the direction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board of directors will initially be fixed at six members, consisting of five current Korsana board members, namely Andrew Gottesdiener, Heidi Henson, Tomas Kiselak, Michelle Pernice, Nimish Shah, and Dr. Jonathan Violin.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of the Combined Company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Cyclerion’s current directors are expected to resign from their positions as directors of Cyclerion,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as of June 30, 2026 and position of each of the individuals who are expected to serve as executives and directors of the Combined Company following completion of the Merger: </w:t>
      </w:r>
    </w:p>
    <w:p>
      <w:pPr>
        <w:pStyle w:val="TextBody"/>
        <w:bidi w:val="0"/>
        <w:spacing w:before="0" w:after="0"/>
        <w:jc w:val="left"/>
        <w:rPr/>
      </w:pPr>
      <w:r>
        <w:rPr/>
        <w:t> </w:t>
      </w:r>
    </w:p>
    <w:tbl>
      <w:tblPr>
        <w:tblW w:w="7620" w:type="dxa"/>
        <w:jc w:val="left"/>
        <w:tblInd w:w="0" w:type="dxa"/>
        <w:tblLayout w:type="fixed"/>
        <w:tblCellMar>
          <w:top w:w="0" w:type="dxa"/>
          <w:left w:w="0" w:type="dxa"/>
          <w:bottom w:w="0" w:type="dxa"/>
          <w:right w:w="0" w:type="dxa"/>
        </w:tblCellMar>
      </w:tblPr>
      <w:tblGrid>
        <w:gridCol w:w="2540"/>
        <w:gridCol w:w="120"/>
        <w:gridCol w:w="305"/>
        <w:gridCol w:w="120"/>
        <w:gridCol w:w="453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45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540" w:type="dxa"/>
            <w:tcBorders/>
            <w:vAlign w:val="center"/>
          </w:tcPr>
          <w:p>
            <w:pPr>
              <w:pStyle w:val="TableContents"/>
              <w:bidi w:val="0"/>
              <w:spacing w:before="0" w:after="283"/>
              <w:jc w:val="left"/>
              <w:rPr>
                <w:b/>
                <w:i/>
              </w:rPr>
            </w:pPr>
            <w:r>
              <w:rPr>
                <w:b/>
                <w:i/>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Executive Officer, President and 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Vignola, Ph.D.</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49</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Chief Financial Officer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General Counsel and Secretary</w:t>
            </w:r>
          </w:p>
        </w:tc>
      </w:tr>
      <w:tr>
        <w:trPr/>
        <w:tc>
          <w:tcPr>
            <w:tcW w:w="2540" w:type="dxa"/>
            <w:tcBorders/>
            <w:vAlign w:val="center"/>
          </w:tcPr>
          <w:p>
            <w:pPr>
              <w:pStyle w:val="TableContents"/>
              <w:bidi w:val="0"/>
              <w:spacing w:before="0" w:after="283"/>
              <w:jc w:val="left"/>
              <w:rPr>
                <w:b/>
                <w:i/>
              </w:rPr>
            </w:pPr>
            <w:r>
              <w:rPr>
                <w:b/>
                <w:i/>
              </w:rPr>
              <w:t>Non-Employee Directors: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35</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40</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38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Nimish Shah</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48</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Employee Director </w:t>
      </w:r>
    </w:p>
    <w:p>
      <w:pPr>
        <w:pStyle w:val="TextBody"/>
        <w:bidi w:val="0"/>
        <w:spacing w:before="120" w:after="0"/>
        <w:jc w:val="left"/>
        <w:rPr>
          <w:rFonts w:ascii="Times New Roman" w:hAnsi="Times New Roman"/>
          <w:sz w:val="20"/>
        </w:rPr>
      </w:pPr>
      <w:r>
        <w:rPr>
          <w:rFonts w:ascii="Times New Roman" w:hAnsi="Times New Roman"/>
          <w:b/>
          <w:sz w:val="20"/>
        </w:rPr>
        <w:t>Jonathan Violin, Ph.D.</w:t>
      </w:r>
      <w:r>
        <w:rPr>
          <w:rFonts w:ascii="Times New Roman" w:hAnsi="Times New Roman"/>
          <w:sz w:val="20"/>
        </w:rPr>
        <w:t xml:space="preserve"> Dr. Violin has served as Korsana’s Chief Executive Officer and President since August 2025 and as a member of the Korsana Board since September 2025. Prior to joining Korsana, Dr. Violin served as the interim Chief Executive Officer and President of Crescent Biopharma, Inc. (Nasdaq: CBIO) from October 2024 to March 2025. Dr. Violin has served as President, Chief Executive Officer and member of the board of directors of Viridian Therapeutics, Inc. (Nasdaq: VRDN), a biopharmaceutical company, from January 2021 to February 2023, and he previously served as President and Chief Operating Officer of Viridian from October 2020 until January 2021. Dr. Violin was the Co-Founder of Viridian’s predecessor and led its operations from April 2020 to its acquisition. Dr. Violin has served as a member of the board of directors of Crescent Biopharma, Inc. (Nasdaq: CBIO) since October 2024 and Dianthus Therapeutics, Inc. (Nasdaq: DNTH), a biotechnology company he co-founded, since July 2019. Dr. Violin also co-founded Quellis Biosciences, Inc., a biotechnology company (acquired by Astria Therapeutics, Inc. (Nasdaq: ATXS), formerly Catabasis Pharmaceuticals, Inc.), in 2018 and served on the Astria Therapeutics board of directors from January 2021 until its acquisition by BioCryst Pharmaceuticals in January 2026. Prior to that, Dr. Violin co-founded and helped lead Trevena Inc. (Nasdaq: TRVN), a biotechnology company, in various roles from 2008 until November 2018, including most recently as Senior Vice President, Scientific Affairs and Investor Relations Officer. Dr. Violin received a Ph.D. from the Department of Pharmacology in the Biomedical Sciences Program at the University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California, San Diego, a M.B.A. with a concentration in Health Sector Management from the Fuqua School of Business at Duke University, and a B.S. in Chemical Pharmacology from Duke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that Dr. Violin is qualified to serve as a member of the Combined Company’s board of directors because of his extensive experience and innovations in the field of biotechnology, leadership experience as CEO of several public biotechnology companies, and his academic expertise and accomplishments. </w:t>
      </w:r>
    </w:p>
    <w:p>
      <w:pPr>
        <w:pStyle w:val="TextBody"/>
        <w:bidi w:val="0"/>
        <w:spacing w:before="240" w:after="0"/>
        <w:jc w:val="left"/>
        <w:rPr>
          <w:rFonts w:ascii="Times New Roman" w:hAnsi="Times New Roman"/>
          <w:sz w:val="20"/>
        </w:rPr>
      </w:pPr>
      <w:r>
        <w:rPr>
          <w:rFonts w:ascii="Times New Roman" w:hAnsi="Times New Roman"/>
          <w:b/>
          <w:sz w:val="20"/>
        </w:rPr>
        <w:t>Mark Vignola, Ph.D.</w:t>
      </w:r>
      <w:r>
        <w:rPr>
          <w:rFonts w:ascii="Times New Roman" w:hAnsi="Times New Roman"/>
          <w:sz w:val="20"/>
        </w:rPr>
        <w:t xml:space="preserve"> Dr. Vignola has served as Korsana’s Chief Financial Officer since March 2026. Prior to joining Korsana, Dr. Vignola served as the Chief Financial Officer of Terns Pharmaceuticals, Inc. (Nasdaq: TERN), a clinical-stage biopharmaceutical company, from August 2020 to February 2025, where he led the company’s crossover financing, initial public offering, and multiple follow-on offerings. Previously, Dr. Vignola was the Chief Financial Officer at Applied Therapeutics, Inc., a clinical-stage biopharmaceutical company where he led several financing rounds, from May 2019 to May 2020. Earlier in his career, Dr. Vignola was Head of Corporate Development and Investor Relations at Intercept Pharmaceuticals, Inc. and a biotechnology equity research analyst at Needham &amp; Company. Dr. Vignola earned his B.S. in Biology from Boston College and his Ph.D. in Molecular Genetics and Microbiology from Duke University. </w:t>
      </w:r>
    </w:p>
    <w:p>
      <w:pPr>
        <w:pStyle w:val="TextBody"/>
        <w:bidi w:val="0"/>
        <w:spacing w:before="240" w:after="0"/>
        <w:jc w:val="left"/>
        <w:rPr>
          <w:rFonts w:ascii="Times New Roman" w:hAnsi="Times New Roman"/>
          <w:sz w:val="20"/>
        </w:rPr>
      </w:pPr>
      <w:r>
        <w:rPr>
          <w:rFonts w:ascii="Times New Roman" w:hAnsi="Times New Roman"/>
          <w:b/>
          <w:sz w:val="20"/>
        </w:rPr>
        <w:t>Madelyn Zeylikman</w:t>
      </w:r>
      <w:r>
        <w:rPr>
          <w:rFonts w:ascii="Times New Roman" w:hAnsi="Times New Roman"/>
          <w:sz w:val="20"/>
        </w:rPr>
        <w:t xml:space="preserve">. Ms. Zeylikman has served as Korsana’s General Counsel and Secretary since January 2026. Prior to joining Korsana, Ms. Zeylikman served in senior legal roles at Kiniksa Pharmaceuticals International, plc (Nasdaq: KNSA), a biopharmaceutical company, from August 2020 to September 2025, including as General Counsel and Secretary beginning in May 2021, supporting the successful launch of Kiniksa’s first commercially approved drug and advising on key business transactions. Ms. Zeylikman also held senior legal roles at Verastem, Inc. (Nasdaq: VSTM) and NxStage Medical, Inc., and began her career as a transactional attorney in the life sciences group at Ropes &amp; Gray LLP. Ms. Zeylikman holds a J.D. from the University of California, Berkeley, and a B.S. in Biology from Duke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sz w:val="20"/>
        </w:rPr>
        <w:t>Andrew Gottesdiener</w:t>
      </w:r>
      <w:r>
        <w:rPr>
          <w:rFonts w:ascii="Times New Roman" w:hAnsi="Times New Roman"/>
          <w:sz w:val="20"/>
        </w:rPr>
        <w:t xml:space="preserve">. Dr. Gottesdiener has served as a member of the Korsana Board since November 2024. Dr. Gottesdiener is a partner at Venrock Healthcare Capital Partners, an investment firm, in its New York office, where he focuses on healthcare investments. Dr. Gottesdiener is also a co-founder of Apogee Therapeutics, Inc. (Nasdaq: APGE), a clinical stage biotechnology company, and has served as a member of Apogee’s board since 2022. Prior to joining Venrock Healthcare Capital Partners full-time in September 2018, Dr. Gottesdiener earned his M.D. from Weill Cornell Medical College during which time he received an HHMI summer fellowship for basic science research. He also has an M.B.A. from Columbia Business School. Dr. Gottesdiener received an A.B. in Economics from Washington University in St. Louis.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Dr. Gottesdiener is qualified to serve as a member of the Combined Company’s board of directors because of his extensive experience in the biotechnology industry providing leadership in biotechnology investments and his medical and research background. </w:t>
      </w:r>
    </w:p>
    <w:p>
      <w:pPr>
        <w:pStyle w:val="TextBody"/>
        <w:bidi w:val="0"/>
        <w:spacing w:before="240" w:after="0"/>
        <w:jc w:val="left"/>
        <w:rPr>
          <w:rFonts w:ascii="Times New Roman" w:hAnsi="Times New Roman"/>
          <w:sz w:val="20"/>
        </w:rPr>
      </w:pPr>
      <w:r>
        <w:rPr>
          <w:rFonts w:ascii="Times New Roman" w:hAnsi="Times New Roman"/>
          <w:b/>
          <w:sz w:val="20"/>
        </w:rPr>
        <w:t>Heidi Henson</w:t>
      </w:r>
      <w:r>
        <w:rPr>
          <w:rFonts w:ascii="Times New Roman" w:hAnsi="Times New Roman"/>
          <w:sz w:val="20"/>
        </w:rPr>
        <w:t xml:space="preserve">. Ms. Henson has served as a member of the Korsana Board since June 2026. Ms. Henson served as Chief Financial Officer of Pardes Biosciences Inc. (Nasdaq: PRDS), a clinical-stage biopharmaceutical company, from January 2021 until its sale in September 2023. From April 2019 to July 2020, Ms. Henson served as Chief Financial Officer of Imbria Pharmaceuticals, Inc., a private biotechnology company, and from November 2018 to April 2019 she served as Chief Financial Officer of Respivant Sciences, a private clinical-stage biopharmaceutical company. From October 2014 to July 2018, Ms. Henson served as Chief Financial Officer of Kura Oncology, Inc. (Nasdaq: KURA), a biopharmaceutical company. Ms. Henson also served as Chief Financial Officer of Wellspring Biosciences, Inc., a private biopharmaceutical company, and its parent company Araxes Pharma LLC, from July 2012 to July 2018, and served as Secretary of Wellspring and Araxes from July 2012 to January 2015. From 2007 to March 2012, Ms. Henson served as the Vice President, Finance at Intellikine, Inc., a private biopharmaceutical company, until its acquisition by Takeda Pharmaceutical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Ms. Henson began her career in auditing at PricewaterhouseCoopers LLP, a public accounting firm, where she served both public and private companies. Ms. Henson has served on the boards of directors of Lisata Therapeutics, Inc. (Nasdaq: LSTA) since 2022, Pepgen, Inc. (Nasdaq: PEPG) since 2021 and Perspective Therapeutics, Inc. (NYSE: CATX) since 2023. She received a Bachelor’s of Accountancy from the University of San Diego and is a Certified Public Accountant (inactive) in the state of California.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Henson is qualified to serve as a member of the Combined Company’s board of directors because of her extensive financial experience in the biotechnology sector, as well her experience serving on the boards of directors of numerous other biotechnology companies. </w:t>
      </w:r>
    </w:p>
    <w:p>
      <w:pPr>
        <w:pStyle w:val="TextBody"/>
        <w:bidi w:val="0"/>
        <w:spacing w:before="240" w:after="0"/>
        <w:jc w:val="left"/>
        <w:rPr>
          <w:rFonts w:ascii="Times New Roman" w:hAnsi="Times New Roman"/>
          <w:sz w:val="20"/>
        </w:rPr>
      </w:pPr>
      <w:r>
        <w:rPr>
          <w:rFonts w:ascii="Times New Roman" w:hAnsi="Times New Roman"/>
          <w:b/>
          <w:sz w:val="20"/>
        </w:rPr>
        <w:t>Tomas Kiselak</w:t>
      </w:r>
      <w:r>
        <w:rPr>
          <w:rFonts w:ascii="Times New Roman" w:hAnsi="Times New Roman"/>
          <w:sz w:val="20"/>
        </w:rPr>
        <w:t xml:space="preserve">. Mr. Kiselak has served as a member of the Korsana Board since November 2024. Mr. Kiselak is a Founding Partner at Fairmount Funds Management LLC, a healthcare investment firm he co-founded in April 2016. Prior to Fairmount, he was a managing director at RA Capital Management, LLC, a healthcare and life science investment firm. Mr. Kiselak currently serves as the chairman of the board of directors of Viridian Therapeutics, Inc. (Nasdaq: VRDN) and has been a member of Viridian’s board since October 2020, and has served as a director for Apogee Therapeutics, Inc. (Nasdaq: APGE) since June 2023, Jade Biosciences, Inc. (Nasdaq: JBIO) since April 2025, Spyre Therapeutics, Inc. (Nasdaq: SYRE) since June 2023, Zenas BioPharma, Inc. (Nasdaq: ZBIO) since September 2020, and several private companies. Mr. Kiselak previously served as a director of Dianthus Therapeutics, Inc. (Nasdaq: DNTH) from September 2023 until March 2025. He received a B.S. in Neuroscience and Economics from Amherst College.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Mr. Kiselak is qualified to serve as a member of the Combined Company’s board of directors because of his experience advising and serving as a director of biotechnology companies and as a manager of funds specializing in the area of life sciences. </w:t>
      </w:r>
    </w:p>
    <w:p>
      <w:pPr>
        <w:pStyle w:val="TextBody"/>
        <w:bidi w:val="0"/>
        <w:spacing w:before="240" w:after="0"/>
        <w:jc w:val="left"/>
        <w:rPr>
          <w:rFonts w:ascii="Times New Roman" w:hAnsi="Times New Roman"/>
          <w:sz w:val="20"/>
        </w:rPr>
      </w:pPr>
      <w:r>
        <w:rPr>
          <w:rFonts w:ascii="Times New Roman" w:hAnsi="Times New Roman"/>
          <w:b/>
          <w:sz w:val="20"/>
        </w:rPr>
        <w:t>Michelle Pernice</w:t>
      </w:r>
      <w:r>
        <w:rPr>
          <w:rFonts w:ascii="Times New Roman" w:hAnsi="Times New Roman"/>
          <w:sz w:val="20"/>
        </w:rPr>
        <w:t xml:space="preserve">. Ms. Pernice has served as a member of the Korsana Board since November 2024. Ms. Pernice is an Operating Partner at Fairmount Funds Management LLC, a healthcare investment firm. Prior to joining Fairmount in October 2023, Ms. Pernice served in global regulatory roles for numerous pharmaceutical and biotechnology companies, including Pardes Biosciences from 2021 to 2023, Dynavax Technologies Corp., a commercial-stage biopharmaceutical company, from 2019 to 2021, Amgen Inc. (Nasdaq: AMGN), a global biotechnology company from 2014 to 2019, and Novartis AG (NYSE: NVS), a global pharmaceutical company, from 2012 to 2014, including development strategy across all phases of development, multiple modalities, and notable approvals. Ms. Pernice received her PharmD from St. John’s University and completed a post-PharmD fellowship through Rutgers University. </w:t>
      </w:r>
    </w:p>
    <w:p>
      <w:pPr>
        <w:pStyle w:val="TextBody"/>
        <w:bidi w:val="0"/>
        <w:spacing w:before="240" w:after="0"/>
        <w:jc w:val="left"/>
        <w:rPr>
          <w:rFonts w:ascii="Times New Roman" w:hAnsi="Times New Roman"/>
          <w:sz w:val="20"/>
        </w:rPr>
      </w:pPr>
      <w:r>
        <w:rPr>
          <w:rFonts w:ascii="Times New Roman" w:hAnsi="Times New Roman"/>
          <w:sz w:val="20"/>
        </w:rPr>
        <w:t xml:space="preserve">Korsana believes Ms. Pernice is qualified to serve as a member of the Combined Company’s board of directors because of her experience advising biotechnology companies and her background in global regulatory and development strategy. </w:t>
      </w:r>
    </w:p>
    <w:p>
      <w:pPr>
        <w:pStyle w:val="TextBody"/>
        <w:bidi w:val="0"/>
        <w:spacing w:before="240" w:after="0"/>
        <w:jc w:val="left"/>
        <w:rPr>
          <w:rFonts w:ascii="Times New Roman" w:hAnsi="Times New Roman"/>
          <w:sz w:val="20"/>
        </w:rPr>
      </w:pPr>
      <w:r>
        <w:rPr>
          <w:rFonts w:ascii="Times New Roman" w:hAnsi="Times New Roman"/>
          <w:b/>
          <w:sz w:val="20"/>
        </w:rPr>
        <w:t>Nimish Shah</w:t>
      </w:r>
      <w:r>
        <w:rPr>
          <w:rFonts w:ascii="Times New Roman" w:hAnsi="Times New Roman"/>
          <w:sz w:val="20"/>
        </w:rPr>
        <w:t xml:space="preserve">. Mr. Shah has served as a member of the Korsana Board since November 2024. Mr. Shah is a Partner at Venrock Healthcare Capital Partners, an investment firm, where he focuses on the firm’s public and crossover biotech investments. Mr. Shah joined Venrock Healthcare Capital Partners in 2013 and has invested in public and private healthcare companies since 2010. Mr. Shah is also a co-founder and a member of the board of directors of Apogee Therapeutics, Inc. (Nasdaq: APGE), a clinical stage biotechnology company, where he has served since 2022. Mr. Shah previously served as a director for Instil Bio, Inc. (Nasdaq: TIL) until December 2021 and as a board observer for LianBio (Nasdaq: LIAN), Biohaven Ltd. (NYSE: BHVN), Viridian Therapeutics, Inc. (Nasdaq: VRDN), and Dianthus Therapeutics, Inc. (Nasdaq: DNTH). Mr. Shah holds a B.S. in Pharmacy from Rutgers College of Pharmacy, an M.P.H. from the Mailman School of Public Health at Columbia University, and an M.B.A. from Columbia Business School. He is a member of the Columbia Business School Healthcare and Pharmaceutical Management Advisory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Korsana believes that Mr. Shah is qualified to serve as a member of the Combined Company’s board of directors because of his extensive investment management and finance experience in the healthcare sector, as well as his experience serving on the boards of directors of numerous other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The Cyclerion Board currently is declassified, with directors serving one-year terms. Following the completion of the Merger, if the Cayman Redomestication is effected, pursuant to the Cayman Articles, the Combined Company’s board of directors will be divided into three classes, with directors serving three-year terms and Class I directors holding initial terms expiring at the 2027 annual meeting of stockholders, Class II directors holding initial terms expiring at the 2028 annual meeting of stockholders and Class III directors holding initial terms expiring at the 2029 annual meeting of stockholders. The Class I directors will be Ms. Henson and Dr. Violin, the Class II directors will be Ms. Pernice and Dr. Gottesdiener, and the Class III directors will be Mr. Kiselak and Mr. Shah. See “</w:t>
      </w:r>
      <w:r>
        <w:rPr>
          <w:rFonts w:ascii="Times New Roman" w:hAnsi="Times New Roman"/>
          <w:i/>
          <w:sz w:val="20"/>
        </w:rPr>
        <w:t>Risk Factors — Risks Related</w:t>
      </w:r>
      <w:r>
        <w:rPr>
          <w:rFonts w:ascii="Times New Roman" w:hAnsi="Times New Roman"/>
          <w:sz w:val="20"/>
        </w:rPr>
        <w:t xml:space="preserve"> </w:t>
      </w:r>
      <w:r>
        <w:rPr>
          <w:rFonts w:ascii="Times New Roman" w:hAnsi="Times New Roman"/>
          <w:i/>
          <w:sz w:val="20"/>
        </w:rPr>
        <w:t>to the Cayman Redomestication</w:t>
      </w:r>
      <w:r>
        <w:rPr>
          <w:rFonts w:ascii="Times New Roman" w:hAnsi="Times New Roman"/>
          <w:sz w:val="20"/>
        </w:rPr>
        <w:t xml:space="preserve"> — </w:t>
      </w:r>
      <w:r>
        <w:rPr>
          <w:rFonts w:ascii="Times New Roman" w:hAnsi="Times New Roman"/>
          <w:i/>
          <w:sz w:val="20"/>
        </w:rPr>
        <w:t>Currently, Cyclerion</w:t>
      </w:r>
      <w:r>
        <w:rPr>
          <w:rFonts w:ascii="Times New Roman" w:hAnsi="Times New Roman"/>
          <w:sz w:val="20"/>
        </w:rPr>
        <w:t xml:space="preserve"> </w:t>
      </w:r>
      <w:r>
        <w:rPr>
          <w:rFonts w:ascii="Times New Roman" w:hAnsi="Times New Roman"/>
          <w:i/>
          <w:sz w:val="20"/>
        </w:rPr>
        <w:t>is governed by Massachusetts law, Cyclerion</w:t>
      </w:r>
      <w:r>
        <w:rPr>
          <w:rFonts w:ascii="Times New Roman" w:hAnsi="Times New Roman"/>
          <w:sz w:val="20"/>
        </w:rPr>
        <w:t xml:space="preserve"> </w:t>
      </w:r>
      <w:r>
        <w:rPr>
          <w:rFonts w:ascii="Times New Roman" w:hAnsi="Times New Roman"/>
          <w:i/>
          <w:sz w:val="20"/>
        </w:rPr>
        <w:t>Articles and Cyclerion</w:t>
      </w:r>
      <w:r>
        <w:rPr>
          <w:rFonts w:ascii="Times New Roman" w:hAnsi="Times New Roman"/>
          <w:sz w:val="20"/>
        </w:rPr>
        <w:t xml:space="preserve"> </w:t>
      </w:r>
      <w:r>
        <w:rPr>
          <w:rFonts w:ascii="Times New Roman" w:hAnsi="Times New Roman"/>
          <w:i/>
          <w:sz w:val="20"/>
        </w:rPr>
        <w:t>Bylaws, but upon effectiveness of the Cayman Redomestication</w:t>
      </w:r>
      <w:r>
        <w:rPr>
          <w:rFonts w:ascii="Times New Roman" w:hAnsi="Times New Roman"/>
          <w:sz w:val="20"/>
        </w:rPr>
        <w:t xml:space="preserve"> </w:t>
      </w:r>
      <w:r>
        <w:rPr>
          <w:rFonts w:ascii="Times New Roman" w:hAnsi="Times New Roman"/>
          <w:i/>
          <w:sz w:val="20"/>
        </w:rPr>
        <w:t>the Combined Company will be governed by Cayman Islands law and the Cayman Articles, provisions of which have anti-takeover implications.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pursuant to the Cyclerion Articles, as amended,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Combined Company board of directors.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it is expected that Dr. Gottesdiener, Mr. Kiselak, Ms. Pernice and Mr. Shah will be elected as the four Preferred Directors by the holders of Cyclerion Series B Preferred Stock, and Ms. Henson and Dr. Violin will be elected as the two At-Large Directors. The four Preferred Directors will, in the aggregate, represent approximately 86% of the total votes of the Combined Company board of directors. As a result, the four Preferred Directors would be able to control or significantly influence all matters submitted to the Combined Company board of directors for approval, including business plans and policies and the appointment and removal of the Combined Company’s officers. See “</w:t>
      </w:r>
      <w:r>
        <w:rPr>
          <w:rFonts w:ascii="Times New Roman" w:hAnsi="Times New Roman"/>
          <w:i/>
          <w:sz w:val="20"/>
        </w:rPr>
        <w:t>Risk Factors — Risks Related to the Combined Company — After completion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xml:space="preserve"> </w:t>
      </w:r>
      <w:r>
        <w:rPr>
          <w:rFonts w:ascii="Times New Roman" w:hAnsi="Times New Roman"/>
          <w:i/>
          <w:sz w:val="20"/>
        </w:rPr>
        <w:t>Preferred</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elected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Cyclerion</w:t>
      </w:r>
      <w:r>
        <w:rPr>
          <w:rFonts w:ascii="Times New Roman" w:hAnsi="Times New Roman"/>
          <w:sz w:val="20"/>
        </w:rPr>
        <w:t xml:space="preserve"> Series B Preferred Stock will have the ability to control or significantly influence all matters submitted to the Combined Company board of directors for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have objective tests and a subjective test for determining who is an “independent director.” The subjective test states that an independent director must be a person who lacks a relationship that, in the opinion of the board of directors, would interfere with the exercise of independent judgment in carrying out the responsibilities of a director. Subject to specified exceptions, each member of a listed company’s audit, compensation and nominating committees must be independent, and audit and compensation committee members must satisfy additional independence criteria.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proposed director concerning her or his background, employment and affiliations, Cyclerion and Korsana expect that the Combined Company’s board of directors will determine that Ms. Henson, Dr. Gottesdiener, Mr. Kiselak, Ms. Pernice and Mr. Shah qualify as “independent directors” as defined under Nasdaq listing rules. Jonathan Violin, Korsana’s current Chief Executive Officer, is not expected to qualify as an independent director of the Combined Company. In making these determinations,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board of directors will consider the current and prior relationships that each director has with Cyclerion and Korsana and all other facts and circumstances that the Combined Company’s board of directors deems relevant in determining the independence of each proposed director, including the interests of each Combined Company director in the Merger, any relevant related party transactions and the beneficial ownership of securities of Cyclerion, Korsana or the Combined Company by each Combined Company director. See also the sections titled “</w:t>
      </w:r>
      <w:r>
        <w:rPr>
          <w:rFonts w:ascii="Times New Roman" w:hAnsi="Times New Roman"/>
          <w:i/>
          <w:sz w:val="20"/>
        </w:rPr>
        <w:t>The Merger</w:t>
      </w:r>
      <w:r>
        <w:rPr>
          <w:rFonts w:ascii="Times New Roman" w:hAnsi="Times New Roman"/>
          <w:sz w:val="20"/>
        </w:rPr>
        <w:t xml:space="preserve"> — </w:t>
      </w:r>
      <w:r>
        <w:rPr>
          <w:rFonts w:ascii="Times New Roman" w:hAnsi="Times New Roman"/>
          <w:i/>
          <w:sz w:val="20"/>
        </w:rPr>
        <w:t>Interests of Korsana</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in</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w:t>
      </w:r>
      <w:r>
        <w:rPr>
          <w:rFonts w:ascii="Times New Roman" w:hAnsi="Times New Roman"/>
          <w:sz w:val="20"/>
        </w:rPr>
        <w:t>,” “</w:t>
      </w:r>
      <w:r>
        <w:rPr>
          <w:rFonts w:ascii="Times New Roman" w:hAnsi="Times New Roman"/>
          <w:i/>
          <w:sz w:val="20"/>
        </w:rPr>
        <w:t>Certain</w:t>
      </w:r>
      <w:r>
        <w:rPr>
          <w:rFonts w:ascii="Times New Roman" w:hAnsi="Times New Roman"/>
          <w:sz w:val="20"/>
        </w:rPr>
        <w:t xml:space="preserve"> </w:t>
      </w:r>
      <w:r>
        <w:rPr>
          <w:rFonts w:ascii="Times New Roman" w:hAnsi="Times New Roman"/>
          <w:i/>
          <w:sz w:val="20"/>
        </w:rPr>
        <w:t>Relationships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Related</w:t>
      </w:r>
      <w:r>
        <w:rPr>
          <w:rFonts w:ascii="Times New Roman" w:hAnsi="Times New Roman"/>
          <w:sz w:val="20"/>
        </w:rPr>
        <w:t xml:space="preserve"> </w:t>
      </w:r>
      <w:r>
        <w:rPr>
          <w:rFonts w:ascii="Times New Roman" w:hAnsi="Times New Roman"/>
          <w:i/>
          <w:sz w:val="20"/>
        </w:rPr>
        <w:t>Party</w:t>
      </w:r>
      <w:r>
        <w:rPr>
          <w:rFonts w:ascii="Times New Roman" w:hAnsi="Times New Roman"/>
          <w:sz w:val="20"/>
        </w:rPr>
        <w:t xml:space="preserve"> </w:t>
      </w:r>
      <w:r>
        <w:rPr>
          <w:rFonts w:ascii="Times New Roman" w:hAnsi="Times New Roman"/>
          <w:i/>
          <w:sz w:val="20"/>
        </w:rPr>
        <w:t>Transactions</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Combined Company</w:t>
      </w:r>
      <w:r>
        <w:rPr>
          <w:rFonts w:ascii="Times New Roman" w:hAnsi="Times New Roman"/>
          <w:sz w:val="20"/>
        </w:rPr>
        <w:t>” and “</w:t>
      </w:r>
      <w:r>
        <w:rPr>
          <w:rFonts w:ascii="Times New Roman" w:hAnsi="Times New Roman"/>
          <w:i/>
          <w:sz w:val="20"/>
        </w:rPr>
        <w:t>Principal Stockholders of Korsana</w:t>
      </w:r>
      <w:r>
        <w:rPr>
          <w:rFonts w:ascii="Times New Roman" w:hAnsi="Times New Roman"/>
          <w:sz w:val="20"/>
        </w:rPr>
        <w:t xml:space="preserve">” beginning on pages 157, 386 and 429, respectively,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Mr. Kiselak is expected to serve as Chair of the Combined Company’s board of directors (“Chair”). Although the Combined Company’s governance documents will not require that the Combined Company separate the Chief Executive Officer and Chair positions, Korsana believes that having the positions be separate is the appropriate leadership structure for the Combined Company at this time as it helps facilitate independent board oversight of management and allows the Chief Executive Officer to focus on strategy execution and managing the business while the Chair focuses on corporate governance and managing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Korsana Board recognizes that, depending on future circumstances, other leadership models, such as combining the roles of Chief Executive Officer and Chair, might be appropriate. Accordingly, the Combined Company’s board may periodically review its leadership structure. At any time when a non-independent director is serving as Chair, Korsana anticipates that the independent directors of the Combined Company will designate a lead independent director to preside at all meetings of the board of directors of the Combined Company at which the Chair is not present, preside over executive sessions of the independent directors, which will occur regularly throughout each year, serve as a liaison between the Chair and independent directors, and perform such additional duties as the Combined Company’s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Cyclerion and Korsana anticipate that the Combined Company’s board of directors will establish an audit committee, a compensation committee and a nominating and governance committee (“governance committee”), each of which will operate pursuant to a charter adopted by the Combined Company’s board of directors. Cyclerion and Korsana believe that following the completion of the Merger the functioning and composition of these committees of the Combined Company will comply with the requirements of Nasdaq listing rules and SEC rules and regulations. The Combined Company’s board of directors may also establish other committees from time to time to assist the Combined Company and its board of directors. Each of the audit committee, compensation committee and the governance committee is expected to have the responsibilities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Ms. Henson, Dr. Gottesdiener and Mr. Shah, each of whom is expected to qualify as an independent director for audit committee purposes as defined under the rules of the SEC and the applicable Nasdaq listing rules and has sufficient knowledge in financial and auditing matters to serve on the Combined Company’s audit committee. Ms. Henson is expected to chair the audit committee. In addition, the Combined Company’s board of directors is expected to determine that Ms. Henson is an “audit committee financial expert” as defined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internal and external audit processes. The audit committee will oversee the system of internal controls established by management and the Combined Company’s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compensation committee are expected to be Ms. Henson and Mr. Kiselak, each of whom is expected to qualify as an independent director for compensation committee purposes as defined under the rules of the SEC and the applicable Nasdaq listing rules. Mr. Kiselak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and objectives and setting or recommending to the Combined Company’s board of directors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to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 the members of the Combined Company’s governance committee are expected to be Dr. Gottesdiener and Ms. Pernice, each of whom is expected to qualify as an independent director as defined under applicable Nasdaq listing rules. Ms. Pernice is expected to chair the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Combined Company’s board of directors at each annual stockholders’ meeting. In addition, the governance committee will be responsible for overseeing corporate governance matters. The governance committee will also be responsible for overseeing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employees. The full text of the Combined Company’s Code of Conduct and Ethics will be posted on the Combined Company’s website at </w:t>
      </w:r>
      <w:r>
        <w:rPr>
          <w:rFonts w:ascii="Times New Roman" w:hAnsi="Times New Roman"/>
          <w:i/>
          <w:sz w:val="20"/>
        </w:rPr>
        <w:t>www.korsana.com</w:t>
      </w:r>
      <w:r>
        <w:rPr>
          <w:rFonts w:ascii="Times New Roman" w:hAnsi="Times New Roman"/>
          <w:sz w:val="20"/>
        </w:rPr>
        <w:t xml:space="preserve">. It is expected to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Nasdaq and SEC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111069_33"/>
      <w:bookmarkEnd w:id="35"/>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Korsana’s and Cyclerion’s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Cyclerion</w:t>
      </w:r>
      <w:r>
        <w:rPr>
          <w:rFonts w:ascii="Times New Roman" w:hAnsi="Times New Roman"/>
          <w:sz w:val="20"/>
        </w:rPr>
        <w:t xml:space="preserve"> </w:t>
      </w:r>
      <w:r>
        <w:rPr>
          <w:rFonts w:ascii="Times New Roman" w:hAnsi="Times New Roman"/>
          <w:i/>
          <w:sz w:val="20"/>
        </w:rPr>
        <w:t>Executive Compensation</w:t>
      </w:r>
      <w:r>
        <w:rPr>
          <w:rFonts w:ascii="Times New Roman" w:hAnsi="Times New Roman"/>
          <w:sz w:val="20"/>
        </w:rPr>
        <w:t xml:space="preserve">,” the following is a description of each transaction involving Cyclerion since January 1, 2024, each transaction involving Korsana since November 8, 2024 (inception) and each currently proposed transaction in which: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Korsana or Cyclerion has been or is to be a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Korsana’s or Cyclerion’s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Korsana’s or Cyclerion’s directors, executive officers or holders of more than 5% of Korsana’s or Cyclerion’s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Cyclerion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there have been no transactions since January 1, 2024 to which Cyclerion has been a participant in which the amount involved exceeded or will exceed $120,000 (which amount is less than one percent of the average of Cyclerion’s total assets at year-end for the last two completed fiscal years), and in which any of Cyclerion’s directors, executive officers or holders of more than 5% of capital stock, or any members of their immediate family, had or will have a direct or indirect material interest, other than compensation arrangements that are described under “Cyclerion Executive Compensation” and “Cyclerion Non-Employee Director Compensation.” Cyclerion also entered into indemnification agreements with its directors and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Cyclerion March 2025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21, 2025, Cyclerion entered into a Stock Purchase Agreement (the “PIPE Purchase Agreement”) with the investors named therein, including Peter M. Hecht, Ph.D. and Michael J. Higgins, who serve as members of the Cyclerion Board (each, a “PIPE Investor” and collectively, the “PIPE Investors”) for the private placement of 499,998 shares (the “PIPE Shares”) of Cyclerion Common Stock, at an offering price of $2.75 per PIPE Share (the “Cyclerion Private Placement”). The Cyclerion Private Placement closed on March 25, 2025 and the gross proceeds of the Cyclerion Private Placement were $1.375 million, before deducting expenses. Dr. Hecht and Mr. Higgins purchased 181,818 and 9,090 shares of Cyclerion’s Common Stock in the Cyclerion Private Placement, respectively. In connection with the Cyclerion Private Placement, Cyclerion and the PIPE Investors entered into a Registration Rights Agreement, dated March 21, 2025, pursuant to which Cyclerion agreed to register the resale of the PIPE Shares pursuant to a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Korsana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Seven of Korsana’s stockholders or their affiliates are, or are expected to be as of immediately following the Korsana Pre-Closing Financing, beneficial holders of more than 5% of Korsana’s capital stock: Fairmount, Venrock Healthcare Capital Partners, TCGX, Wellington Management, J.P. Morgan Life Sciences Private Capital, FMR LLC and Janus Henderson Investors. Three of Korsana’s directors (Mr. Kiselak, Ms. Pernice, and Dr. Violin) and one of Korsana’s executive officers (Dr. Violin) have current or historical affiliations or associations with Fairmount. Two of Korsana’s directors (Dr. Gottesdiener and Mr. Shah) are affiliated with Venrock Healthcare Capital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Korsana deems Paragon, Paragon Laboratories, and Parasa related parties, because Fairmount beneficially owns more than 5% of Paragon and Paragon Laboratories, appointed the board of directors of Paragon and Paragon Laboratories, and has the contractual right to approve the appointment of any executive officers of Paragon and Paragon Laboratories. Parasa is an entity formed by Paragon as a vehicle to hold equity in Korsana in order to share profits with certain employees of Paragon.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Korsana restricted common stock and issued and sold (i) 2,500,000 shares of Korsana restricted common stock to Paragon and (ii) 2,500,000 shares of Korsana restricted common stock to Parasa, in each case, at a purchase price of $0.02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Financing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Korsana completed a financing of an aggregate of 8,000,000 shares of Korsana Series Seed Preferred Stock at a purchase price of $1.25 per share. In September 2025, Korsana completed a financing of an additional aggregate of 12,000,000 shares of Korsana Series Seed Preferred Stock at a purchase price of $1.25 per share. The following table summarizes the purchases of Korsana Series Seed Preferred Stock by related persons: </w:t>
      </w:r>
    </w:p>
    <w:p>
      <w:pPr>
        <w:pStyle w:val="TextBody"/>
        <w:bidi w:val="0"/>
        <w:spacing w:before="0" w:after="0"/>
        <w:jc w:val="left"/>
        <w:rPr/>
      </w:pPr>
      <w:r>
        <w:rPr/>
        <w:t> </w:t>
      </w:r>
    </w:p>
    <w:tbl>
      <w:tblPr>
        <w:tblW w:w="8705" w:type="dxa"/>
        <w:jc w:val="left"/>
        <w:tblInd w:w="0" w:type="dxa"/>
        <w:tblLayout w:type="fixed"/>
        <w:tblCellMar>
          <w:top w:w="0" w:type="dxa"/>
          <w:left w:w="0" w:type="dxa"/>
          <w:bottom w:w="0" w:type="dxa"/>
          <w:right w:w="0" w:type="dxa"/>
        </w:tblCellMar>
      </w:tblPr>
      <w:tblGrid>
        <w:gridCol w:w="4880"/>
        <w:gridCol w:w="120"/>
        <w:gridCol w:w="114"/>
        <w:gridCol w:w="2096"/>
        <w:gridCol w:w="60"/>
        <w:gridCol w:w="120"/>
        <w:gridCol w:w="140"/>
        <w:gridCol w:w="110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Korsana</w:t>
              <w:br/>
              <w:t>Series Seed Preferred</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12,500,000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9,200,000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11,500,000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Financing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Korsana completed a financing of an aggregate of 75,500,000 shares of Korsana Series A Preferred Stock at a purchase price of $2.00 per share. The following table summarizes the purchases of Korsana Series A Preferred Stock by related persons: </w:t>
      </w:r>
    </w:p>
    <w:p>
      <w:pPr>
        <w:pStyle w:val="TextBody"/>
        <w:bidi w:val="0"/>
        <w:spacing w:before="0" w:after="0"/>
        <w:jc w:val="left"/>
        <w:rPr/>
      </w:pPr>
      <w:r>
        <w:rPr/>
        <w:t> </w:t>
      </w:r>
    </w:p>
    <w:tbl>
      <w:tblPr>
        <w:tblW w:w="9035" w:type="dxa"/>
        <w:jc w:val="left"/>
        <w:tblInd w:w="0" w:type="dxa"/>
        <w:tblLayout w:type="fixed"/>
        <w:tblCellMar>
          <w:top w:w="0" w:type="dxa"/>
          <w:left w:w="0" w:type="dxa"/>
          <w:bottom w:w="0" w:type="dxa"/>
          <w:right w:w="0" w:type="dxa"/>
        </w:tblCellMar>
      </w:tblPr>
      <w:tblGrid>
        <w:gridCol w:w="4880"/>
        <w:gridCol w:w="120"/>
        <w:gridCol w:w="131"/>
        <w:gridCol w:w="2409"/>
        <w:gridCol w:w="60"/>
        <w:gridCol w:w="120"/>
        <w:gridCol w:w="140"/>
        <w:gridCol w:w="110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120" w:type="dxa"/>
            <w:tcBorders/>
            <w:vAlign w:val="center"/>
          </w:tcPr>
          <w:p>
            <w:pPr>
              <w:pStyle w:val="TableContents"/>
              <w:bidi w:val="0"/>
              <w:spacing w:before="0" w:after="283"/>
              <w:jc w:val="left"/>
              <w:rPr/>
            </w:pPr>
            <w:r>
              <w:rPr/>
              <w:t>  </w:t>
            </w:r>
          </w:p>
        </w:tc>
        <w:tc>
          <w:tcPr>
            <w:tcW w:w="2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 Korsana</w:t>
              <w:br/>
              <w:t>Series A Preferred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12,500,000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12,500,000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25,000,000</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16,000,000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Korsana Pre-Closing Financing </w:t>
      </w:r>
    </w:p>
    <w:p>
      <w:pPr>
        <w:pStyle w:val="TextBody"/>
        <w:bidi w:val="0"/>
        <w:spacing w:before="120" w:after="0"/>
        <w:jc w:val="left"/>
        <w:rPr>
          <w:rFonts w:ascii="Times New Roman" w:hAnsi="Times New Roman"/>
          <w:sz w:val="20"/>
        </w:rPr>
      </w:pPr>
      <w:r>
        <w:rPr>
          <w:rFonts w:ascii="Times New Roman" w:hAnsi="Times New Roman"/>
          <w:sz w:val="20"/>
        </w:rPr>
        <w:t>In connection with the Merger, on April 1, 2026, Korsana entered into the Securities Purchase Agreement with certain investors to effect the Korsana Pre-Closing Financing. Pursuant to the Securities Purchase Agreement, the investors agreed to purchase an estimated aggregate of 140,978,969 shares of Korsana Common Stock and 20,488,264 Korsana Pre-Funded Warrants, at an estimated price of $2.3534 per share of common stock and $2.3533 per pre-funded warrant, for aggregate gross proceeds of approximately $380.0 million. The aggregate purchase price of $380.0 million is fixed, while the purchase price per share or pre-funded warrant and the aggregate number of shares of Korsana Common Stock and Korsana Pre-Funded Warrants to be purchased is subject to change pursuant to the terms of the Securities Purchase Agreement.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The closing of the Korsana Pre-Closing Financing is conditioned upon the satisfaction or waiver of the conditions to the Merger as well as certain other conditions. The table below sets forth the number of shares of Korsana Common Stock and Korsana Pre-Funded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expected to be purchased by related persons at the closing of the Korsana Pre-Closing Financing (based on the currently estimated purchase price per share or pre-funded warrant, as applicable). </w:t>
      </w:r>
    </w:p>
    <w:p>
      <w:pPr>
        <w:pStyle w:val="TextBody"/>
        <w:bidi w:val="0"/>
        <w:spacing w:before="0" w:after="0"/>
        <w:jc w:val="left"/>
        <w:rPr/>
      </w:pPr>
      <w:r>
        <w:rPr/>
        <w:t> </w:t>
      </w:r>
    </w:p>
    <w:tbl>
      <w:tblPr>
        <w:tblW w:w="9939" w:type="dxa"/>
        <w:jc w:val="left"/>
        <w:tblInd w:w="0" w:type="dxa"/>
        <w:tblLayout w:type="fixed"/>
        <w:tblCellMar>
          <w:top w:w="0" w:type="dxa"/>
          <w:left w:w="0" w:type="dxa"/>
          <w:bottom w:w="0" w:type="dxa"/>
          <w:right w:w="0" w:type="dxa"/>
        </w:tblCellMar>
      </w:tblPr>
      <w:tblGrid>
        <w:gridCol w:w="5285"/>
        <w:gridCol w:w="120"/>
        <w:gridCol w:w="82"/>
        <w:gridCol w:w="1513"/>
        <w:gridCol w:w="60"/>
        <w:gridCol w:w="120"/>
        <w:gridCol w:w="64"/>
        <w:gridCol w:w="1200"/>
        <w:gridCol w:w="60"/>
        <w:gridCol w:w="120"/>
        <w:gridCol w:w="140"/>
        <w:gridCol w:w="1100"/>
        <w:gridCol w:w="75"/>
      </w:tblGrid>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Korsana</w:t>
              <w:br/>
              <w:t>Common 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Pre-funded</w:t>
              <w:br/>
              <w:t>Warrants of</w:t>
              <w:br/>
              <w:t>Korsana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31,530,026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338,507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74,999,372</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14,720,332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10,774,494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59,998,446</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12,747,413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29,999,762</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12,293,628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453,785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29,999,716</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6,373,706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14,999,880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3,824,224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8,999,929</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2,974,396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6,999,944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Paragon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On September 5, 2025, Korsana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r>
        <w:rPr>
          <w:rFonts w:ascii="SYMBOL" w:hAnsi="SYMBOL"/>
          <w:sz w:val="20"/>
        </w:rPr>
        <w:t>b</w:t>
      </w:r>
      <w:r>
        <w:rPr>
          <w:rFonts w:ascii="Times New Roman" w:hAnsi="Times New Roman"/>
          <w:sz w:val="20"/>
        </w:rPr>
        <w:t xml:space="preserve"> and TfR1 (collectively, the “A</w:t>
      </w:r>
      <w:r>
        <w:rPr>
          <w:rFonts w:ascii="SYMBOL" w:hAnsi="SYMBOL"/>
          <w:sz w:val="20"/>
        </w:rPr>
        <w:t>b</w:t>
      </w:r>
      <w:r>
        <w:rPr>
          <w:rFonts w:ascii="Times New Roman" w:hAnsi="Times New Roman"/>
          <w:sz w:val="20"/>
        </w:rPr>
        <w:t xml:space="preserve"> Research Programs”), and one undisclosed research program 003, with the ability to add additional programs by mutual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on a program-by-program basis (each, an “ADOA Option”), to negotiate and enter into a license agreement (each, a “License”) granting Korsana (a) an exclusive, worldwide license to the product-specific intellectual property from the applicable program and (b) a non-exclusive, worldwide license to certain incorporated platform technology. ADOA Options are exercisable at Korsana’s sole discretion during the applicable option period, with no separate exercise payment. </w:t>
      </w:r>
    </w:p>
    <w:p>
      <w:pPr>
        <w:pStyle w:val="TextBody"/>
        <w:bidi w:val="0"/>
        <w:spacing w:before="240" w:after="0"/>
        <w:jc w:val="left"/>
        <w:rPr>
          <w:rFonts w:ascii="Times New Roman" w:hAnsi="Times New Roman"/>
          <w:sz w:val="20"/>
        </w:rPr>
      </w:pPr>
      <w:r>
        <w:rPr>
          <w:rFonts w:ascii="Times New Roman" w:hAnsi="Times New Roman"/>
          <w:sz w:val="20"/>
        </w:rPr>
        <w:t xml:space="preserve">Upon signing, Korsana became obligated to reimburse Paragon approximately $18.8 million for pre-development costs incurred through September 5, 2025. For each research program, Korsana is also required to pay Paragon a research initiation fee and certain third-party costs and internal resource fees. On a program-by-program and product-by-product basis, Korsana is also required to make one-time, non-refundable milestone payments of up to $46.0 million per product, reduced by 50% for independently developed products directed to the same target combination. Any License will incorporate the same milestone obligations, with milestones not achieved prior to License execution no longer payable under the Paragon ADOA. Under any License, Korsana would be required to make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On March 19, 2026, Korsana exercised its ADOA Option with respect to Research Program 002. Korsana made a $5.0 million milestone payment to Paragon in March 2026 related to the nomination of KRSA-028 as the development candidate for Research Program 002. On June 8, 2026, Korsana entered into the Paragon License Agreement with Paragon with respect to the A</w:t>
      </w:r>
      <w:r>
        <w:rPr>
          <w:rFonts w:ascii="SYMBOL" w:hAnsi="SYMBOL"/>
          <w:sz w:val="20"/>
        </w:rPr>
        <w:t>b</w:t>
      </w:r>
      <w:r>
        <w:rPr>
          <w:rFonts w:ascii="Times New Roman" w:hAnsi="Times New Roman"/>
          <w:sz w:val="20"/>
        </w:rPr>
        <w:t xml:space="preserve"> Research Programs, as described in more detail below. Korsana’s ADOA Option with respect to program 003 remains unexercised. </w:t>
      </w:r>
    </w:p>
    <w:p>
      <w:pPr>
        <w:pStyle w:val="TextBody"/>
        <w:bidi w:val="0"/>
        <w:spacing w:before="240" w:after="0"/>
        <w:jc w:val="left"/>
        <w:rPr>
          <w:rFonts w:ascii="Times New Roman" w:hAnsi="Times New Roman"/>
          <w:sz w:val="20"/>
        </w:rPr>
      </w:pPr>
      <w:r>
        <w:rPr>
          <w:rFonts w:ascii="Times New Roman" w:hAnsi="Times New Roman"/>
          <w:sz w:val="20"/>
        </w:rPr>
        <w:t xml:space="preserve">The Paragon ADOA continues on a program-by-program basis until the earliest of completion of the applicable research plan activities, expiration of the option period, or failure to execute a License within a specified period following option exercise. Korsana may terminate any research program or the Paragon ADOA in its entirety at any time for any reason, subject to certain termination fees. Each party has the right to terminate upon the other party’s uncured material breach or bankruptcy.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recorded an aggregate of $40.1 million of operating expenses under the Paragon ADOA.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will grant Parasa warrants on each of December 31, 2025 and December 31, 2026 to purchase shares equal to 1.00% of Korsana’s outstanding capital stock on a fully diluted basis as of the grant date, at an exercise price equal to fair market value. If Korsana undergoes an initial public offering or reverse merger, Parasa will instead receive warrants from the resulting public parent on equivalent terms. Each warrant is exercisable for 10 years from the grant date, with pro-ration if the research term ends before year-end. On December 31, 2025, Korsana issued Parasa a warrant to purchase 1,102,561 shares of common stock at $0.86 per share. </w:t>
      </w:r>
    </w:p>
    <w:p>
      <w:pPr>
        <w:pStyle w:val="TextBody"/>
        <w:bidi w:val="0"/>
        <w:spacing w:before="360" w:after="0"/>
        <w:jc w:val="left"/>
        <w:rPr>
          <w:rFonts w:ascii="Times New Roman" w:hAnsi="Times New Roman"/>
          <w:i/>
          <w:sz w:val="20"/>
        </w:rPr>
      </w:pPr>
      <w:r>
        <w:rPr>
          <w:rFonts w:ascii="Times New Roman" w:hAnsi="Times New Roman"/>
          <w:i/>
          <w:sz w:val="20"/>
        </w:rPr>
        <w:t xml:space="preserve">Paragon Platform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Korsana entered into the Paragon POA with Paragon and Parasa, in connection with the Paragon ADOA. Under the Paragon POA, Korsana may designate up to four target combinations (each consisting of one or two therapeutic targets and TfR1 as the transit target) to be exclusively reserved during the option period (the “POA Option Period”). As of the effective date, the initial reserved target list includes one undisclosed target combination. Korsana may also obtain rights to designate up to two additional target combinations upon payment of $2.0 million each. </w:t>
      </w:r>
    </w:p>
    <w:p>
      <w:pPr>
        <w:pStyle w:val="TextBody"/>
        <w:bidi w:val="0"/>
        <w:spacing w:before="240" w:after="0"/>
        <w:jc w:val="left"/>
        <w:rPr>
          <w:rFonts w:ascii="Times New Roman" w:hAnsi="Times New Roman"/>
          <w:sz w:val="20"/>
        </w:rPr>
      </w:pPr>
      <w:r>
        <w:rPr>
          <w:rFonts w:ascii="Times New Roman" w:hAnsi="Times New Roman"/>
          <w:sz w:val="20"/>
        </w:rPr>
        <w:t xml:space="preserve">Paragon is obligated to notify Korsana if Paragon or its affiliates develop research plans for, plan to license, or enter into negotiations with third parties regarding antibodies directed to target combinations that include TfR1 as the transit target but are not then on a reserved target list. Upon receipt of such notice, Korsana has a specified period to elect to designate that target combination as a reserved target combination, subject to applicable limits. </w:t>
      </w:r>
    </w:p>
    <w:p>
      <w:pPr>
        <w:pStyle w:val="TextBody"/>
        <w:bidi w:val="0"/>
        <w:spacing w:before="240" w:after="0"/>
        <w:jc w:val="left"/>
        <w:rPr>
          <w:rFonts w:ascii="Times New Roman" w:hAnsi="Times New Roman"/>
          <w:sz w:val="20"/>
        </w:rPr>
      </w:pPr>
      <w:r>
        <w:rPr>
          <w:rFonts w:ascii="Times New Roman" w:hAnsi="Times New Roman"/>
          <w:sz w:val="20"/>
        </w:rPr>
        <w:t xml:space="preserve">Subject to limited exceptions, Paragon has agreed not to develop, license, or commercialize antibodies directed to any Korsana-reserved target combination during the POA Option Period, which ends on the earlier of the fifth anniversary of the Paragon POA or exercise or expiration of Korsana’s last POA Option.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POA Option Period, Korsana may exercise has an option ( a“ POA Option”) for each reserved target combination to either (a) enter into an antibody discovery and option agreement on terms materially consistent with the Paragon ADOA or (b) enter directly into a license agreement (a “POA-License”) upon payment of a $5.0 million exercise fee. Under any POA-License, Korsana would be required to make one-time, non-refundable milestone payments of up to $41.0 million per product, reduced by 50% for independently developed products directed to the same target combination, and tiered royalty payments in the low to mid-single digit percentage range based on annual net sales, subject to certain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Paragon POA continues until expiration of the POA Option Period. Each party has the right to terminate upon the other party’s uncured material breach or bankruptcy. Korsana may terminate at any time for any reason. As of the date of this proxy statement/prospectus, Korsana has not exercised any POA Options or made any payments under the Paragon POA.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Korsana has not recorded any operating expenses under the Paragon POA. </w:t>
      </w:r>
    </w:p>
    <w:p>
      <w:pPr>
        <w:pStyle w:val="TextBody"/>
        <w:bidi w:val="0"/>
        <w:spacing w:before="360" w:after="0"/>
        <w:jc w:val="left"/>
        <w:rPr>
          <w:rFonts w:ascii="Times New Roman" w:hAnsi="Times New Roman"/>
          <w:i/>
          <w:sz w:val="20"/>
        </w:rPr>
      </w:pPr>
      <w:r>
        <w:rPr>
          <w:rFonts w:ascii="Times New Roman" w:hAnsi="Times New Roman"/>
          <w:i/>
          <w:sz w:val="20"/>
        </w:rPr>
        <w:t xml:space="preserve">Paragon Research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3, 2026, Korsana entered into the Paragon Research Letter Agreement with Paragon Laboratories. Under the terms of the Paragon Research Letter Agreement, the parties agreed to initiate a research program (the “AOC Research Program”) focused on an undisclosed target combination, in an effort to identify, evaluate and develop antibody oligonucleotide conjugates (“AOCs”) directed to such target combination (the “Research AOCs”). The AOC Research Program will be conducted in accordance with a research plan that the parties will use specified efforts to agree upon within a specified period following the effective date of the Paragon Research Letter Agreement (the “AOC Research Plan”). During the AOC Research Term (as defined below), each party will use specified efforts to conduct and complete the research activities assigned to it under the AOC Research Plan, and Paragon Laboratories will provide Korsana with periodic updates regarding the Research AOCs identified under the AOC Research Plan. The AOC Research Program will continue until the earliest of (a)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aggregate Costs (as defined below) paid or owing by Korsana to Paragon Laboratories meet or exceed a budgeted cap, (b) completion of the activities set forth in the AOC Research Plan, and (c) such other mutually agreed date (such period, the “AOC Research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Research Letter Agreement, Korsana has a nontransferable, exclusive option during the AOC Research Term and, provided that Korsana is not in material breach, for an additional specified period thereafter (collectively, the “AOC Option Period”), to either (i) enter into an antibody oligo conjugate discovery and option agreement for the AOC Research Program (the “AOC-DOA Option”), or (ii) enter into a license agreement for the AOC Research Program (the “AOC-License Option” and, with the AOC-DOA Option, either referenced hereinafter as the “AOC Option”). Korsana may exercise the AOC Option only once for the AOC Research Program, without payment of a separate exercise fee. The AOC Option terminates upon the earliest of: a permitted early termination of the AOC Research Program, the expiration of the AOC Option Period without Korsana having exercised the AOC Option, and, if Korsana has exercised the AOC Option, the failure of the parties to finalize a Definitive Agreement (as defined below) or elect the applicable dispute resolution procedures within the required timeframe. Following termination of the AOC Option, Paragon Laboratories is free to license or grant rights in the Research AOCs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Following Korsana’s exercise of the AOC Option, the parties will negotiate for a specified period toward a definitive agreement (the “Definitive Agreement”). If Korsana exercises the AOC-DOA Option, the Definitive Agreement would provide for, among other things, the continuation of the AOC Research Program, payment by Korsana of a research initiation fee, and an exclusive option for Korsana to enter into separate license agreement(s) consistent with the license described below. If Korsana exercises the AOC-License Option, the Definitive Agreement would be a license agreement granting Korsana, its affiliates, and sublicensees the right to develop, manufacture, and commercialize the Research AOCs for any and all uses worldwide, under an exclusive license to the Research AOCs as a whole and any therapeutic nucleic acid component included in a Research AOC, and a non-exclusive license to any platform elements incorporated into such Research AOCs. Any such license agreement would include a one-time upfront license fee. If the parties are unable to reach agreement on the Definitive Agreement within the specified negotiation period, either party may elect to resolve the dispute in accordance with procedures set forth in the Paragon ADOA, as applied </w:t>
      </w:r>
      <w:r>
        <w:rPr>
          <w:rFonts w:ascii="Times New Roman" w:hAnsi="Times New Roman"/>
          <w:i/>
          <w:sz w:val="20"/>
        </w:rPr>
        <w:t>mutatis mutandis</w:t>
      </w:r>
      <w:r>
        <w:rPr>
          <w:rFonts w:ascii="Times New Roman" w:hAnsi="Times New Roman"/>
          <w:sz w:val="20"/>
        </w:rPr>
        <w:t xml:space="preserve">. As between the parties, Paragon Laboratories owns all intellectual property generated under or in connection with the AOC Research Program, and Korsana has assigned all of its rights therein to Paragon Laboratories.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Paragon Laboratories’ performance of the AOC Research Program and the grant of the AOC Option to Korsana, Korsana is required to reimburse Paragon Laboratories for certain third-party costs and internal resource fees. Which may not exceed a budget cap set forth in the AOC Research Plan unless increased by mutual written agreement. All payments under the Paragon Research Letter Agreement are non-refundable and non-creditable. </w:t>
      </w:r>
    </w:p>
    <w:p>
      <w:pPr>
        <w:pStyle w:val="TextBody"/>
        <w:bidi w:val="0"/>
        <w:spacing w:before="240" w:after="0"/>
        <w:jc w:val="left"/>
        <w:rPr>
          <w:rFonts w:ascii="Times New Roman" w:hAnsi="Times New Roman"/>
          <w:sz w:val="20"/>
        </w:rPr>
      </w:pPr>
      <w:r>
        <w:rPr>
          <w:rFonts w:ascii="Times New Roman" w:hAnsi="Times New Roman"/>
          <w:sz w:val="20"/>
        </w:rPr>
        <w:t xml:space="preserve">The Paragon Research Letter Agreement will continue until the expiration of the AOC Option, unless terminated earlier in accordance with the terms thereof. The Paragon Research Letter Agreement and the AOC Research Program may be terminated by either party upon prior written notice if the other party commits a material breach and fails to cure within such notice period. </w:t>
      </w:r>
    </w:p>
    <w:p>
      <w:pPr>
        <w:pStyle w:val="TextBody"/>
        <w:bidi w:val="0"/>
        <w:spacing w:before="240" w:after="0"/>
        <w:jc w:val="left"/>
        <w:rPr>
          <w:rFonts w:ascii="Times New Roman" w:hAnsi="Times New Roman"/>
          <w:sz w:val="20"/>
        </w:rPr>
      </w:pPr>
      <w:r>
        <w:rPr>
          <w:rFonts w:ascii="Times New Roman" w:hAnsi="Times New Roman"/>
          <w:sz w:val="20"/>
        </w:rPr>
        <w:t xml:space="preserve">In June 2026, Korsana paid a $1.0 million research initiation fee under the Paragon Research Letter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Paragon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Korsana entered into the Paragon License Agreement with Paragon for certain antibody transport vehicle compounds discovered, generated, identified or characterized by Paragon in the course of performing Research Program 001 and Research Program 002 under the Paragon ADOA, including KRSA-028,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together with certain related antibodies, antibody transport vehicles and products comprising the foregoing. The Paragon License Agreement is consistent with the pre-negotiated terms agreed to upon execution of the Paragon ADOA.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License Agreement, Paragon granted Korsana a royalty-bearing, worldwide, exclusive and sublicensable license under certain licensed project antibody transport vehicle technology to develop, manufacture, commercialize and otherwise exploit licensed antibodies, licensed antibody transport vehicles, derived antibodies, derived antibody transport vehicles and related products in the field of prophylaxis, palliation, treatment and diagnosis of human disease and disorders in all therapeutic areas (the “field”) and worldwide (the “territory”). Paragon also granted Korsana certain royalty-bearing, worldwide, non-exclusive and sublicensable licenses under certain transit antibody technology, other licensed patents and other licensed know-how to develop, manufacture, commercialize and otherwise exploit specified licensed products in the field and territory.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Paragon License Agreement, Korsana is solely responsible for, and has sole authority and control over, all aspects of the development, manufacturing and commercialization of products under the licensed programs, including regulatory strategy, communications, filings and activities, including clinical trials. Korsana is required to use commercially reasonable efforts to develop and seek regulatory approval for at least one licensed product in the United States and at least one other major market country and, following receipt of regulatory approval for a licensed product in a given country, to commercialize such licensed product in such country. </w:t>
      </w:r>
    </w:p>
    <w:p>
      <w:pPr>
        <w:pStyle w:val="TextBody"/>
        <w:bidi w:val="0"/>
        <w:spacing w:before="240" w:after="0"/>
        <w:jc w:val="left"/>
        <w:rPr>
          <w:rFonts w:ascii="Times New Roman" w:hAnsi="Times New Roman"/>
          <w:sz w:val="20"/>
        </w:rPr>
      </w:pPr>
      <w:r>
        <w:rPr>
          <w:rFonts w:ascii="Times New Roman" w:hAnsi="Times New Roman"/>
          <w:sz w:val="20"/>
        </w:rPr>
        <w:t>During the applicable restricted period described below, Paragon is restricted from directly or indirectly conducting activities, including granting licenses to third parties, to develop, manufacture, commercialize or otherwise exploit antibody transport vehicles directed to both A</w:t>
      </w:r>
      <w:r>
        <w:rPr>
          <w:rFonts w:ascii="SYMBOL" w:hAnsi="SYMBOL"/>
          <w:sz w:val="20"/>
        </w:rPr>
        <w:t>b</w:t>
      </w:r>
      <w:r>
        <w:rPr>
          <w:rFonts w:ascii="Times New Roman" w:hAnsi="Times New Roman"/>
          <w:sz w:val="20"/>
        </w:rPr>
        <w:t xml:space="preserve"> and TfR1, subject to specified exceptions, including for certain change-of-control and acquired programs. The restricted period continues until the earlier of the fifth anniversary of the effective date and the occurrence of specified termination events tied to Korsana’s failure to achieve certain diligence milestones, subject to cure and extension mechanics.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License Agreement, Korsana is obligated to pay Paragon up to $46.0 million per product based on the achievement of specified development and regulatory milestones. If a product candidate, including certain combination products, is developed by Korsana as a bona fide back-up or substitute product to another royalty product for the same licensed therapeutic target, the same licensed transit target, if applicable, and the same indication, it would be considered a back-up royalty product for which no duplicate milestone payments are owed to Paragon, subject to specified limitations. Korsana is obligated to pay Paragon up to $23.0 million per product for certain Korsana-developed products that are not licensed products from Research Program 001 or Research Program 002 and are directed to the applicable licensed target or target combination based on the achievement of specified development and regulatory milestones. </w:t>
      </w:r>
    </w:p>
    <w:p>
      <w:pPr>
        <w:pStyle w:val="TextBody"/>
        <w:bidi w:val="0"/>
        <w:spacing w:before="240" w:after="0"/>
        <w:jc w:val="left"/>
        <w:rPr>
          <w:rFonts w:ascii="Times New Roman" w:hAnsi="Times New Roman"/>
          <w:sz w:val="20"/>
        </w:rPr>
      </w:pPr>
      <w:r>
        <w:rPr>
          <w:rFonts w:ascii="Times New Roman" w:hAnsi="Times New Roman"/>
          <w:sz w:val="20"/>
        </w:rPr>
        <w:t xml:space="preserve">Other key terms of the Paragon License Agreement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pay Paragon tiered royalties in the low- to mid-single digits based on annual net sales of licensed products in the field and territory, subject to a 30% reduction if there is no valid claim covering the product in the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royalty term ends, on a product-by-product and country-by-country basis, on the later of the twelfth anniversary of the first commercial sale of such product in such country and the expiration of the last-to-expire valid patent claim covering such product in such country.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has the right to grant sublicenses under the Paragon License Agreement, provided that each sublicense is in writing and consistent with the relevant terms, conditions and restrictions of the Paragon License Agreement, Korsana provides Paragon with a copy of each sublicense agreement and any amendments within 30 days following execution, subject to permitted redactions, and Korsana remains responsible for all payments and obligations due under the Paragon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certain patents licensed to Korsana under the Paragon License Agreement, Korsana has the first right, but not the obligation, to prepare, file, prosecute and maintain such patents at its sole expense, subject to Paragon’s review, comment and backup prosecution rights. Paragon retains control over the preparation, filing, prosecution and maintenance of certain other patents owned or controlled by Paragon.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may terminate the Paragon License Agreement in its entirety or on a country-by-country or royalty product-by-royalty product basis for any or no reason upon 60 days’ prior written notice to Paragon. The Paragon License Agreement may also be terminated by either party upon the other party’s uncured material breach or, to the extent permitted by law, upon the other party’s insolvency or bankruptcy.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Korsana has not recorded any operating expenses under the Paragon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Korsana has entered into an indemnification agreement with each of its directors and officers and purchased directors’ and officers’ liability insurance. The indemnification agreements require Korsana to indemnify its directors and officers to the fullest extent permitted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Restricted Stock Grants to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Korsana has entered into a restricted stock purchase agreement with Dr. Violin, Director and Chief Executive Officer and President, as more fully described in the sections titled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Executive</w:t>
      </w:r>
      <w:r>
        <w:rPr>
          <w:rFonts w:ascii="Times New Roman" w:hAnsi="Times New Roman"/>
          <w:sz w:val="20"/>
        </w:rPr>
        <w:t xml:space="preserve"> </w:t>
      </w:r>
      <w:r>
        <w:rPr>
          <w:rFonts w:ascii="Times New Roman" w:hAnsi="Times New Roman"/>
          <w:i/>
          <w:sz w:val="20"/>
        </w:rPr>
        <w:t>Compensation</w:t>
      </w:r>
      <w:r>
        <w:rPr>
          <w:rFonts w:ascii="Times New Roman" w:hAnsi="Times New Roman"/>
          <w:sz w:val="20"/>
        </w:rPr>
        <w:t>” and “</w:t>
      </w:r>
      <w:r>
        <w:rPr>
          <w:rFonts w:ascii="Times New Roman" w:hAnsi="Times New Roman"/>
          <w:i/>
          <w:sz w:val="20"/>
        </w:rPr>
        <w:t>Korsana</w:t>
      </w:r>
      <w:r>
        <w:rPr>
          <w:rFonts w:ascii="Times New Roman" w:hAnsi="Times New Roman"/>
          <w:sz w:val="20"/>
        </w:rPr>
        <w:t xml:space="preserve"> </w:t>
      </w:r>
      <w:r>
        <w:rPr>
          <w:rFonts w:ascii="Times New Roman" w:hAnsi="Times New Roman"/>
          <w:i/>
          <w:sz w:val="20"/>
        </w:rPr>
        <w:t>Director Compensation</w:t>
      </w:r>
      <w:r>
        <w:rPr>
          <w:rFonts w:ascii="Times New Roman" w:hAnsi="Times New Roman"/>
          <w:sz w:val="20"/>
        </w:rPr>
        <w:t xml:space="preserve">” beginning on pages 215 and 219,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Korsana 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Korsana does not have a formal policy regarding approval of transactions with related parties. Following the completion of the Merger, Korsana anticipates that the Combined Company will adopt a related party transaction approval policy and the Combined Company’s audit committee will be responsible for the review, consideration and approval or ratification of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x111069_34"/>
      <w:bookmarkEnd w:id="36"/>
      <w:r>
        <w:rPr>
          <w:rFonts w:ascii="Times New Roman" w:hAnsi="Times New Roman"/>
          <w:b/>
          <w:sz w:val="20"/>
        </w:rPr>
        <w:t xml:space="preserve">UNAUDITED PRO FORMA CONDENSED COMBINED FINANCIAL INFORMATION </w:t>
      </w:r>
    </w:p>
    <w:p>
      <w:pPr>
        <w:pStyle w:val="TextBody"/>
        <w:bidi w:val="0"/>
        <w:spacing w:before="240" w:after="0"/>
        <w:jc w:val="center"/>
        <w:rPr>
          <w:rFonts w:ascii="Times New Roman" w:hAnsi="Times New Roman"/>
          <w:i/>
          <w:sz w:val="20"/>
        </w:rPr>
      </w:pPr>
      <w:r>
        <w:rPr>
          <w:rFonts w:ascii="Times New Roman" w:hAnsi="Times New Roman"/>
          <w:i/>
          <w:sz w:val="20"/>
        </w:rPr>
        <w:t xml:space="preserve">Defined terms included below shall have the same meaning as terms defined and included in the Company’s definitive proxy statement/prospectus filed with the U.S. Securities and Exchange Commission (the “SEC”) on July 9, 2026.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Korsana entered into a Merger Agreement with Cyclerion and Cariboos Merger Sub Corp and Cariboos Merger Sub II, LLC, both wholly owned subsidiaries of Cyclerion, which agreement was subsequently amended on April 17, 2026, pursuant to which, and subject to the satisfaction or waiver of the conditions set forth in the Merger Agreement, Cariboos Merger Sub Corp merged with and into Korsana, with Korsana continuing as a wholly owned subsidiary of Cyclerion and the surviving corporation (the “First Merger”). Immediately following the First Merger and as part of the same overall transaction, Korsana merged with and into Cariboos Merger Sub II, LLC (the “Second Merger” and, together with the First Merger, the “Merger”), with Cariboos Merger Sub II, LLC being the surviving entity of the Second Merger. The closing of the Korsana Pre-Closing Financing is conditioned on the satisfaction or waiver of the conditions set forth in the Merger Agreement and is expected to occur immediately prior to the closing of the Merger. As such, the pro forma adjustments reflect the Merger and the Korsana Pre-Closing Financing. The Merger is expected to close during the third quarter of 2026, following the effectiveness of Cyclerion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will change its name to “Korsana Biosciences, Inc.” Cyclerion following the Merger is referred to herein as the “Combined Company.” The Combined Company will be led by Korsana’s management team and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(i) each then-outstanding share of Korsana common stock (including shares of Korsana common stock issued in connection with the Korsana Pre-Closing Financing) will be automatically converted solely into the right to receive a number of shares of Cyclerion common stock equal to the Exchange Ratio, (ii) each-then-outstanding share of Cyclerion Series A preferred stock will be automatically converted solely into the right to receive a number of shares of Cyclerion common stock, (iii) 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(iv) each-then-outstanding share of Korsana Series A preferred stock will be automatically converted into the right to receive a number of shares of Cyclerion common stock equal to the Exchange Ratio, as well as a right to receive a pre-funded warrant to purchase Korsana common stock that will be converted into a pre-funded warrant to purchase Cyclerion common stock, subject to adjustment as set forth in the form of the pre-funded 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adjusted for the Exchange Ratio, (vii) each then-outstanding share of Korsana restricted stock will be assumed by Cyclerion, subject to adjustment as set forth in the Merger Agreement, (viii) each then-outstanding pre-funded warrant to purchase shares of Korsana common stock will be converted into a pre-funded warrant to purchase shares of Cyclerion common stock, subject to adjustment as set forth in the Merger Agreement and the form of pre-funded warrant, (ix) the vesting of each option to acquire shares of Cyclerion common stock that is issued and outstanding will be accelerated, each in-the-money option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out-of-the-money option will be cancelled for no consideration; and (x) the vesting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unvested Cyclerion restricted stock award will be accelerated, and all vested and unsettled Cyclerion restricted stock awards will be cancelled and converted into the right to receive a number of shares of Cyclerion common stock equal to the number of unsettled shares of Cyclerion common stock underlying such Cyclerion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1.4735 shares of Cyclerion common stock for each share of Korsana common stock on the closing date. Under the Exchange Ratio formula, the former Korsana stockholders immediately before the effective time, including those purchasing shares and pre-funded warrants in the Korsana Pre-Closing Financing, will own approximately 98.9% of the outstanding common stock of the Combined Company, and the stockholders of Cyclerion immediately before the effective time will own approximately 1.1% of the outstanding common stock of the Combined Company, which give effect to (a) Cyclerion net cash as of the closing of the Merger being $(2.5) million, (b) Korsana closing the Korsana Pre-Closing Financing for an aggregate gross purchase price of approximately $380.0 million, (c) a valuation for Cyclerion equal to $7.5 million based on net cash of $(2.5) million at closing, and (d) a valuation for Korsana equal to $268.4 million plus $380.0 million of assumed proceeds in the Korsana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 reverse recapitalization under U.S. GAAP. For further details related to the accounting for the Merger, please see Notes 1 and 3 below. All share amounts have been adjusted to reflect the estimated Exchange Ratio of 1.4735 shares of Cyclerion common stock for each share of Korsana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Cyclerion and Korsana as of March 31, 2026 and depicts the accounting of the Merger and Pre-Closing Financing transactions (collectively, the “transaction”) prepared pursuant to Article 11 of Regulation S-X. The unaudited pro forma condensed combined statements of operations for the three months ended March 31, 2026 for Cyclerion and Korsana and for the year ended December 31, 2025 for Cyclerion and Korsana, combine the historical results of Cyclerion and Korsana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Korsana as of and for the three months ended March 31, 2026,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Cyclerion as of and for the three months ended March 31, 2026,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Korsana as of and for the year ended December 31, 2025,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Cyclerion as of and for the year ended December 31, 2025, and the related notes included elsewhere in the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“Korsana’s Management’s Discussion and Analysis of Financial Condition and Results of Operation,” and other financial information relating to Korsana included elsewhere in the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 titled “Cyclerion’s Management’s Discussion and Analysis of Financial Condition and Results of Operations,” and other financial information relating to Cyclerion included elsewhere in the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Cyclerion and Korsana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 AS OF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18"/>
        <w:gridCol w:w="120"/>
        <w:gridCol w:w="195"/>
        <w:gridCol w:w="1220"/>
        <w:gridCol w:w="155"/>
        <w:gridCol w:w="60"/>
        <w:gridCol w:w="172"/>
        <w:gridCol w:w="988"/>
        <w:gridCol w:w="155"/>
        <w:gridCol w:w="60"/>
        <w:gridCol w:w="180"/>
        <w:gridCol w:w="1130"/>
        <w:gridCol w:w="155"/>
        <w:gridCol w:w="60"/>
        <w:gridCol w:w="177"/>
        <w:gridCol w:w="413"/>
        <w:gridCol w:w="271"/>
        <w:gridCol w:w="60"/>
        <w:gridCol w:w="170"/>
        <w:gridCol w:w="975"/>
        <w:gridCol w:w="171"/>
      </w:tblGrid>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1" w:type="dxa"/>
            <w:gridSpan w:val="10"/>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5(A)</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5(B)</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134,162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481,016</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(28,919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947</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11</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135,109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343,776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481,974</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1,097</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231</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96</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8,505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483,398</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457</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7,398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7,398</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160</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liability, related party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208</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8,223</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other liabilities, non-current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484</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937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937</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9,644</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Series Seed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Korsana Series A convertible preferred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Cyclerion Series B non-voting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24,964</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Cyclerion Series A convertible preferred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common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common stock</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22</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280,988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2,213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150,566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498,356</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379,986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(285,572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(49,240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(49,588</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285,272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(i)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6,791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(47,026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489,025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448,790</w:t>
            </w:r>
          </w:p>
        </w:tc>
        <w:tc>
          <w:tcPr>
            <w:tcW w:w="171" w:type="dxa"/>
            <w:tcBorders/>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8,505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337,195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483,398</w:t>
            </w:r>
          </w:p>
        </w:tc>
        <w:tc>
          <w:tcPr>
            <w:tcW w:w="171" w:type="dxa"/>
            <w:tcBorders/>
            <w:shd w:fill="CCEEFF" w:val="clear"/>
            <w:vAlign w:val="center"/>
          </w:tcPr>
          <w:p>
            <w:pPr>
              <w:pStyle w:val="TableContents"/>
              <w:bidi w:val="0"/>
              <w:spacing w:before="0" w:after="283"/>
              <w:jc w:val="left"/>
              <w:rPr/>
            </w:pPr>
            <w:r>
              <w:rPr/>
              <w:t> </w:t>
            </w:r>
          </w:p>
        </w:tc>
      </w:tr>
      <w:tr>
        <w:trPr/>
        <w:tc>
          <w:tcPr>
            <w:tcW w:w="3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THREE MONTHS ENDED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1"/>
        <w:gridCol w:w="120"/>
        <w:gridCol w:w="255"/>
        <w:gridCol w:w="1160"/>
        <w:gridCol w:w="155"/>
        <w:gridCol w:w="60"/>
        <w:gridCol w:w="145"/>
        <w:gridCol w:w="1015"/>
        <w:gridCol w:w="155"/>
        <w:gridCol w:w="60"/>
        <w:gridCol w:w="458"/>
        <w:gridCol w:w="852"/>
        <w:gridCol w:w="60"/>
        <w:gridCol w:w="120"/>
        <w:gridCol w:w="250"/>
        <w:gridCol w:w="250"/>
        <w:gridCol w:w="60"/>
        <w:gridCol w:w="120"/>
        <w:gridCol w:w="140"/>
        <w:gridCol w:w="1220"/>
        <w:gridCol w:w="155"/>
        <w:gridCol w:w="60"/>
        <w:gridCol w:w="150"/>
        <w:gridCol w:w="350"/>
        <w:gridCol w:w="244"/>
      </w:tblGrid>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0" w:type="dxa"/>
            <w:gridSpan w:val="10"/>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r>
      <w:tr>
        <w:trPr/>
        <w:tc>
          <w:tcPr>
            <w:tcW w:w="25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6(A)</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6(B)</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44" w:type="dxa"/>
            <w:tcBorders/>
            <w:vAlign w:val="center"/>
          </w:tcPr>
          <w:p>
            <w:pPr>
              <w:pStyle w:val="TableContents"/>
              <w:bidi w:val="0"/>
              <w:spacing w:before="0" w:after="283"/>
              <w:jc w:val="left"/>
              <w:rPr/>
            </w:pPr>
            <w:r>
              <w:rPr/>
              <w:t> </w:t>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12,207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3,209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17,969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2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single" w:sz="2" w:space="1" w:color="000000"/>
              </w:pBdr>
              <w:bidi w:val="0"/>
              <w:spacing w:before="0" w:after="0"/>
              <w:jc w:val="left"/>
              <w:rPr/>
            </w:pPr>
            <w:r>
              <w:rPr/>
              <w:t> </w:t>
            </w:r>
          </w:p>
        </w:tc>
        <w:tc>
          <w:tcPr>
            <w:tcW w:w="8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(16,687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pBdr>
                <w:top w:val="double" w:sz="6" w:space="1" w:color="000000"/>
              </w:pBdr>
              <w:bidi w:val="0"/>
              <w:spacing w:before="0" w:after="0"/>
              <w:jc w:val="left"/>
              <w:rPr/>
            </w:pPr>
            <w:r>
              <w:rPr/>
              <w:t> </w:t>
            </w:r>
          </w:p>
        </w:tc>
        <w:tc>
          <w:tcPr>
            <w:tcW w:w="8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5,000,000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360,743,680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44" w:type="dxa"/>
            <w:tcBorders/>
            <w:vAlign w:val="center"/>
          </w:tcPr>
          <w:p>
            <w:pPr>
              <w:pStyle w:val="TableContents"/>
              <w:bidi w:val="0"/>
              <w:spacing w:before="0" w:after="283"/>
              <w:jc w:val="left"/>
              <w:rPr/>
            </w:pPr>
            <w:r>
              <w:rPr/>
              <w:t>(d) </w:t>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44" w:type="dxa"/>
            <w:tcBorders/>
            <w:shd w:fill="CCEEFF" w:val="clear"/>
            <w:vAlign w:val="center"/>
          </w:tcPr>
          <w:p>
            <w:pPr>
              <w:pStyle w:val="TableContents"/>
              <w:bidi w:val="0"/>
              <w:spacing w:before="0" w:after="283"/>
              <w:jc w:val="left"/>
              <w:rPr/>
            </w:pPr>
            <w:r>
              <w:rPr/>
              <w:t>(d) </w:t>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sz w:val="4"/>
                <w:szCs w:val="4"/>
              </w:rPr>
            </w:pPr>
            <w:r>
              <w:rPr>
                <w:sz w:val="4"/>
                <w:szCs w:val="4"/>
              </w:rPr>
            </w:r>
          </w:p>
        </w:tc>
        <w:tc>
          <w:tcPr>
            <w:tcW w:w="8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4" w:type="dxa"/>
            <w:tcBorders/>
            <w:shd w:fill="CCEEFF" w:val="clear"/>
            <w:vAlign w:val="center"/>
          </w:tcPr>
          <w:p>
            <w:pPr>
              <w:pStyle w:val="TableContents"/>
              <w:bidi w:val="0"/>
              <w:spacing w:before="0" w:after="283"/>
              <w:jc w:val="left"/>
              <w:rPr>
                <w:sz w:val="4"/>
                <w:szCs w:val="4"/>
              </w:rPr>
            </w:pPr>
            <w:r>
              <w:rPr>
                <w:sz w:val="4"/>
                <w:szCs w:val="4"/>
              </w:rPr>
            </w:r>
          </w:p>
        </w:tc>
      </w:tr>
      <w:tr>
        <w:trPr/>
        <w:tc>
          <w:tcPr>
            <w:tcW w:w="2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w:t>
      </w:r>
    </w:p>
    <w:p>
      <w:pPr>
        <w:pStyle w:val="TextBody"/>
        <w:bidi w:val="0"/>
        <w:spacing w:before="0" w:after="0"/>
        <w:jc w:val="center"/>
        <w:rPr>
          <w:rFonts w:ascii="Times New Roman" w:hAnsi="Times New Roman"/>
          <w:b/>
          <w:sz w:val="20"/>
        </w:rPr>
      </w:pPr>
      <w:r>
        <w:rPr>
          <w:rFonts w:ascii="Times New Roman" w:hAnsi="Times New Roman"/>
          <w:b/>
          <w:sz w:val="20"/>
        </w:rPr>
        <w:t xml:space="preserve">OPERATIONS FOR THE YEAR ENDED DECEMBER 31, 2025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1"/>
        <w:gridCol w:w="120"/>
        <w:gridCol w:w="255"/>
        <w:gridCol w:w="1160"/>
        <w:gridCol w:w="155"/>
        <w:gridCol w:w="60"/>
        <w:gridCol w:w="145"/>
        <w:gridCol w:w="1015"/>
        <w:gridCol w:w="155"/>
        <w:gridCol w:w="60"/>
        <w:gridCol w:w="236"/>
        <w:gridCol w:w="1074"/>
        <w:gridCol w:w="155"/>
        <w:gridCol w:w="60"/>
        <w:gridCol w:w="150"/>
        <w:gridCol w:w="350"/>
        <w:gridCol w:w="226"/>
        <w:gridCol w:w="60"/>
        <w:gridCol w:w="140"/>
        <w:gridCol w:w="1220"/>
        <w:gridCol w:w="155"/>
        <w:gridCol w:w="60"/>
        <w:gridCol w:w="150"/>
        <w:gridCol w:w="350"/>
        <w:gridCol w:w="243"/>
      </w:tblGrid>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1" w:type="dxa"/>
            <w:gridSpan w:val="10"/>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r>
      <w:tr>
        <w:trPr/>
        <w:tc>
          <w:tcPr>
            <w:tcW w:w="245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6(C)</w:t>
              <w:br/>
              <w:t>Cyclerion</w:t>
              <w:br/>
              <w:t>Therapeutics,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6(D)</w:t>
              <w:br/>
              <w:t>Korsana</w:t>
              <w:br/>
              <w:t>Biosciences</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243" w:type="dxa"/>
            <w:tcBorders/>
            <w:vAlign w:val="center"/>
          </w:tcPr>
          <w:p>
            <w:pPr>
              <w:pStyle w:val="TableContents"/>
              <w:bidi w:val="0"/>
              <w:spacing w:before="0" w:after="283"/>
              <w:jc w:val="left"/>
              <w:rPr/>
            </w:pPr>
            <w:r>
              <w:rPr/>
              <w:t> </w:t>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license agreements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from option agreement</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32,785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33,744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4,506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513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2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2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347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2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45,453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(1,115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(43,379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from insurance recovery</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101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(1,115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(40,285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double" w:sz="6" w:space="1" w:color="000000"/>
              </w:pBdr>
              <w:bidi w:val="0"/>
              <w:spacing w:before="0" w:after="0"/>
              <w:jc w:val="left"/>
              <w:rPr/>
            </w:pPr>
            <w:r>
              <w:rPr/>
              <w:t> </w:t>
            </w:r>
          </w:p>
        </w:tc>
        <w:tc>
          <w:tcPr>
            <w:tcW w:w="107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2,920,548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359,719,680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6</w:t>
            </w:r>
          </w:p>
        </w:tc>
        <w:tc>
          <w:tcPr>
            <w:tcW w:w="243" w:type="dxa"/>
            <w:tcBorders/>
            <w:vAlign w:val="center"/>
          </w:tcPr>
          <w:p>
            <w:pPr>
              <w:pStyle w:val="TableContents"/>
              <w:bidi w:val="0"/>
              <w:spacing w:before="0" w:after="283"/>
              <w:jc w:val="left"/>
              <w:rPr/>
            </w:pPr>
            <w:r>
              <w:rPr/>
              <w:t>(d) </w:t>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6</w:t>
            </w:r>
          </w:p>
        </w:tc>
        <w:tc>
          <w:tcPr>
            <w:tcW w:w="243" w:type="dxa"/>
            <w:tcBorders/>
            <w:shd w:fill="CCEEFF" w:val="clear"/>
            <w:vAlign w:val="center"/>
          </w:tcPr>
          <w:p>
            <w:pPr>
              <w:pStyle w:val="TableContents"/>
              <w:bidi w:val="0"/>
              <w:spacing w:before="0" w:after="283"/>
              <w:jc w:val="left"/>
              <w:rPr/>
            </w:pPr>
            <w:r>
              <w:rPr/>
              <w:t>(d) </w:t>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015" w:type="dxa"/>
            <w:tcBorders/>
            <w:vAlign w:val="center"/>
          </w:tcPr>
          <w:p>
            <w:pPr>
              <w:pStyle w:val="TableContents"/>
              <w:bidi w:val="0"/>
              <w:spacing w:before="0" w:after="283"/>
              <w:jc w:val="right"/>
              <w:rPr/>
            </w:pPr>
            <w:r>
              <w:rPr/>
              <w:t>(12.20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(103.51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243" w:type="dxa"/>
            <w:tcBorders/>
            <w:shd w:fill="CCEEFF" w:val="clear"/>
            <w:vAlign w:val="center"/>
          </w:tcPr>
          <w:p>
            <w:pPr>
              <w:pStyle w:val="TableContents"/>
              <w:bidi w:val="0"/>
              <w:spacing w:before="0" w:after="283"/>
              <w:jc w:val="left"/>
              <w:rPr>
                <w:sz w:val="4"/>
                <w:szCs w:val="4"/>
              </w:rPr>
            </w:pPr>
            <w:r>
              <w:rPr>
                <w:sz w:val="4"/>
                <w:szCs w:val="4"/>
              </w:rPr>
            </w:r>
          </w:p>
        </w:tc>
      </w:tr>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101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111069_35"/>
      <w:bookmarkEnd w:id="37"/>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Korsana entered into the Merger Agreement with Cyclerion, Cariboos Merger Sub Corp and Cariboos Merger Sub II, LLC, which agreement was subsequently amended on April 17, 2026, pursuant to which, and subject to the satisfaction or waiver of the conditions set forth in the Merger Agreement, Cariboos Merger Sub Corp will merge with and into Korsana, with Korsana surviving as a wholly owned subsidiary of Cyclerion and the surviving corporation of the First Merger, and, immediately following the First Merger and as part of the same overall transaction, Korsana will merge with and into Cariboos Merger Sub II, LLC, with Cariboos Merger Sub II, LLC being the surviving entity of the Second Merger. The Merger, including the Korsana Pre-Closing Financing, is expected to close during the third quarter of 2026 following the effectiveness of Cyclerion’s registration statement on Form S-4 and receipt of approval by the stockholders of each of Korsana and Cyclerion, in the latter case pursuant to the Cyclerion Special Meeting. In connection with the Merger, Cariboos Merger Sub II, LLC will change its corporate name to “Korsana Biosciences Operating Company, LLC” and Cyclerion changed its name to “Korsana Biosciences, Inc.” Cyclerion following the Merger is referred to herein as the “Combined Company.” Subject to the terms and conditions of the Merger Agreement, at closing of the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common stock (including shares of Korsana common stock issued in connection with the Korsana Pre-Closing Financing) will be converted into the right to receive a number of shares of Cyclerion common stock equal to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Cyclerion Series A preferred stock will be automatically converted solely into the right to receive a number of shares of Cyclerion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c)</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Series Seed preferred stock will be converted into the right to receive a number of shares of newly created Cyclerion Series B non-voting preferred stock, which are each convertible into 1,000 shares of Cyclerion common stock, equal to the Exchange Ratio divided by 1,000;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d)</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each-then-outstanding share of Korsana Series A preferred stock will be automatically converted into the right to receive to a number of shares of Cyclerion common stock equal to the Exchange Ratio, as well a right to receive a pre-funded warrant to purchase Korsana common stock that will be converted into a pre-funded warrant to purchase Cyclerion common stock, subject to adjustment as set forth in the form of the pre-funded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option to purchase Korsana common stock will be assumed by Cyclerion and will be converted into an option to purchase shares of Cyclerion common stock, adjusted for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f)</w:t>
            </w:r>
          </w:p>
        </w:tc>
        <w:tc>
          <w:tcPr>
            <w:tcW w:w="99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warrant to purchase shares of Korsana common stock will be converted into a warrant to purchase shares of Cyclerion common stock, adjusted for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g)</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share of Korsana restricted stock will be assumed by Cyclerion, subject to adjustment as set forth in the Merger Agreement;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h)</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then-outstanding pre-funded warrant to purchase shares of Korsana common stock will be converted into a pre-funded warrant to purchase shares of Cyclerion common stock, subject to adjustment as set forth in the form of pre-funded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Korsana restricted stock outstanding and unvested immediately prior to Closing (“Korsana Restricted Stock”) that is assumed by Cyclerion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Cyclerion Board will take actions to accelerate the vesting of certain outstanding equity awards including options to purchase Cyclerion common stock and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held by a current employee, director or consultant of Cyclerion as of the closing of the Merger. The acceleration of vesting of Cyclerion options and restricted stock awards occurs upon a modification of the awards as a result of the Merger. The incremental fair value associated with the modification to accelerate vesting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option to acquire shares of Cyclerion common stock with an exercise price less than or equal to the Cyclerion Closing Price will be cancelled and converted into the right to receive an amount in cash, without interest, less any applicable tax withholding, equal to the product obtained by multiplying (A) the excess of the Cyclerion Closing Price over the exercise price per share of Cyclerion common stock underlying such Cyclerion option by (B) the number of shares of Cyclerion common stock underlying such Cyclerion option, and each option with an exercise price greater than the Cyclerion Closing Price to acquire shares of Cyclerion common stock will be cancelled for no consideration. The incremental fair value of Cyclerion options associated with the modification to accelerate vesting and the cancelation of certain stock options for no consideration has been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Cyclerion securityholders as of immediately prior to the Merger will own approximately 1.1% of the outstanding capital stock of the Combined Company on a fully diluted basis, former Korsana securityholders, excluding shares purchased in the Korsana Pre-Closing Financing, will own approximately 45.5% of the outstanding capital stock of the Combined Company on a fully diluted basis, and shares and pre-funded warrants issued in the Korsana Pre-Closing Financing will own approximately 53.4% of the outstanding capital stock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Korsana stockholders are expected to receive approximately 440,362,379 shares on a fully diluted basis in connection with the Merger, including (i) 52,729,010 shares of Cyclerion common stock and stock options subject to vesting terms, based on the number of shares of Korsana common stock outstanding immediately prior to the Merger, including Korsana restricted stock, (ii) the shares of common stock and pre-funded warrants issued in the Korsana Pre-Closing Financing, (iii) Korsana Series Seed non-voting preferred stock as of March 31, 2026, which will be exchanged into shares of newly created Cyclerion Series B non-voting Preferred Stock, which will be convertible into 1,000 shares of Cyclerion common stock, equal to the Exchange Ratio divided by 1,000, and (iv) Korsana Series A preferred stock outstanding as of March 31, 2026, which will be convertible into shares of Cyclerion common stock, as well as a right to receive a pre-funded warrant to purchase Korsana common stock that will be converted into a pre-funded warrant to purchase shares of Cyclerion common stock, subject to adjustment set forth the form of the pre-funded warrant. These estimates are subject to certain inputs, which include, but are not limited to, (a) Cyclerion’s net cash as of the closing of the Merger being approximately $(2.5) million, (b) Korsana closing the Korsana Pre-Closing Financing for an aggregate purchase price of approximately $380.0 million, (c) a valuation for Cyclerion equal to $7.5 million based on net cash of $(2.5) million at closing, and (d) a valuation for Korsana equal to $268.4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9126" w:type="dxa"/>
        <w:jc w:val="left"/>
        <w:tblInd w:w="0" w:type="dxa"/>
        <w:tblLayout w:type="fixed"/>
        <w:tblCellMar>
          <w:top w:w="0" w:type="dxa"/>
          <w:left w:w="0" w:type="dxa"/>
          <w:bottom w:w="0" w:type="dxa"/>
          <w:right w:w="0" w:type="dxa"/>
        </w:tblCellMar>
      </w:tblPr>
      <w:tblGrid>
        <w:gridCol w:w="4610"/>
        <w:gridCol w:w="120"/>
        <w:gridCol w:w="124"/>
        <w:gridCol w:w="2551"/>
        <w:gridCol w:w="95"/>
        <w:gridCol w:w="191"/>
        <w:gridCol w:w="109"/>
        <w:gridCol w:w="1036"/>
        <w:gridCol w:w="290"/>
      </w:tblGrid>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center"/>
          </w:tcPr>
          <w:p>
            <w:pPr>
              <w:pStyle w:val="TableContents"/>
              <w:bidi w:val="0"/>
              <w:spacing w:before="0" w:after="283"/>
              <w:jc w:val="center"/>
              <w:rPr/>
            </w:pPr>
            <w:r>
              <w:rPr>
                <w:b/>
              </w:rPr>
              <w:t>Pro Forma</w:t>
            </w:r>
            <w:r>
              <w:rPr/>
              <w:br/>
            </w:r>
            <w:r>
              <w:rPr>
                <w:b/>
              </w:rPr>
              <w:t>(Assuming Cyclerion’s Net Cash</w:t>
            </w:r>
            <w:r>
              <w:rPr/>
              <w:br/>
            </w:r>
            <w:r>
              <w:rPr>
                <w:b/>
              </w:rPr>
              <w:t>at Closing of $(2.5) million)</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(fully diluted bas is)</w:t>
              <w:br/>
              <w:t>Upon Consummation of the Merger</w:t>
            </w:r>
          </w:p>
        </w:tc>
        <w:tc>
          <w:tcPr>
            <w:tcW w:w="120" w:type="dxa"/>
            <w:tcBorders/>
            <w:vAlign w:val="center"/>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Owned</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9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Korsana stockholders(1)</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right"/>
              <w:rPr/>
            </w:pPr>
            <w:r>
              <w:rPr/>
              <w:t>202,440,445</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45.5</w:t>
            </w:r>
          </w:p>
        </w:tc>
        <w:tc>
          <w:tcPr>
            <w:tcW w:w="29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stockholders</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right"/>
              <w:rPr/>
            </w:pPr>
            <w:r>
              <w:rPr/>
              <w:t>4,681,351</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Agreement(2)</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51" w:type="dxa"/>
            <w:tcBorders/>
            <w:shd w:fill="CCEEFF" w:val="clear"/>
            <w:vAlign w:val="center"/>
          </w:tcPr>
          <w:p>
            <w:pPr>
              <w:pStyle w:val="TableContents"/>
              <w:bidi w:val="0"/>
              <w:spacing w:before="0" w:after="283"/>
              <w:jc w:val="right"/>
              <w:rPr/>
            </w:pPr>
            <w:r>
              <w:rPr/>
              <w:t>237,921,934</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53.4</w:t>
            </w:r>
          </w:p>
        </w:tc>
        <w:tc>
          <w:tcPr>
            <w:tcW w:w="29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single" w:sz="2" w:space="1" w:color="000000"/>
              </w:pBdr>
              <w:bidi w:val="0"/>
              <w:spacing w:before="0" w:after="0"/>
              <w:jc w:val="left"/>
              <w:rPr/>
            </w:pPr>
            <w:r>
              <w:rPr/>
              <w:t> </w:t>
            </w:r>
          </w:p>
        </w:tc>
        <w:tc>
          <w:tcPr>
            <w:tcW w:w="2551" w:type="dxa"/>
            <w:tcBorders/>
            <w:vAlign w:val="center"/>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36"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551" w:type="dxa"/>
            <w:tcBorders/>
            <w:vAlign w:val="center"/>
          </w:tcPr>
          <w:p>
            <w:pPr>
              <w:pStyle w:val="TableContents"/>
              <w:bidi w:val="0"/>
              <w:spacing w:before="0" w:after="283"/>
              <w:jc w:val="right"/>
              <w:rPr/>
            </w:pPr>
            <w:r>
              <w:rPr/>
              <w:t>445,043,730</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double" w:sz="6" w:space="1" w:color="000000"/>
              </w:pBdr>
              <w:bidi w:val="0"/>
              <w:spacing w:before="0" w:after="0"/>
              <w:jc w:val="left"/>
              <w:rPr/>
            </w:pPr>
            <w:r>
              <w:rPr/>
              <w:t> </w:t>
            </w:r>
          </w:p>
        </w:tc>
        <w:tc>
          <w:tcPr>
            <w:tcW w:w="2551" w:type="dxa"/>
            <w:tcBorders/>
            <w:vAlign w:val="center"/>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36"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8,504,226 pre-funded warrants issued upon the conversion of Series A preferred stock after reflecting the estimated Exchange Ratio.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30,189,450 pre-funded warrants issued in the Korsana Pre-Closing Financing after reflecting the estimated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 stockholders of the issuance of Cyclerion common stock, including shares of Cyclerion common stock issuable upon conversion of the Cyclerion Preferred Stock, and the other transactions proposed under the Merger Agreement, (2) approval by the requisite Korsana stockholders of the adoption and approval of the Merger Agreement and the transactions contemplated thereby, (3) Nasdaq’s approval of the listing application to be submitted in connection with the Merger, and (4) the effectiveness of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agreement for Cyclerion’s employee includes entitlement to a transaction bonus and severance of which will be treated as pre-Merger compensation expense of Cyclerion, which will be assumed by the Combined Company at the closing of the Merger to the extent they are not yet settled in cash beforehand by Cyclerion. Additionally, Cyclerion’s current Directors &amp; Officers (“D&amp;O”) policy will be fully utilized at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 —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April 1, 2026, Korsana and Cyclerion entered into the Subscription Agreement with certain institutional and accredited investors, pursuant to which such investors have agreed, subject to the terms and conditions of such agreements, to purchase immediately prior to the consummation of the Merger, 140,978,969 shares of Korsana common stock and 20,488,264 pre-funded warrants before giving effect to the Exchange Ratio, at an purchase price of $2.3534 per share and $2.3533 per warrant, for an aggregate purchase price of $380.0 million in a private placement. The closing of the Korsana Pre-Closing Financing is conditioned on the satisfaction or waiver of the conditions set forth in the Merger Agreement and is expected to occur immediately prior to the closing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Effective Time of the Merger, Cyclerion will enter into a Contingent Value Rights Agreement (“CVR Agreement”) whereby which Cyclerion’s pre-Merger shareholders will receive one contingent value right (each a “CVR”)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anniversary of the Closing Date, (ii) with respect to Cyclerion’s right to receive payments under that License Agreement, dated June 3, 2021, between Cyclerion and Akebia Therapeutics, Inc. (the “Akebia License Agreement”), the earlier of (A) the fifteenth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(“Tisento”) that were acquired by Cyclerion pursuant to that certain Asset Purchase Agreement, dated May 13, 2023, by and among Cyclerion, Tisento and JW Cycle, Inc., the earliest of (A) nine months following the date of the consummation of Tisento’s initial public offering pursuant to a registration statement filed with, and declared effective by, the Securities and Exchange Commission pursuant to the Securities Act, (B) the sale of Tisento, and (C) the seventh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Legacy Asset CVR and the Tisento CVR payments are not probable or reasonably estimable at this time. The Company will continue to assess probability for both CVR payments on a quarterly basis and will record a derivative liability when probable and reasonably estimable. Additionally,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preliminarily determined that the fair value of Tisento investment is not material given the current lack of observable pricing, the early state of Tisento’s development activities and the significant uncertainty regarding its potential value. Therefore, the Company has reduced the Tisento investment to zero for purposes of the pro forma financial information as presented in adjustment 5(h) below. The Company will continue to assess observable and unobservable data points to consider fair value estimates through closing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data for the three months ended March 31, 2026 and the unaudited proforma condensed combined statement of operations for the year ended December 31, 2025 give effect to the Merger as if it had been consummated on January 1, 2025. The unaudited pro forma condensed combined balance sheet as of March 31, 2026 gives effect to the Merger and combines the historical balance sheets of Cyclerion and Korsana if the Merger had been consummated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Cyclerion net cash to be assumed at the closing date, and (iii) other changes in Cyclerion’s assets and liabilities, which are expected to be completed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is not aware of any material differences between Korsana’s accounting policies and the accounting policies of Cyclerion. Following the consummation of the Merger, Korsana will conduct a more detailed review of Cyclerion’s accounting policies. As a result, Korsana may identify differences between the accounting policies of the two companies that, when conformed, could have had a material impact on the accompanying unaudited pro forma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 reverse recapitalization of Cyclerion by Korsana, as the transaction is, in essence, the issuance of equity for Cyclerion’s net assets, which will primarily consist of nominal operations and nominal other net assets immediately before the Merger. Under this method of accounting, Korsana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Merger, Korsana is not a variable interest entity as it has sufficient equity at risk in order to fund its next development milestones;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stockholders own a substantial majority of the voting rights in the Combined Company through existing ownership and additional interest through the Subscription Agreement;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largest stockholder retains the largest interest in the Combined Company (18.0%);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designated the initial members of the Combined Company board of directors;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Korsana’s executive management team became the management of the Combined Company; and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“Korsana Biosciences,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Korsana being the accounting acquirer, Korsana’s assets and liabilities will be recorded at their pre-combination carrying amounts. Cyclerion’s assets and liabilities will be measured and recognized at their fair values as of the effective time of the Merger. The Company has preliminarily determined that the fair value of Tisento investment is not material given the current lack of observable pricing, the early state of Tisento’s development activities and the significant uncertainty regarding its potential value. Therefore, the Company has reduced the carrying value of the Tisento investment to $0 for purposes of the pro forma financial information as presented in adjustment 5(h) below. The Company will continue to assess observable and unobservable data points to consider fair value estimates through closing of the transaction. The Company determined that the carrying value of the other acquired operating assets and liabilities approximates fair value, with no goodwill or other intangible assets recorded. Any difference between the consideration transferred and the fair value of the net assets of Cyclerion following the determination of the actual consideration transferred for Cyclerion will be reflected as an adjustment to additional paid-in capital. For periods prior to closing of the Merger, the historical financial statements of Korsana will become the historical financial statements of the Combined Company. The Merger will not be accounted for as a business combination under Accounting Standard Codification No. 805, Business Combinations.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Cyclerion Common Stock, Convertible Preferred Stock, Options, and Warrants Issued to Korsana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Korsana common stock, on a fully-diluted basis, will be exchanged for shares of Cyclerion common stock based on the Exchange Ratio of 1.4735 shares of Cyclerion common stock for each share of Korsana common stock, determined in accordance with the terms of the Merger Agreement. Each share of Korsana Series Seed preferred stock will be convertible into the right to receive a number of shares of newly created Cyclerion Series B non-voting Preferred Stock, equal to the Exchange Ratio divided by 1,000 (and each such share of newly created Cyclerion Series B non-voting Preferred Stock has the right to convert into 1,000 shares of Cyclerion common stock, subject to certain limitations). The estimated number of shares of Cyclerion common stock that Cyclerion expects to issue to Korsana’s stockholders assumes Cyclerion net cash at the closing of the Merger is $(2.5) million and is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outstanding as of March 31, 2026 (l)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non-voting convertible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20,000,000</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69,728,554</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convertible preferred stock to be issued in exchange of Korsana pre-funded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5,771,446</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stock options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34,784,918</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Korsana common stock to be issued upon exercise of Korsana warrants(3)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1,102,535</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Korsana common stock to be issued in connection with the Subscription Agreements, see Note 5(c)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140,978,969</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Korsana pre-funded warrants to be issued in connection with the Subscription Agreements, see Note 5(c)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20,488,264</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Korsana fully diluted shares prior to the closing of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298,854,686</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1.4735</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Korsana stockholders and Investors participating in Subscription Agreements upon closing of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440,362,379</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Korsana common stock outstanding as of March 31, 2026, including 1,000,000 shares of unvested Korsana restricted stock. </w:t>
            </w:r>
          </w:p>
        </w:tc>
      </w:tr>
    </w:tbl>
    <w:tbl>
      <w:tblPr>
        <w:tblW w:w="7840" w:type="dxa"/>
        <w:jc w:val="left"/>
        <w:tblInd w:w="0" w:type="dxa"/>
        <w:tblLayout w:type="fixed"/>
        <w:tblCellMar>
          <w:top w:w="0" w:type="dxa"/>
          <w:left w:w="0" w:type="dxa"/>
          <w:bottom w:w="0" w:type="dxa"/>
          <w:right w:w="0" w:type="dxa"/>
        </w:tblCellMar>
      </w:tblPr>
      <w:tblGrid>
        <w:gridCol w:w="305"/>
        <w:gridCol w:w="7535"/>
      </w:tblGrid>
      <w:tr>
        <w:trPr/>
        <w:tc>
          <w:tcPr>
            <w:tcW w:w="305" w:type="dxa"/>
            <w:tcBorders/>
            <w:vAlign w:val="center"/>
          </w:tcPr>
          <w:p>
            <w:pPr>
              <w:pStyle w:val="TableContents"/>
              <w:bidi w:val="0"/>
              <w:spacing w:before="0" w:after="283"/>
              <w:jc w:val="left"/>
              <w:rPr/>
            </w:pPr>
            <w:r>
              <w:rPr/>
              <w:t>(2)</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options as of March 31, 2026 to acquire Korsana common stock. </w:t>
            </w:r>
          </w:p>
        </w:tc>
      </w:tr>
    </w:tbl>
    <w:tbl>
      <w:tblPr>
        <w:tblW w:w="7900" w:type="dxa"/>
        <w:jc w:val="left"/>
        <w:tblInd w:w="0" w:type="dxa"/>
        <w:tblLayout w:type="fixed"/>
        <w:tblCellMar>
          <w:top w:w="0" w:type="dxa"/>
          <w:left w:w="0" w:type="dxa"/>
          <w:bottom w:w="0" w:type="dxa"/>
          <w:right w:w="0" w:type="dxa"/>
        </w:tblCellMar>
      </w:tblPr>
      <w:tblGrid>
        <w:gridCol w:w="305"/>
        <w:gridCol w:w="7595"/>
      </w:tblGrid>
      <w:tr>
        <w:trPr/>
        <w:tc>
          <w:tcPr>
            <w:tcW w:w="305" w:type="dxa"/>
            <w:tcBorders/>
            <w:vAlign w:val="center"/>
          </w:tcPr>
          <w:p>
            <w:pPr>
              <w:pStyle w:val="TableContents"/>
              <w:bidi w:val="0"/>
              <w:spacing w:before="0" w:after="283"/>
              <w:jc w:val="left"/>
              <w:rPr/>
            </w:pPr>
            <w:r>
              <w:rPr/>
              <w:t>(3)</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as of March 31, 2026 to acquire Korsana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Adjustments to Unaudited Pro Forma Condensed Combined Balance Sheet as of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Cyclerion as of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5(B) Derived from the unaudited balance sheet of Korsana as of March 31,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5(a) To reflect incremental compensation expense of $0.5 million related to severance payments resulting from pre-existing employment agreement or from approval from the Cyclerion Board that will be incurred prior to the closing of the Merger. The pro forma adjustment is reflected as a decrease in cash of $0.5 million for the severance payments made subsequent to March 31, 2026 and an increase to accumulated deficit of $0.5 million. </w:t>
      </w:r>
    </w:p>
    <w:p>
      <w:pPr>
        <w:pStyle w:val="TextBody"/>
        <w:bidi w:val="0"/>
        <w:spacing w:before="240" w:after="0"/>
        <w:jc w:val="left"/>
        <w:rPr>
          <w:rFonts w:ascii="Times New Roman" w:hAnsi="Times New Roman"/>
          <w:sz w:val="20"/>
        </w:rPr>
      </w:pPr>
      <w:r>
        <w:rPr>
          <w:rFonts w:ascii="Times New Roman" w:hAnsi="Times New Roman"/>
          <w:sz w:val="20"/>
        </w:rPr>
        <w:t xml:space="preserve">5(b) To reflect the conversion of all outstanding shares of Korsana Series A preferred stock, with a carrying amount of $150.6 million, to Cyclerion common stock and pre-funded warrants, as well as to reflect the reclassification of all outstanding Korsana Series Seed preferred stock, with a carrying value of $25.0 million, to newly created Cyclerion Series B preferred stock outside of stockholder’s equity (deficit). The Company’s Series B Non-Voting Convertible Preferred Stock are classified within temporary (mezzanine) equity under ASC 480 and ASC 480-10-S99. Although the Series B Preferred Stock is not mandatorily redeemable, certain provisions may require the Company to transfer cash or other assets upon the occurrence of events not solely within the Company’s control. For example, the Series B Preferred Stock includes fundamental transaction provisions pursuant to which, upon the occurrence of certain merger, change-in-control, or other similar transactions, holders may receive cash or other non-equity consideration in lieu of common shares. The occurrence of such transactions is not solely within the control of the Company and may involve shareholder approval. The conversion of the Korsana Series A preferred stock is recorded at the issuance of Cyclerion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5(c) To reflect the issuance of 140,978,969 shares of Korsana common stock and 20,488,264 pre-funded warrants, prior to giving effect to the Exchange Ratio, pursuant to the Subscription Agreement, for an aggregate purchase price of $380.0 million. The issuance of shares in connection with the Subscription Agreement are recorded as the issuance of Korsana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5(d) To reflect estimated transaction costs of $28.9 million, not yet reflected in the historical financial statements, that are expected to be incurred by Korsana in connection with the Merger and Pre-Closing Financing, and $1.2 million reflected in the historical financial statements as deferred offering costs,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advisory, legal and auditor fees, as a reduction in cash in the unaudited pro forma condensed combined balance sheet. As the Merger will be accounted for as a reverse recapitalization equivalent to the issuance of equity for the net assets of Cyclerion,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5(e) To reflect estimated transaction costs of $5.3 million, not yet reflected in the historical financial statements, which are expected to be incurred by Cyclerion in connection with the Merger, such as advisory, legal and auditor fees and including the estimated $0.7 million cost of a D&amp;O tail policy, as a reduction in cash and an increase in accumulated deficit of $5.3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5(f) To derecognize $0.3 million of Cyclerion’s prepaid expenses and other current assets consisting of $0.2 million of prepaid expenses related to software that will not be fully utilized and $0.1 million of prepaid insurance primarily related to the current Cyclerion’s D&amp;O insurance policy that will be fully utilized at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5(g) To derecognize $1.3 million of Cyclerion’s accrued expenses consisting of $0.2 million of accrued research and development and $1.1 million of accrued professional and consulting fees that will be paid prior to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5(h) To reflect the elimination of Cyclerion’s historical equity investment of $5.3 million given the current lack of observable pricing, the early state of Tisento’s development activities and the significant uncertainty regarding its potential value. The Company has preliminarily determined the fair value of the Tisento investment to be $0 and will continue to assess observable and unobservable data points to consider fair value estimates through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recapitalization of Korsana and the derecognition of accumulated other comprehensive income and the accumulated deficit of Cyclerion, which is reversed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Cyclerion of $285.6 million is determined as follows (in thousands): </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6395"/>
        <w:gridCol w:w="120"/>
        <w:gridCol w:w="140"/>
        <w:gridCol w:w="800"/>
        <w:gridCol w:w="75"/>
      </w:tblGrid>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 of Cyclerion as of March 31, 2026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274,197</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Cyclerion severance payments, see Note 5(a)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513</w:t>
            </w:r>
          </w:p>
        </w:tc>
        <w:tc>
          <w:tcPr>
            <w:tcW w:w="75"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Cyclerion, see Note 5(e)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5,257</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Derecognition of Cyclerion prepaid expenses, see Note 5(f)</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w:t>
            </w:r>
          </w:p>
        </w:tc>
        <w:tc>
          <w:tcPr>
            <w:tcW w:w="75"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equity investment, see Note 5(h)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5,350</w:t>
            </w:r>
          </w:p>
        </w:tc>
        <w:tc>
          <w:tcPr>
            <w:tcW w:w="75" w:type="dxa"/>
            <w:tcBorders/>
            <w:shd w:fill="CCEEFF" w:val="clear"/>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Cyclerion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285,572</w:t>
            </w:r>
          </w:p>
        </w:tc>
        <w:tc>
          <w:tcPr>
            <w:tcW w:w="75" w:type="dxa"/>
            <w:tcBorders/>
            <w:vAlign w:val="center"/>
          </w:tcPr>
          <w:p>
            <w:pPr>
              <w:pStyle w:val="TableContents"/>
              <w:bidi w:val="0"/>
              <w:spacing w:before="0" w:after="283"/>
              <w:jc w:val="left"/>
              <w:rPr/>
            </w:pPr>
            <w:r>
              <w:rPr/>
              <w:t> </w:t>
            </w:r>
          </w:p>
        </w:tc>
      </w:tr>
      <w:tr>
        <w:trPr/>
        <w:tc>
          <w:tcPr>
            <w:tcW w:w="6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5(j) To reflect the one-time postcombination stock compensation expense of $0.3 million in general and administrative expense related to the acceleration of equity awards pursuant to a modification to accelerate vesting of certain Cyclerion stock options and restricted stock awards per the terms of the Merger Agreement, and a one-time cash payment of less than $0.1 million to settle certain in-the-money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65" w:type="dxa"/>
        <w:jc w:val="left"/>
        <w:tblInd w:w="0" w:type="dxa"/>
        <w:tblLayout w:type="fixed"/>
        <w:tblCellMar>
          <w:top w:w="0" w:type="dxa"/>
          <w:left w:w="0" w:type="dxa"/>
          <w:bottom w:w="0" w:type="dxa"/>
          <w:right w:w="0" w:type="dxa"/>
        </w:tblCellMar>
      </w:tblPr>
      <w:tblGrid>
        <w:gridCol w:w="215"/>
        <w:gridCol w:w="9350"/>
      </w:tblGrid>
      <w:tr>
        <w:trPr/>
        <w:tc>
          <w:tcPr>
            <w:tcW w:w="215" w:type="dxa"/>
            <w:tcBorders/>
            <w:vAlign w:val="center"/>
          </w:tcPr>
          <w:p>
            <w:pPr>
              <w:pStyle w:val="TableContents"/>
              <w:bidi w:val="0"/>
              <w:spacing w:before="0" w:after="283"/>
              <w:jc w:val="left"/>
              <w:rPr>
                <w:b/>
              </w:rPr>
            </w:pPr>
            <w:r>
              <w:rPr>
                <w:b/>
              </w:rPr>
              <w:t>6.</w:t>
            </w:r>
          </w:p>
        </w:tc>
        <w:tc>
          <w:tcPr>
            <w:tcW w:w="93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and Comprehensive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and comprehensive loss of Cyclerion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 of operations and comprehensive loss of Korsana for the three months ended March 31,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Cyclerion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consolidated statement of operations and comprehensive loss of Korsana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Korsana and Cyclerion did not record any provision or benefit for income taxes during the year ended December 31, 2025 nor for the three months ended March 31, 2026 because each company incurred a pre-tax loss in 2025 and expects to incur a pre-tax loss in 2026 and each company maintained a full valuation allowance on its deferred tax assets. Accordingly, the Company has not reflected any income tax effects related to the pro forma adjustments as it continues to expect a full valuation allowance will be required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Statements of Operations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6(a) To reflect incremental compensation expense related to severance payments recorded in general and administrative expenses of $0.5 million, resulting from pre-existing employment agreement or from approval from the Cyclerion Board that will be incurred upon the closing of the Merger, corresponding to the adjustment described in Note 5(a)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derecognition of Cyclerion’s prepaid expenses and other current assets of $0.3 million related to $0.2 million of software that will not be fully utilized, and prepaid insurance of $0.1 million primarily related to the current Cyclerion D&amp;O policy that will be fully utilized at the closing of the Merger, corresponding to the adjustment made in Note 5(f)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6(c) To reflect the one-time postcombination stock compensation expense of $0.3 million in general and administrative expense pursuant to a modification to accelerate vesting of certain stock options and restricted stock awards, and the one-time cash payment above fair value to settle certain in-the-money stock options corresponding to the adjustment made in Note 5(j) as if it was made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6(d) The pro forma combined basic and diluted net loss per share has been adjusted to reflect the pro forma net loss for the three months ended March 31, 2026 and the year ended December 31, 2025. In addition, the number of shares used in calculating the pro forma combined basic and diluted net loss per share has been adjusted to reflect the estimated total number of shares of common stock of the Combined Company for the respective periods. Pro forma weighted average shares outstanding includes the pre-funded warrants related to the Subscription Agreement as the exercise price is negligible and they are fully vested and exercisable. Shares of newly created Cyclerion Series B non-voting Preferred Stock share the same characteristics as common stock and have no substantive preference attributed to them and, accordingly, have been considered a class of common stock in the computation of net loss per share regardless of their legal form. Net loss is allocated to common stock based on its proportional ownership on an as-converted basis. Net loss is not allocated to participating securities as they do not have an obligation to fund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 forma weighted average shares have been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60"/>
        <w:gridCol w:w="120"/>
        <w:gridCol w:w="200"/>
        <w:gridCol w:w="1755"/>
        <w:gridCol w:w="170"/>
      </w:tblGrid>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b/>
              </w:rPr>
            </w:pPr>
            <w:r>
              <w:rPr>
                <w:b/>
              </w:rPr>
              <w:t>Basic and Diluted</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(15,527</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(1,260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4,205,000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Cyclerion common stock issued to Korsana stockholders upon close of Merger, assuming consummation of the Merger as of January 1, 2025(1)</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356,538,680</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360,743,680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29,470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(42.76</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2245" w:type="dxa"/>
            <w:gridSpan w:val="4"/>
            <w:tcBorders/>
            <w:vAlign w:val="center"/>
          </w:tcPr>
          <w:p>
            <w:pPr>
              <w:pStyle w:val="TableContents"/>
              <w:bidi w:val="0"/>
              <w:spacing w:before="0" w:after="283"/>
              <w:jc w:val="left"/>
              <w:rPr>
                <w:sz w:val="4"/>
                <w:szCs w:val="4"/>
              </w:rPr>
            </w:pPr>
            <w:r>
              <w:rPr>
                <w:sz w:val="4"/>
                <w:szCs w:val="4"/>
              </w:rPr>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center"/>
              <w:rPr>
                <w:b/>
              </w:rPr>
            </w:pPr>
            <w:r>
              <w:rPr>
                <w:b/>
              </w:rPr>
              <w:t>Basic and Diluted</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(in thousands)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(37,235</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Series B non-voting convertible preferred stockholders (in thousands)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(3,050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 average number of Cyclerion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3,181,000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Cyclerion common stock issued to Korsana stockholders upon close of Merger, assuming consummation of the Merger as of January 1, 2025(1)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356,538,680</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359,719,680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Series B non-voting convertible preferred stock outstanding</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29,470</w:t>
            </w:r>
          </w:p>
        </w:tc>
        <w:tc>
          <w:tcPr>
            <w:tcW w:w="170" w:type="dxa"/>
            <w:tcBorders/>
            <w:vAlign w:val="center"/>
          </w:tcPr>
          <w:p>
            <w:pPr>
              <w:pStyle w:val="TableContents"/>
              <w:bidi w:val="0"/>
              <w:spacing w:before="0" w:after="283"/>
              <w:jc w:val="left"/>
              <w:rPr/>
            </w:pPr>
            <w:r>
              <w:rPr/>
              <w:t> </w:t>
            </w:r>
          </w:p>
        </w:tc>
      </w:tr>
      <w:tr>
        <w:trPr/>
        <w:tc>
          <w:tcPr>
            <w:tcW w:w="7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5" w:type="dxa"/>
            <w:tcBorders/>
            <w:shd w:fill="CCEEFF" w:val="clear"/>
            <w:vAlign w:val="center"/>
          </w:tcPr>
          <w:p>
            <w:pPr>
              <w:pStyle w:val="TableContents"/>
              <w:bidi w:val="0"/>
              <w:spacing w:before="0" w:after="283"/>
              <w:jc w:val="right"/>
              <w:rPr/>
            </w:pPr>
            <w:r>
              <w:rPr/>
              <w:t>(0.10)</w:t>
            </w:r>
          </w:p>
        </w:tc>
        <w:tc>
          <w:tcPr>
            <w:tcW w:w="170" w:type="dxa"/>
            <w:tcBorders/>
            <w:shd w:fill="CCEEFF" w:val="clear"/>
            <w:vAlign w:val="center"/>
          </w:tcPr>
          <w:p>
            <w:pPr>
              <w:pStyle w:val="TableContents"/>
              <w:bidi w:val="0"/>
              <w:spacing w:before="0" w:after="283"/>
              <w:jc w:val="left"/>
              <w:rPr/>
            </w:pPr>
            <w:r>
              <w:rPr/>
              <w:t> </w:t>
            </w:r>
          </w:p>
        </w:tc>
      </w:tr>
      <w:tr>
        <w:trPr/>
        <w:tc>
          <w:tcPr>
            <w:tcW w:w="7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Series B non-voting convertible preferred stockholders, basic and 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5" w:type="dxa"/>
            <w:tcBorders/>
            <w:vAlign w:val="center"/>
          </w:tcPr>
          <w:p>
            <w:pPr>
              <w:pStyle w:val="TableContents"/>
              <w:bidi w:val="0"/>
              <w:spacing w:before="0" w:after="283"/>
              <w:jc w:val="right"/>
              <w:rPr/>
            </w:pPr>
            <w:r>
              <w:rPr/>
              <w:t>(103.51)</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estimated shares of Cyclerion common stock and pre-funded warrants issued to Korsana stockholders at the closing of the Merger, excluding (i) the outstanding and unvested Korsana restricted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stock and options to purchase Korsana common stock at the closing of the Merger that were converted to the right to receive 1,473,500 shares of the Cyclerion common stock as of March 31, 2026 and December 31, 2025, and 51,255,510 options to purchase shares of Cyclerion common stock as of March 31, 2026 and December 31, 2025 after reflecting the estimated Exchange Ratio, (ii) the outstanding shares of Korsana Series Seed preferred stock that were exchanged for 29,470 shares of newly created Cyclerion Series B Preferred Stock as of March 31, 2026 and December 31, 2025, and (iii) the outstanding warrants to purchase Korsana common stock at the closing of the Merger that were converted to the right to receive 1,624,664 warrants to purchase shares of Cyclerion common stock as of March 31, 2026 and December 31, 2025, after reflecting the estimated Exchange Ratio. The shares of Cyclerion common stock issued in exchange for shares of Korsana restricted stock and options to purchase shares of Cyclerion common stock issued in exchange for options to purchase shares of Korsana common stock are subject to the same vesting and forfeiture conditions, applicable, as they were prior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x111069_36"/>
      <w:bookmarkEnd w:id="38"/>
      <w:r>
        <w:rPr>
          <w:rFonts w:ascii="Times New Roman" w:hAnsi="Times New Roman"/>
          <w:b/>
          <w:sz w:val="20"/>
        </w:rPr>
        <w:t xml:space="preserve">DESCRIPTION OF CYCLERION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Cyclerion capital stock and provisions of the Cyclerion Articles and Cyclerion Bylaws are summaries and are qualified by reference to such charter and bylaws and applicable provisions of Massachusetts corporate law. Copies of these documents are filed as exhibits to the registration statement of which this proxy/prospectus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Cyclerion’s authorized capital stock consists of 400,000,000 shares of common stock and 100,000,000 shares of preferred stock, 500,000 of which preferred stock is designated as Cyclerion Series A Preferred Stock and the rest of which preferred stock is undesignated. As of March 30, 2026, there were 4,330,314 shares of common stock outstanding and 351,037 shares of Cyclerion Series A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holders of outstanding shares of Cyclerion Common Stock are entitled to receive dividends out of assets legally available at the times and in the amounts as the Cyclerion Board may from time to time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share of Cyclerion Common Stock is entitled to one vote on all matters submitted to a vote of shareholders. Holders of shares of Cyclerion Common Stock have no cumulative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not entitled to preemptive or other similar subscription rights to purchase any of Cyclerion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neither convertible nor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Cyclerion’s liquidation, the holders of Cyclerion Common Stock would be entitled to receive pro rata Cyclerion’s assets which are legally available for distribution, after payment of all debts and other liabilities and subject to the prior rights of any holders of the Cyclerion Series A Preferred Stock or any other preferred stock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Cyclerion Common Stock is listed on the Nasdaq Capital Market under the trading symbol “CYCN.”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Cyclerion Common Stock is Computershare Trust Company, N.A. Its address is 150 Royall Street, Canton, Massachusetts 02021 and its telephone number is (800) 522-6645.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of the MBCA and the Cyclerion Articles and Cyclerion Bylaws, the Cyclerion Board may, without further action by Cyclerion shareholders, from time to time, direct the issuance of additional shares of preferred stock in series and may, at the time of issuance, determine the designations, powers, preferences, privileges and relative participating, optional or special rights, any or all of which may be greater than the rights of Cyclerion Common Stock, as well as the qualifications, limitations or restrictions thereof, including: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terms; and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Cyclerion will specify the following terms relating to any class or series of preferred stock offered: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Cyclerion’s right, if any, to defer payment of dividends and the maximum length of any such deferral period;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10"/>
        <w:gridCol w:w="60"/>
        <w:gridCol w:w="9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Satisfaction of any dividend preferences of outstanding shares of preferred stock would reduce the amount of funds available for the payment of dividends on shares of Cyclerion Common Stock. Holders of shares of preferred stock may be entitled to receive a preference payment in the event of our liquidation before any payment is made to the holders of shares of Cyclerion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Cyclerion Series A Preferred Stock (i) is convertible at the option of the holder into one share of Cyclerion Common Stock, subject to adjustment for stock splits, combinations and similar events, (ii) is entitled to participate in any dividends paid to holders of Cyclerion Common Stock on an as-converted basis, and (iii) is entitled to a payment of $0.01 liquidation preference per share, before any amounts are paid to holders of Cyclerion Common Stock, upon the liquidation, dissolution or winding up of Cyclerion, and thereafter will participate in any liquidation distributions to holders of Cyclerion Common Stock on an as-converted basis. The Cyclerion Series A Preferred Stock has no voting rights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and the Cyclerion Bylaws contain certain provisions that are intended to enhance the likelihood of continuity and stability in the composition of the Cyclerion Board but which may have the effect of delaying, deferring or preventing a future takeover or change in control of us unless such takeover or change in control is approved by the Cyclerion Board.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Action by written consent; special meetings of shareholders</w:t>
            </w:r>
            <w:r>
              <w:rPr>
                <w:rFonts w:ascii="Times New Roman" w:hAnsi="Times New Roman"/>
                <w:sz w:val="20"/>
              </w:rPr>
              <w:t xml:space="preserve">. The Cyclerion Bylaws provide that shareholder action can be taken only at an annual or special meeting of shareholders or by the unanimous written consent of all shareholders in lieu of such a meeting. The Cyclerion Articles and the Cyclerion Bylaws also provide that, except as otherwise required by law, special meetings of the shareholders can only be called pursuant to a resolution adopted by a majority of the Cyclerion Board or holders of at least 40% of Cyclerion’s then outstanding common stock. Except as described above, shareholders are not permitted to call a special meeting or to require the Cyclerion Board to call a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The Cyclerion Bylaws contain an advance notice procedure for shareholder proposals to be brought before an annual meeting of Cyclerion’s shareholders, including proposed nominations of persons for election to the Cyclerion Board. Shareholders at an annual meeting are only able to consider proposals or nominations specified in the notice of meeting or brought before the meeting by or at the direction of the Cyclerion Board or by a shareholder who was a shareholder of record on the record date for the meeting, who is entitled to vote at the meeting and who has given Cyclerion’s Secretary timely written notice, in proper form, of the shareholder’s intention to bring that business before the meeting. Although the Cyclerion Bylaws do not give the Cyclerion Board the power to approve or disapprove shareholder nominations of candidates or proposals regarding other business to be conducted at a special or annual meeting, the Cyclerion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Cyclerion.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Proxy Access</w:t>
            </w:r>
            <w:r>
              <w:rPr>
                <w:rFonts w:ascii="Times New Roman" w:hAnsi="Times New Roman"/>
                <w:sz w:val="20"/>
              </w:rPr>
              <w:t xml:space="preserve">. The Cyclerion Bylaws provide that a shareholder or a group of shareholders meeting certain conditions may nominate candidates for election as a director at an annual meeting of our shareholders using “proxy access” provisions. These provisions allow one or more shareholders (up to 20, collectively), owning at least 3% of Cyclerion’s outstanding common stock continuously for at least three years, to nominate for election to the Cyclerion Board and to be included in Cyclerion’s proxy materials up to the greater of two individuals or 20% of the Cyclerion Board, subject to the provisions included in the Cyclerion Bylaws, including the provision of timely written notice to Cyclerion’s Secretary.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Number of directors and filling vacancies; election of directors</w:t>
            </w:r>
            <w:r>
              <w:rPr>
                <w:rFonts w:ascii="Times New Roman" w:hAnsi="Times New Roman"/>
                <w:sz w:val="20"/>
              </w:rPr>
              <w:t xml:space="preserve">. The Cyclerion Articles provide that the number of directors is established by the Cyclerion Board. Furthermore, any vacancy on the Cyclerion Board, however occurring, including a vacancy resulting from an increase in the size of the Cyclerion Board, may only be filled by the affirmative vote of a majority of the directors on the Cyclerion Board then in office. The ability of the Cyclerion Board to increase the number of directors and fill any vacancies may make it more difficult for Cyclerion’s shareholders to change the composition of the Cyclerion Board. The Cyclerion Bylaws provide that a majority of the votes properly cast for the election of a director shall effect such election unless there are more nominees than directorships, in which case a plurality standard shall apply.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Cyclerion’s authorized but unissued shares of common stock and preferred stock are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Cyclerion’s common stock by means of a proxy contest, tender offer, merger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The Cyclerion Articles require, to the fullest extent permitted by law, that derivative actions brought in the name of Cyclerion, actions against Cyclerion’s directors, officers and employees for breach of a fiduciary duty and other similar actions may be brought only in specified courts in the Commonwealth of Massachusetts. Although Cyclerion believes this provision benefits Cyclerion by providing increased consistency in the application of Massachusetts law in the types of lawsuits to which it applies, the provision may have the effect of discouraging lawsuits against Cyclerion’s directors and officers.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under Massachusetts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Regarding 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is subject to the provisions of Chapter 110F of the MBCA. In general, Chapter 110F prohibits a publicly held Massachusetts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five percent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Chapter 110F,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90%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Massachusetts corporation may “opt out” of these provisions with an express provision in its original articles of organization or an express provision in its articles of organization or bylaws resulting from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amendment approved by at least a majority of the outstanding voting shares. Cyclerion has not opted out of these provisions. As a result, mergers or other takeover or change in control attempts of Cyclerion may be discouraged or prevented.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Regarding a 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8.06(b) of the MBCA provides that, unless a company opts out of such provision, the terms of directors of a public Massachusetts company shall be staggered by dividing the directors into three groups, as nearly equal in number as possible, with only one group of directors being elected each year. Cyclerion has opted out of this default requirement for a classified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8.06(c)(2) of the MBCA, however, the Cyclerion Board may unilaterally opt back into default requirements under Section 8.06(b) of the MBCA and become a classified board of directors without the approval of the Cyclerion shareholders. Sections 8.06(d) and (e) of the MBCA provide that when a board of directors is so classified, (i) shareholders may remove directors only for cause, (ii) the number of directors shall be fixed only by the vote of the board of directors, (iii) vacancies and newly created directorships shall be filled solely by the affirmative vote of a majority of the remaining directors and (iv) a decrease in the number of directors will not shorten the term of any incumbent director. If the Cyclerion Board opts into this classified structure in the future, these provisions are likely to increase the time required for shareholders to change the composition of the Cyclerion Board. For example, at least two annual meetings would generally be necessary for shareholders to effect a change in a majority of the members of the Cyclerion Board. As a result, the ability of the Cyclerion Board to adopt a classified structure in the future without the approval of Cyclerion shareholders could have the effect of discouraging a potential acquirer from making a tender offer for a majority of the outstanding voting interest of Cyclerion’s capital stock or otherwise attempting to obtain control of Cyclerion.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provide that the liability of Cyclerion’s directors for damages for any breach of fiduciary duty shall be limited to the fullest extent permitted by law. The Cyclerion Bylaws also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its directors and officers, and Cyclerion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111069_37"/>
      <w:bookmarkEnd w:id="39"/>
      <w:r>
        <w:rPr>
          <w:rFonts w:ascii="Times New Roman" w:hAnsi="Times New Roman"/>
          <w:b/>
          <w:sz w:val="20"/>
        </w:rPr>
        <w:t xml:space="preserve">COMPARISON OF RIGHTS OF HOLDERS OF CYCLERION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KORSANA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Korsana stockholders will receive shares of Cyclerion Common Stock, Cyclerion Pre-Funded Warrants, and shares of Cyclerion Series B Preferred Stock, pursuant to the terms of the Merger Agreement. Prior to or upon the closing of the Merger, assuming that Proposal Nos. 2 and 3 are approved by Cyclerion’s shareholders, the Cyclerion Articles will be amended to increase the number of shares of Cyclerion Common Stock that Cyclerion is authorized to issue from 400,000,000 to 700,000,000, and to effect the proposed reverse stock split, as set forth in the forms of certificates of amendment attached as </w:t>
      </w:r>
      <w:r>
        <w:rPr>
          <w:rFonts w:ascii="Times New Roman" w:hAnsi="Times New Roman"/>
          <w:i/>
          <w:sz w:val="20"/>
        </w:rPr>
        <w:t>Annex</w:t>
      </w:r>
      <w:r>
        <w:rPr>
          <w:rFonts w:ascii="Times New Roman" w:hAnsi="Times New Roman"/>
          <w:sz w:val="20"/>
        </w:rPr>
        <w:t xml:space="preserve"> </w:t>
      </w:r>
      <w:r>
        <w:rPr>
          <w:rFonts w:ascii="Times New Roman" w:hAnsi="Times New Roman"/>
          <w:i/>
          <w:sz w:val="20"/>
        </w:rPr>
        <w:t>H</w:t>
      </w:r>
      <w:r>
        <w:rPr>
          <w:rFonts w:ascii="Times New Roman" w:hAnsi="Times New Roman"/>
          <w:sz w:val="20"/>
        </w:rPr>
        <w:t xml:space="preserve">, and </w:t>
      </w:r>
      <w:r>
        <w:rPr>
          <w:rFonts w:ascii="Times New Roman" w:hAnsi="Times New Roman"/>
          <w:i/>
          <w:sz w:val="20"/>
        </w:rPr>
        <w:t>Annex I</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is incorporated under the laws of the Commonwealth of Massachusetts, and the rights of its shareholders are generally governed by the Massachusetts Business Corporation Act (“MBCA”), as well as its articles of organization and bylaws. Korsana is incorporated under the laws of the State of Delaware, and the rights of its stockholders are generally governed by the DGCL, as well as its articles of organization or certificates of incorporation and bylaws. Upon completion of the Merger, Korsana stockholders will become shareholders of Cyclerion, and their rights thereafter will be governed by the MBCA, the Cyclerion Bylaws, and the Cyclerion Articles, each as may be amended in connection with the Merger, including as contemplated by Proposal Nos. 2 and 3. The material differences between the rights of Korsana stockholders prior to the Merger and their rights as Cyclerion shareholders after the Merger — taking into account the amendments to the Cyclerion Articles and Cyclerion Bylaws that would be effected if Proposal Nos. 2 and 3 are approved — are described in the immediately following paragraph.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Korsana stockholders under the Korsana Charter and Korsana Bylaws and their rights as Cyclerion shareholders, after the Merger, under the Cyclerion Articles and Cyclerion Bylaws, both as will be in effect immediately following the completion of the Merger and assuming that Proposal Nos. 2 and 3 are approved by Cyclerion’s shareholders, are summarized below. The summary below does not purport to be complete and is subject to, and qualified in its entirety by reference to, the DGCL, the MBCA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Cyclerion or Korsana before the Merger and being a shareholder of the Combined Company following the completion of the Merger. For more information on how to obtain these documents, see the section titled “</w:t>
      </w:r>
      <w:r>
        <w:rPr>
          <w:rFonts w:ascii="Times New Roman" w:hAnsi="Times New Roman"/>
          <w:i/>
          <w:sz w:val="20"/>
        </w:rPr>
        <w:t>Where You Can Find More</w:t>
      </w:r>
      <w:r>
        <w:rPr>
          <w:rFonts w:ascii="Times New Roman" w:hAnsi="Times New Roman"/>
          <w:sz w:val="20"/>
        </w:rPr>
        <w:t xml:space="preserve"> </w:t>
      </w:r>
      <w:r>
        <w:rPr>
          <w:rFonts w:ascii="Times New Roman" w:hAnsi="Times New Roman"/>
          <w:i/>
          <w:sz w:val="20"/>
        </w:rPr>
        <w:t>Information</w:t>
      </w:r>
      <w:r>
        <w:rPr>
          <w:rFonts w:ascii="Times New Roman" w:hAnsi="Times New Roman"/>
          <w:sz w:val="20"/>
        </w:rPr>
        <w:t xml:space="preserve">” beginning on page 436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Proposal No. 4 is approved by Cyclerion shareholders and the Merger is completed, the Combined Company will effect the Cayman Redomestication pursuant to the Plan of Domestication as set forth in the form attached as </w:t>
      </w:r>
      <w:r>
        <w:rPr>
          <w:rFonts w:ascii="Times New Roman" w:hAnsi="Times New Roman"/>
          <w:i/>
          <w:sz w:val="20"/>
        </w:rPr>
        <w:t>Annex J</w:t>
      </w:r>
      <w:r>
        <w:rPr>
          <w:rFonts w:ascii="Times New Roman" w:hAnsi="Times New Roman"/>
          <w:sz w:val="20"/>
        </w:rPr>
        <w:t xml:space="preserve"> to this proxy statement/prospectus, and, upon completion of the Cayman Redomestication, the rights of Cyclerion shareholders and the rights of Korsana stockholders who become Combined Company shareholders pursuant to the Merger will no longer be governed by the Cyclerion Articles, the Cyclerion Bylaws and the MBCA and instead will be governed by the Cayman Articles, in the form attached as </w:t>
      </w:r>
      <w:r>
        <w:rPr>
          <w:rFonts w:ascii="Times New Roman" w:hAnsi="Times New Roman"/>
          <w:i/>
          <w:sz w:val="20"/>
        </w:rPr>
        <w:t>Annex K</w:t>
      </w:r>
      <w:r>
        <w:rPr>
          <w:rFonts w:ascii="Times New Roman" w:hAnsi="Times New Roman"/>
          <w:sz w:val="20"/>
        </w:rPr>
        <w:t xml:space="preserve"> to this proxy statement/prospectus, and the Cayman Islands Companies Act. For a comparison of rights of holders of the Combined Company capital stock as a Massachusetts corporation and the Combined Company share capital as a Cayman Islands exempted company limited by shares, assuming the completion of the Cayman Redomestication, see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4 — The Redomestication Proposal — Effects</w:t>
      </w:r>
      <w:r>
        <w:rPr>
          <w:rFonts w:ascii="Times New Roman" w:hAnsi="Times New Roman"/>
          <w:sz w:val="20"/>
        </w:rPr>
        <w:t xml:space="preserve"> </w:t>
      </w:r>
      <w:r>
        <w:rPr>
          <w:rFonts w:ascii="Times New Roman" w:hAnsi="Times New Roman"/>
          <w:i/>
          <w:sz w:val="20"/>
        </w:rPr>
        <w:t>of the Cayman Redomestication — Comparison of Rights of</w:t>
      </w:r>
      <w:r>
        <w:rPr>
          <w:rFonts w:ascii="Times New Roman" w:hAnsi="Times New Roman"/>
          <w:sz w:val="20"/>
        </w:rPr>
        <w:t xml:space="preserve"> </w:t>
      </w:r>
      <w:r>
        <w:rPr>
          <w:rFonts w:ascii="Times New Roman" w:hAnsi="Times New Roman"/>
          <w:i/>
          <w:sz w:val="20"/>
        </w:rPr>
        <w:t>Holders</w:t>
      </w:r>
      <w:r>
        <w:rPr>
          <w:rFonts w:ascii="Times New Roman" w:hAnsi="Times New Roman"/>
          <w:sz w:val="20"/>
        </w:rPr>
        <w:t xml:space="preserve"> </w:t>
      </w:r>
      <w:r>
        <w:rPr>
          <w:rFonts w:ascii="Times New Roman" w:hAnsi="Times New Roman"/>
          <w:i/>
          <w:sz w:val="20"/>
        </w:rPr>
        <w:t>of the</w:t>
      </w:r>
      <w:r>
        <w:rPr>
          <w:rFonts w:ascii="Times New Roman" w:hAnsi="Times New Roman"/>
          <w:sz w:val="20"/>
        </w:rPr>
        <w:t xml:space="preserve"> </w:t>
      </w:r>
      <w:r>
        <w:rPr>
          <w:rFonts w:ascii="Times New Roman" w:hAnsi="Times New Roman"/>
          <w:i/>
          <w:sz w:val="20"/>
        </w:rPr>
        <w:t>Massachusetts Corporation</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Cayman</w:t>
      </w:r>
      <w:r>
        <w:rPr>
          <w:rFonts w:ascii="Times New Roman" w:hAnsi="Times New Roman"/>
          <w:sz w:val="20"/>
        </w:rPr>
        <w:t xml:space="preserve"> </w:t>
      </w:r>
      <w:r>
        <w:rPr>
          <w:rFonts w:ascii="Times New Roman" w:hAnsi="Times New Roman"/>
          <w:i/>
          <w:sz w:val="20"/>
        </w:rPr>
        <w:t>Company</w:t>
      </w:r>
      <w:r>
        <w:rPr>
          <w:rFonts w:ascii="Times New Roman" w:hAnsi="Times New Roman"/>
          <w:sz w:val="20"/>
        </w:rPr>
        <w:t xml:space="preserve"> </w:t>
      </w:r>
      <w:r>
        <w:rPr>
          <w:rFonts w:ascii="Times New Roman" w:hAnsi="Times New Roman"/>
          <w:i/>
          <w:sz w:val="20"/>
        </w:rPr>
        <w:t>Share</w:t>
      </w:r>
      <w:r>
        <w:rPr>
          <w:rFonts w:ascii="Times New Roman" w:hAnsi="Times New Roman"/>
          <w:sz w:val="20"/>
        </w:rPr>
        <w:t xml:space="preserve"> </w:t>
      </w:r>
      <w:r>
        <w:rPr>
          <w:rFonts w:ascii="Times New Roman" w:hAnsi="Times New Roman"/>
          <w:i/>
          <w:sz w:val="20"/>
        </w:rPr>
        <w:t>Capital</w:t>
      </w:r>
      <w:r>
        <w:rPr>
          <w:rFonts w:ascii="Times New Roman" w:hAnsi="Times New Roman"/>
          <w:sz w:val="20"/>
        </w:rPr>
        <w:t xml:space="preserve">” beginning on page 237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154"/>
        <w:gridCol w:w="120"/>
        <w:gridCol w:w="4931"/>
      </w:tblGrid>
      <w:tr>
        <w:trPr/>
        <w:tc>
          <w:tcPr>
            <w:tcW w:w="51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31"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center"/>
              <w:rPr>
                <w:b/>
              </w:rPr>
            </w:pPr>
            <w:r>
              <w:rPr>
                <w:b/>
              </w:rPr>
              <w:t>Cyclerion</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center"/>
              <w:rPr>
                <w:b/>
              </w:rPr>
            </w:pPr>
            <w:r>
              <w:rPr>
                <w:b/>
              </w:rPr>
              <w:t>Korsana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The rights of Cyclerion shareholders are governed by Cyclerion’s restated articles of organization (as amended, the “Cyclerion Articles”), Cyclerion’s amended and restated bylaws (the “Cyclerion Bylaws”) and the Massachusetts Business Corporation Act (the “MBCA”).</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The rights of Korsana’s stockholders are governed by Korsana’s second amended and restated certificate of incorporation, as amended (the “Korsana Charter”), Korsana’s bylaws (the “Korsana Bylaws”) and the DGCL. Rights of certain holders of Korsana preferred stock are governed by the Amended and Restated Investors’ Rights Agreement (the “Korsana IRA”), the Amended and Restated Right of First Refusal and Co-Sale Agreement (the “Korsana ROFR Agreement”), and the Amended and Restated Voting Agreement, each dated as of September 15, 2025.</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Cyclerion is authorized to issue two classes of capital stock which are designated, respectively, “common stock” and “preferred stock.” The total number of shares that Cyclerion is authorized to issue is 500,000,000, of which 400,000,000 shares are common stock, each having no par value per share, and 100,000,000 shares are preferred stock, each having no par value per share. The preferred stock may be issued from time to time in one or more series. The number of authorized shares of Cyclerion preferred stock may be increased or decreased (but not below the number of shares thereof then outstanding) by the affirmative vote of the holders of a majority of the voting power of the stock of Cyclerion entitled to vote thereon, without a separate vote of the holders of the preferred stock, or of any series thereof, unless a vote of any such holders is required pursuant to the terms of any certificate of designation filed with respect to any series of preferred stock.</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Korsana is authorized to issue two classes of capital stock which are designated, respectively, “common stock” and “preferred stock.” The total number of shares that Korsana is authorized to issue is 235,263,552, of which 139,763,552 shares are common stock, par value $0.0001 per share, and 95,500,000 shares are preferred stock, par value $0.0001 per share. The number of authorized shares of Korsana Common Stock may be increased or decreased (but not below the number of shares thereof then outstanding) by (in addition to any vote of the holders of one or more series of Korsana preferred stock that may be required under the Korsana Charter) the affirmative vote of the holders of shares of Korsana capital stock representing a majority of the votes represented by all outstanding shares of Korsana capital stock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Cyclerion authorized common stock consists of 400,000,000 shares of common stock, no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Cyclerion Common Stock is entitled to one vote for each such share held of record on the applicable record date on each matter properly submitted to the stockholders for their vote.</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Korsana’s authorized common stock consists of 139,763,552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Korsana Common Stock is entitled to one vote for each such share held of record on the applicable record date on each matter voted on at a meeting of stockholders (and written actions in lieu of meetings).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vAlign w:val="center"/>
          </w:tcPr>
          <w:p>
            <w:pPr>
              <w:pStyle w:val="TableContents"/>
              <w:bidi w:val="0"/>
              <w:spacing w:before="0" w:after="283"/>
              <w:jc w:val="left"/>
              <w:rPr/>
            </w:pPr>
            <w:r>
              <w:rPr/>
              <w:t>Cyclerion preferred stock consists of 100,000,000 shares of preferred stock, each having no par value per share. The voting rights of preferred stockholders can vary depending on the series of preferred stock issued. The</w:t>
            </w:r>
          </w:p>
        </w:tc>
        <w:tc>
          <w:tcPr>
            <w:tcW w:w="120" w:type="dxa"/>
            <w:tcBorders/>
            <w:vAlign w:val="center"/>
          </w:tcPr>
          <w:p>
            <w:pPr>
              <w:pStyle w:val="TableContents"/>
              <w:bidi w:val="0"/>
              <w:spacing w:before="0" w:after="283"/>
              <w:jc w:val="left"/>
              <w:rPr/>
            </w:pPr>
            <w:r>
              <w:rPr/>
              <w:t>  </w:t>
            </w:r>
          </w:p>
        </w:tc>
        <w:tc>
          <w:tcPr>
            <w:tcW w:w="4931" w:type="dxa"/>
            <w:tcBorders/>
            <w:vAlign w:val="center"/>
          </w:tcPr>
          <w:p>
            <w:pPr>
              <w:pStyle w:val="TableContents"/>
              <w:bidi w:val="0"/>
              <w:spacing w:before="0" w:after="283"/>
              <w:jc w:val="left"/>
              <w:rPr/>
            </w:pPr>
            <w:r>
              <w:rPr/>
              <w:t>Korsana’s 95,500,000 shares of preferred stock consist of 20,000,000 shares of preferred stock designated as shares of “Series Seed Preferred Stock,” and 75,500,000 shares of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986"/>
        <w:gridCol w:w="120"/>
        <w:gridCol w:w="3099"/>
      </w:tblGrid>
      <w:tr>
        <w:trPr/>
        <w:tc>
          <w:tcPr>
            <w:tcW w:w="69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6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Board is authorized to determine the voting powers, full or limited, or no voting powers for each series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500,000 shares of Cyclerion preferred stock are designated as Series Convertible A Preferred Stock (“Cyclerion Series A Preferred Stock”). Holders of Cyclerion Series A Preferred Stock are not entitled to vote at any meetings of Cyclerion shareholders. Each share of Cyclerion Series A Preferred Stock is convertible into one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In connection with the Merger, the Cyclerion Board intends to designate    shares of undesignated preferred stock as Cyclerion Series B Preferred Stock through an articles of amendment to the Cyclerion Articles in the form attached as </w:t>
            </w:r>
            <w:r>
              <w:rPr>
                <w:rFonts w:ascii="Times New Roman" w:hAnsi="Times New Roman"/>
                <w:i/>
                <w:sz w:val="20"/>
              </w:rPr>
              <w:t>Annex G</w:t>
            </w:r>
            <w:r>
              <w:rPr>
                <w:rFonts w:ascii="Times New Roman" w:hAnsi="Times New Roman"/>
                <w:sz w:val="20"/>
              </w:rPr>
              <w:t xml:space="preserve"> to this proxy statement/prospectus (the “Articles of Amendment”). No shares of Cyclerion Series B Preferred Stock are currently authorized or outstanding. Except as otherwise required by the Articles of Amendment or law, the Cyclerion Series B Preferred Stock will not have voting rights. The Articles of Amendment provides for certain voting rights in relation to the election of directors as discussed under “- </w:t>
            </w:r>
            <w:r>
              <w:rPr>
                <w:rFonts w:ascii="Times New Roman" w:hAnsi="Times New Roman"/>
                <w:i/>
                <w:sz w:val="20"/>
              </w:rPr>
              <w:t>Structure of Board of Directors; Term of Directors; Election of Directors</w:t>
            </w:r>
            <w:r>
              <w:rPr>
                <w:rFonts w:ascii="Times New Roman" w:hAnsi="Times New Roman"/>
                <w:sz w:val="20"/>
              </w:rPr>
              <w:t>” below. As long as shares of Cyclerion Series B Preferred Stock are outstanding, Cyclerion will not, without the affirmative vote of the holders of a majority of the then outstanding shares of the Cyclerion Series B Preferred Stock, (a) alter or change adversely the powers, preferences or rights given to Cyclerion Series B Preferred Stock, (b) alter or amend the description of rights of Cyclerion Series B Preferred Stock set forth in its articles of organization, (c) amend its articles of organization, bylaws or other charter documents in any manner that adversely affects any rights of the holders of Cyclerion Series B Preferred Stock, (d) file any articles of amendment, description of rights, preferences, limitations and relative rights of any series of Cyclerion preferred stock (as defined in the Articles of Amendment), if such action would adversely alter or change the preferences, rights, privileges or powers of, or restrictions provided for the benefit of Cyclerion Series B Preferred Stock, (e) issue further shares of the Cyclerion Series B Preferred Stock or increase or decrease (other than by conversion) the number of authorized shares of Cyclerion Series B Preferred Stock, (f) at any time while at least 30% of the originally issued Cyclerion Series B Preferred Stock remains issued and outstanding, (i) consummate either (A) a Fundamental Transaction (as defined in the Articles of Amendment) or (B) any merger or consolidation of Cyclerion or other</w:t>
            </w:r>
          </w:p>
        </w:tc>
        <w:tc>
          <w:tcPr>
            <w:tcW w:w="120" w:type="dxa"/>
            <w:tcBorders/>
            <w:vAlign w:val="center"/>
          </w:tcPr>
          <w:p>
            <w:pPr>
              <w:pStyle w:val="TableContents"/>
              <w:bidi w:val="0"/>
              <w:spacing w:before="0" w:after="283"/>
              <w:jc w:val="left"/>
              <w:rPr/>
            </w:pPr>
            <w:r>
              <w:rPr/>
              <w:t>  </w:t>
            </w:r>
          </w:p>
        </w:tc>
        <w:tc>
          <w:tcPr>
            <w:tcW w:w="3099" w:type="dxa"/>
            <w:tcBorders/>
            <w:vAlign w:val="center"/>
          </w:tcPr>
          <w:p>
            <w:pPr>
              <w:pStyle w:val="TableContents"/>
              <w:bidi w:val="0"/>
              <w:spacing w:before="0" w:after="283"/>
              <w:jc w:val="left"/>
              <w:rPr/>
            </w:pPr>
            <w:r>
              <w:rPr/>
              <w:t>designated as shares of “Series A Preferred Stock.” On each matter voted on at a meeting of stockholders (and written actions in lieu of meetings), each holder of a share of Korsana preferred stock is entitled to cast the number of votes equal to the number of whole shares of Korsana Common Stock into which the shares of preferred stock held by such holder are convertible as of the record date for determining stockholders entitled to vote on such matter. Holders of Korsana preferred stock vote together with holders of Korsana Common Stock as a single class and on an as-converted to common stock basis.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130"/>
        <w:gridCol w:w="120"/>
        <w:gridCol w:w="2955"/>
      </w:tblGrid>
      <w:tr>
        <w:trPr/>
        <w:tc>
          <w:tcPr>
            <w:tcW w:w="7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283"/>
              <w:jc w:val="left"/>
              <w:rPr/>
            </w:pPr>
            <w:r>
              <w:rPr/>
              <w:t>business combination in which the shareholders of Cyclerion immediately before such transaction do not hold at least a majority of the capital stock of Cyclerion immediately after such transaction, (ii) increase the size of the Cyclerion Board, (iii) adopt, amend or repeal any written delegation of authority policy, corporate authority matrix or similar document, framework or schedule unless approved by the unanimous vote of the Cyclerion Board, or (iv) retain or replace Cyclerion’s registered independent public accounting firm, independent compensation consultant or corporate counsel, or (g) enter into any agreement with respect to any of the foregoing. Following the closing of the Merger, each share of Cyclerion Series B Preferred Stock then outstanding will be convertible, at any time and from time to time, at the option of the holder of Cyclerion Series B Preferred Stock, into a number of shares equal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7130"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283"/>
              <w:jc w:val="left"/>
              <w:rPr/>
            </w:pPr>
            <w:r>
              <w:rPr/>
              <w:t>The number of Cyclerion directors shall be not less than three directors and may be increased or decreased to a size fixed exclusively by vote of a majority of the directors then serving. No decrease in the authorized number of directors constituting the Cyclerion Board will shorten the term of any incumbent director. Directors need not be stockholders of Cyclerion. Following the completion of the Merger, the Combined Company is expected to consist of six members.</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The number of directors of Korsana is established from time to time by the Korsana Board. The Korsana Board currently consists of six members. Any decrease in the authorized number of directors shall not become effective until the expiration of the term of the directors then in office, unless, at the time of such decrease, there are vacancies on the board which are eliminated by the decrease.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7130" w:type="dxa"/>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r>
      <w:tr>
        <w:trPr/>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each annual meeting of shareholders, directors shall be elected for a full term of set to expire at the next annual meeting of shareholders. Notwithstanding the foregoing provisions of this section, each director shall serve until his or her successor is duly elected and qualified or until his or her earlier death, resignation or removal.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statute, the Cyclerion Articles or the Cyclerion Bylaws, when a quorum is present, (i) in the event there are at least as many</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Korsana directors shall be elected at the annual meeting of stockholders by such stockholders as have the right to vote on such election. Election of directors need not be by written ballot. Each director shall hold office for a term of one year and until his or her successor is elected and qualified, or until such director’s earlier resignation or removal. All elections shall be determined by a plurality of the votes cast, except as otherwise required by law.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072"/>
        <w:gridCol w:w="120"/>
        <w:gridCol w:w="5013"/>
      </w:tblGrid>
      <w:tr>
        <w:trPr/>
        <w:tc>
          <w:tcPr>
            <w:tcW w:w="50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3"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directorships as nominees, directors shall be elected by a majority of the votes properly cast and entitled to vote generally on the election of directors or (ii) in the event there are more nominees than directorships, directors shall be elected by a plurality of the votes properly cast and entitled to vote generally on the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(i) the holders of Cyclerion Series B Preferred Stock, exclusively and voting together as a separate class on an as-converted to common stock basis, shall be entitled to elect four Preferred Directors; and (ii) the holders of Cyclerion Common Stock and of any other class or series of voting stock (including the Cyclerion Series B Preferred Stock), exclusively and voting together as a single class on an as-converted to common stock basis, shall be entitled to elect the balance of the total number of directors of Cyclerion. Each Preferred Director shall be entitled to three votes on each matter presented to the Cyclerion Board.</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record of the shares of Korsana Series Seed Preferred Stock, voting together exclusively and as a separate class on an as-converted to common stock basis, are entitled to elect four directors of Korsana (the “Series Seed Preferred Directors”). The holders of record of the shares of Series A Preferred Stock, voting together exclusively and as a separate class on an as-converted to common stock basis, are entitled to elect one director (the “Series A Preferred Director”). The holders of record of the shares of common stock and of any other class or series of voting stock (including the Korsana preferred stock), exclusively and voting together as a single class on an as-converted to common stock basis, shall be entitled to elect one director (the “At Large Director”).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5072" w:type="dxa"/>
            <w:tcBorders/>
            <w:vAlign w:val="center"/>
          </w:tcPr>
          <w:p>
            <w:pPr>
              <w:pStyle w:val="TableContents"/>
              <w:bidi w:val="0"/>
              <w:spacing w:before="0" w:after="283"/>
              <w:jc w:val="left"/>
              <w:rPr>
                <w:sz w:val="4"/>
                <w:szCs w:val="4"/>
              </w:rPr>
            </w:pPr>
            <w:r>
              <w:rPr>
                <w:sz w:val="4"/>
                <w:szCs w:val="4"/>
              </w:rPr>
            </w:r>
          </w:p>
        </w:tc>
        <w:tc>
          <w:tcPr>
            <w:tcW w:w="5133" w:type="dxa"/>
            <w:gridSpan w:val="2"/>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at any special meeting of Cyclerion shareholders called at least in part for such purpose, any director may by the affirmative vote of the holders of at least a majority of the shares entitled to vote for the election of directors, be removed for cause. The Cyclerion Board may removal any director or directors, for cause, at a meeting of the Cyclerion Board by vote of a majority of directors then in office.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any Preferred Director may be removed without cause only by the affirmative vote of the holders of a majority of the Cyclerion Series B Preferred Stock.</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Any director may be removed, with or without cause, by the holders of a majority of shares of the class or series of capital stock entitled to elect such director, voting together as a single class on an as-converted to common stock basis, given either at a special meeting of such stockholders duly called for that purpose or pursuant to a written consent of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5072" w:type="dxa"/>
            <w:tcBorders/>
            <w:vAlign w:val="center"/>
          </w:tcPr>
          <w:p>
            <w:pPr>
              <w:pStyle w:val="TableContents"/>
              <w:bidi w:val="0"/>
              <w:spacing w:before="0" w:after="283"/>
              <w:jc w:val="left"/>
              <w:rPr>
                <w:sz w:val="4"/>
                <w:szCs w:val="4"/>
              </w:rPr>
            </w:pPr>
            <w:r>
              <w:rPr>
                <w:sz w:val="4"/>
                <w:szCs w:val="4"/>
              </w:rPr>
            </w:r>
          </w:p>
        </w:tc>
        <w:tc>
          <w:tcPr>
            <w:tcW w:w="5133" w:type="dxa"/>
            <w:gridSpan w:val="2"/>
            <w:tcBorders/>
            <w:vAlign w:val="center"/>
          </w:tcPr>
          <w:p>
            <w:pPr>
              <w:pStyle w:val="TableContents"/>
              <w:bidi w:val="0"/>
              <w:spacing w:before="0" w:after="283"/>
              <w:jc w:val="left"/>
              <w:rPr>
                <w:sz w:val="4"/>
                <w:szCs w:val="4"/>
              </w:rPr>
            </w:pPr>
            <w:r>
              <w:rPr>
                <w:sz w:val="4"/>
                <w:szCs w:val="4"/>
              </w:rPr>
            </w:r>
          </w:p>
        </w:tc>
      </w:tr>
      <w:tr>
        <w:trPr/>
        <w:tc>
          <w:tcPr>
            <w:tcW w:w="5072" w:type="dxa"/>
            <w:tcBorders/>
            <w:vAlign w:val="center"/>
          </w:tcPr>
          <w:p>
            <w:pPr>
              <w:pStyle w:val="TableContents"/>
              <w:bidi w:val="0"/>
              <w:spacing w:before="0" w:after="283"/>
              <w:jc w:val="left"/>
              <w:rPr/>
            </w:pPr>
            <w:r>
              <w:rPr/>
              <w:t>Subject to the rights of the holders of any series of preferred stock, any vacancies on the Cyclerion Board resulting from death, resignation, disqualification, removal or other causes, and any newly created directorships resulting from any increase in the number of directors, shall be filled exclusively by the affirmative vote of a majority of the directors then in office, even though less than a quorum of the Cyclerion Board, and not by the shareholders. Any director elected in accordance with the preceding sentence shall hold office for the remainder of the full term of the director for which the vacancy was created or occurred and until</w:t>
            </w:r>
          </w:p>
        </w:tc>
        <w:tc>
          <w:tcPr>
            <w:tcW w:w="120"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Any director may resign at any time upon notice given in writing or by electronic transmission to Korsana. Such resignation shall be effective upon receipt unless it is specified to be effective at some other time or upon the happening of some other event. A vacancy in any director seat other than those required to be filled by a particular class or series of stockholders pursuant to the Korsana Charter can be filled by the vote or written consent in lieu of a meeting of a majority of the remaining director(s), although less than a quorum. Vacancies and newly created directorships resulting from any increase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63"/>
        <w:gridCol w:w="120"/>
        <w:gridCol w:w="6022"/>
      </w:tblGrid>
      <w:tr>
        <w:trPr/>
        <w:tc>
          <w:tcPr>
            <w:tcW w:w="40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22" w:type="dxa"/>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such director’s successor shall have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completion of the Merger, at all times when at least 30% of the originally issued Cyclerion Series B Preferred Stock remains issued and outstanding, any vacancies of a Preferred Director directorship resulting from death, resignation, disqualification, removal or other causes shall be filled by the affirmative vote of the holders of a majority of the Cyclerion Series B Preferred Stock.</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a class or series of stock entitled to elect one or more directors fail to elect a sufficient number of directors to fill all directorships for which they are entitled to elect directors, then any directorship not so filled shall remain vacant until such time as such holders elect a person to fill such directorship.</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Action by Written Consent</w:t>
            </w:r>
          </w:p>
        </w:tc>
      </w:tr>
      <w:tr>
        <w:trPr/>
        <w:tc>
          <w:tcPr>
            <w:tcW w:w="4063" w:type="dxa"/>
            <w:tcBorders/>
            <w:vAlign w:val="center"/>
          </w:tcPr>
          <w:p>
            <w:pPr>
              <w:pStyle w:val="TableContents"/>
              <w:bidi w:val="0"/>
              <w:spacing w:before="0" w:after="283"/>
              <w:jc w:val="left"/>
              <w:rPr>
                <w:sz w:val="4"/>
                <w:szCs w:val="4"/>
              </w:rPr>
            </w:pPr>
            <w:r>
              <w:rPr>
                <w:sz w:val="4"/>
                <w:szCs w:val="4"/>
              </w:rPr>
            </w:r>
          </w:p>
        </w:tc>
        <w:tc>
          <w:tcPr>
            <w:tcW w:w="6142" w:type="dxa"/>
            <w:gridSpan w:val="2"/>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283"/>
              <w:jc w:val="left"/>
              <w:rPr/>
            </w:pPr>
            <w:r>
              <w:rPr/>
              <w:t>Any action required or permitted to be taken by the Cyclerion shareholders may be taken without a meeting if evidenced by consents signed by all Cyclerion shareholders entitled to vote on the matter.</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Korsana, a written consent signed by a sufficient number of stockholders to take action is delivered to Korsana.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4063" w:type="dxa"/>
            <w:tcBorders/>
            <w:vAlign w:val="center"/>
          </w:tcPr>
          <w:p>
            <w:pPr>
              <w:pStyle w:val="TableContents"/>
              <w:bidi w:val="0"/>
              <w:spacing w:before="0" w:after="283"/>
              <w:jc w:val="left"/>
              <w:rPr>
                <w:sz w:val="4"/>
                <w:szCs w:val="4"/>
              </w:rPr>
            </w:pPr>
            <w:r>
              <w:rPr>
                <w:sz w:val="4"/>
                <w:szCs w:val="4"/>
              </w:rPr>
            </w:r>
          </w:p>
        </w:tc>
        <w:tc>
          <w:tcPr>
            <w:tcW w:w="6142" w:type="dxa"/>
            <w:gridSpan w:val="2"/>
            <w:tcBorders/>
            <w:vAlign w:val="center"/>
          </w:tcPr>
          <w:p>
            <w:pPr>
              <w:pStyle w:val="TableContents"/>
              <w:bidi w:val="0"/>
              <w:spacing w:before="0" w:after="283"/>
              <w:jc w:val="left"/>
              <w:rPr>
                <w:sz w:val="4"/>
                <w:szCs w:val="4"/>
              </w:rPr>
            </w:pPr>
            <w:r>
              <w:rPr>
                <w:sz w:val="4"/>
                <w:szCs w:val="4"/>
              </w:rPr>
            </w:r>
          </w:p>
        </w:tc>
      </w:tr>
      <w:tr>
        <w:trPr/>
        <w:tc>
          <w:tcPr>
            <w:tcW w:w="4063" w:type="dxa"/>
            <w:tcBorders/>
            <w:vAlign w:val="center"/>
          </w:tcPr>
          <w:p>
            <w:pPr>
              <w:pStyle w:val="TableContents"/>
              <w:bidi w:val="0"/>
              <w:spacing w:before="0" w:after="283"/>
              <w:jc w:val="left"/>
              <w:rPr/>
            </w:pPr>
            <w:r>
              <w:rPr/>
              <w:t>At all meetings of stockholders, except where otherwise provided by statute or by the Cyclerion Articles or the Cyclerion Bylaws, at any meeting of Cyclerion shareholders, a majority of the votes entitled to be cast on a matter by a voting group shall constitute a quorum with respect to that voting group for action on that matter. In the absence of a quorum, any meeting of shareholders may be adjourned, from time to time, either by the chairperson of the meeting or by a majority of the votes cast on the matter.</w:t>
            </w:r>
          </w:p>
        </w:tc>
        <w:tc>
          <w:tcPr>
            <w:tcW w:w="120"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Except as otherwise provided by the DGCL or the Korsana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61"/>
        <w:gridCol w:w="120"/>
        <w:gridCol w:w="4824"/>
      </w:tblGrid>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quorum. If a quorum shall fail to attend any meeting, the chairman of the meeting or the holders of a majority of the shares of stock entitled to vote who are present, in person or by proxy, may adjourn the meeting to another place, if any, date, or time.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Special Meetings of Shareholders</w:t>
            </w:r>
          </w:p>
        </w:tc>
      </w:tr>
      <w:tr>
        <w:trPr/>
        <w:tc>
          <w:tcPr>
            <w:tcW w:w="526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Special meetings of the Cyclerion shareholders may be called, for any purpose as is a proper matter for shareholder action under the Cyclerion Articles, the Cyclerion Bylaws and the MBCA, by (i) subject to certain conditions, holders of at least forty percent (40%) of all the votes entitled to be cast on any issue to be considered at the proposed special meeting, or (ii) the Cyclerion Board pursuant to a resolution adopted by a majority of the directors at a meeting of directors where a quorum is present or by unanimous written consent of the Cyclerion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Cyclerion Board or an officer designed by the Cyclerion Board shall determine the time and place of such special meeting. Upon determination of the time and place of the meeting, the Cyclerion secretary shall cause a notice of meeting to be given to the Cyclerion shareholders entitled to vote, in accordance with the Cyclerion Bylaws. No business may be transacted as such special meeting other than the business specified in the notice of meeting. Special meetings called by Cyclerion shareholders will be scheduled not fewer than sixty (60) nor more than ninety (90) days after the date of delivery of a written request to the Cyclerion secretary for such meeting to be called by shareholders holding at least forty percent (40%) of the votes entitled to be cast on any issue to be considered at the proposed special meeting, subject to certain conditions in the Cyclerion Bylaws.</w:t>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Special meetings of the stockholders, for any purpose or purposes prescribed in the notice of the meeting, may be called by the Korsana Board or the Chief Executive Officer if one is elected, or the President, and shall be held at such place, date, and time as they or he or she shall fix.</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Shareholder Meetings</w:t>
            </w:r>
          </w:p>
        </w:tc>
      </w:tr>
      <w:tr>
        <w:trPr/>
        <w:tc>
          <w:tcPr>
            <w:tcW w:w="526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r>
      <w:tr>
        <w:trPr/>
        <w:tc>
          <w:tcPr>
            <w:tcW w:w="5261" w:type="dxa"/>
            <w:tcBorders/>
            <w:vAlign w:val="center"/>
          </w:tcPr>
          <w:p>
            <w:pPr>
              <w:pStyle w:val="TableContents"/>
              <w:bidi w:val="0"/>
              <w:spacing w:before="0" w:after="283"/>
              <w:jc w:val="left"/>
              <w:rPr/>
            </w:pPr>
            <w:r>
              <w:rPr/>
              <w:t>Except as otherwise provided by law, notice, given in writing or by electronic transmission, of each meeting of Cyclerion shareholders shall be given not less than seven (7) nor more than sixty (60) days before the date of the meeting to each stockholder entitled to vote at such meeting. Notice of any special meeting requested by Cyclerion shareholders in accordance with the Cyclerion Bylaws shall be given in writing or electronic transmission with thirty (30) days of the date of delivery of a written request for such special meeting to be called. Notice delivered to Cyclerion shareholders of shareholder meetings will specify the date, place and time of such meeting and the purposes of such meeting.</w:t>
            </w:r>
          </w:p>
        </w:tc>
        <w:tc>
          <w:tcPr>
            <w:tcW w:w="120" w:type="dxa"/>
            <w:tcBorders/>
            <w:vAlign w:val="center"/>
          </w:tcPr>
          <w:p>
            <w:pPr>
              <w:pStyle w:val="TableContents"/>
              <w:bidi w:val="0"/>
              <w:spacing w:before="0" w:after="283"/>
              <w:jc w:val="left"/>
              <w:rPr/>
            </w:pPr>
            <w:r>
              <w:rPr/>
              <w:t>  </w:t>
            </w:r>
          </w:p>
        </w:tc>
        <w:tc>
          <w:tcPr>
            <w:tcW w:w="4824" w:type="dxa"/>
            <w:tcBorders/>
            <w:vAlign w:val="center"/>
          </w:tcPr>
          <w:p>
            <w:pPr>
              <w:pStyle w:val="TableContents"/>
              <w:bidi w:val="0"/>
              <w:spacing w:before="0" w:after="283"/>
              <w:jc w:val="left"/>
              <w:rPr/>
            </w:pPr>
            <w:r>
              <w:rPr/>
              <w:t>Except as otherwise provided by the DGCL or the Korsana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668"/>
        <w:gridCol w:w="120"/>
        <w:gridCol w:w="4417"/>
      </w:tblGrid>
      <w:tr>
        <w:trPr/>
        <w:tc>
          <w:tcPr>
            <w:tcW w:w="56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Shareholder Proposals</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Nominations of persons for election to the Cyclerion Board may be made at an annual meeting or special meeting of shareholders, and the proposal of business to be considered by the shareholders may be made at an annual meeting of shareholders, by any Cyclerion shareholder who was a shareholder of record at the time of giving the shareholder’s notice, who is entitled to vote at the meeting and who complied with the notice procedures set forth in the Cyclerion Bylaws. Such notice must be received by Cyclerion not later than the close of business on the ninetieth (90th) day no earlier than the close of business on the one hundred twentieth (120th) day prior to the first anniversary of the preceding year’s annual meeting, in the case of an annual meeting nomination, and not later than the close of business on the later of the ninetieth (90th) day prior to such meeting or the tenth (10th) day following the day on which public announcement is first made of the date of the special meeting and of the nominees proposed by the Cyclerion Board to be elected at such meeting, in the case of a special meeting nomination.</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Neither the Korsana Charter nor the Korsana Bylaws contain advance notice requirements for stockholder proposals.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Articles of Organization and Certificate of Incorporation</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The Cyclerion Articles may be amended by the affirmative vote of the majority of the outstanding shares of capital stock entitled to vote on such amendment at a duly constituted meeting of shareholders called expressly for such purpose.</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The Korsana Charter may be amended pursuant to Section 242 of the DGCL; provided that, at any time when shares of preferred stock are outstanding, the written consent or affirmative vote of the holders of at least a majority of the outstanding shares of preferred stock, voting together as a single class on an as-converted to common stock basis (the “Requisite Holders”), is required to (i) amend, alter or repeal of any provision of the Korsana Charter, (ii) create or issue any capital stock unless the same ranks junior to the preferred stock with respect to its special rights, powers and preferences or (iii) increase the authorized number of shares of preferred stock or any additional class or series of capital stock of Korsana unless the same ranks junior to the preferred stock with respect to its special rights, powers and preferences.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w:t>
            </w:r>
          </w:p>
        </w:tc>
      </w:tr>
      <w:tr>
        <w:trPr/>
        <w:tc>
          <w:tcPr>
            <w:tcW w:w="5668"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r>
      <w:tr>
        <w:trPr/>
        <w:tc>
          <w:tcPr>
            <w:tcW w:w="5668" w:type="dxa"/>
            <w:tcBorders/>
            <w:vAlign w:val="center"/>
          </w:tcPr>
          <w:p>
            <w:pPr>
              <w:pStyle w:val="TableContents"/>
              <w:bidi w:val="0"/>
              <w:spacing w:before="0" w:after="283"/>
              <w:jc w:val="left"/>
              <w:rPr/>
            </w:pPr>
            <w:r>
              <w:rPr/>
              <w:t>Except as otherwise provided by law, the Cyclerion Bylaws may be adopted, amended or repealed by the Cyclerion Board. Any adoption, amendment or repeal of the Cyclerion Bylaws by the Cyclerion Board pursuant to a resolution adopted by a majority of the directors at a meeting of directors where a quorum is present or by unanimous written consent of the Cyclerion Board. The Cyclerion Bylaws may also be adopted, amended or</w:t>
            </w:r>
          </w:p>
        </w:tc>
        <w:tc>
          <w:tcPr>
            <w:tcW w:w="120" w:type="dxa"/>
            <w:tcBorders/>
            <w:vAlign w:val="center"/>
          </w:tcPr>
          <w:p>
            <w:pPr>
              <w:pStyle w:val="TableContents"/>
              <w:bidi w:val="0"/>
              <w:spacing w:before="0" w:after="283"/>
              <w:jc w:val="left"/>
              <w:rPr/>
            </w:pPr>
            <w:r>
              <w:rPr/>
              <w:t>  </w:t>
            </w:r>
          </w:p>
        </w:tc>
        <w:tc>
          <w:tcPr>
            <w:tcW w:w="4417" w:type="dxa"/>
            <w:tcBorders/>
            <w:vAlign w:val="center"/>
          </w:tcPr>
          <w:p>
            <w:pPr>
              <w:pStyle w:val="TableContents"/>
              <w:bidi w:val="0"/>
              <w:spacing w:before="0" w:after="283"/>
              <w:jc w:val="left"/>
              <w:rPr/>
            </w:pPr>
            <w:r>
              <w:rPr/>
              <w:t>The Korsana Bylaws may be amended or repealed by the Korsana Board or by the stockholders; provided that, at any time when shares of preferred stock are outstanding, the written consent or affirmative vote of the Requisite Holders is required (in addition to any other vote required by law or the Korsana Charter) to amend, alter or repeal any provision of the Korsana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657"/>
        <w:gridCol w:w="120"/>
        <w:gridCol w:w="5428"/>
      </w:tblGrid>
      <w:tr>
        <w:trPr/>
        <w:tc>
          <w:tcPr>
            <w:tcW w:w="46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2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283"/>
              <w:jc w:val="left"/>
              <w:rPr/>
            </w:pPr>
            <w:r>
              <w:rPr/>
              <w:t>repealed by the shareholders votes cast in favor representing a majority of the votes entitled to be cast on the matter.</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Limitation on Director Liability</w:t>
            </w:r>
          </w:p>
        </w:tc>
      </w:tr>
      <w:tr>
        <w:trPr/>
        <w:tc>
          <w:tcPr>
            <w:tcW w:w="4657" w:type="dxa"/>
            <w:tcBorders/>
            <w:vAlign w:val="center"/>
          </w:tcPr>
          <w:p>
            <w:pPr>
              <w:pStyle w:val="TableContents"/>
              <w:bidi w:val="0"/>
              <w:spacing w:before="0" w:after="283"/>
              <w:jc w:val="left"/>
              <w:rPr>
                <w:sz w:val="4"/>
                <w:szCs w:val="4"/>
              </w:rPr>
            </w:pPr>
            <w:r>
              <w:rPr>
                <w:sz w:val="4"/>
                <w:szCs w:val="4"/>
              </w:rPr>
            </w:r>
          </w:p>
        </w:tc>
        <w:tc>
          <w:tcPr>
            <w:tcW w:w="5548" w:type="dxa"/>
            <w:gridSpan w:val="2"/>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283"/>
              <w:jc w:val="left"/>
              <w:rPr/>
            </w:pPr>
            <w:r>
              <w:rPr/>
              <w:t>Directors shall not be liable to Cyclerion or its shareholders for damages for any breach of fiduciary duty, except to the extent that the elimination or limitations of liability is not permitted under law.</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283"/>
              <w:jc w:val="left"/>
              <w:rPr/>
            </w:pPr>
            <w:r>
              <w:rPr/>
              <w:t>The Korsana Charter provides that, to the fullest extent permitted by law, a director or officer of Korsana shall not be personally liable to Korsana or its stockholders 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Korsana shall be eliminated or limited to the fullest extent permitted by the DGCL as so amended.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4657" w:type="dxa"/>
            <w:tcBorders/>
            <w:vAlign w:val="center"/>
          </w:tcPr>
          <w:p>
            <w:pPr>
              <w:pStyle w:val="TableContents"/>
              <w:bidi w:val="0"/>
              <w:spacing w:before="0" w:after="283"/>
              <w:jc w:val="left"/>
              <w:rPr>
                <w:sz w:val="4"/>
                <w:szCs w:val="4"/>
              </w:rPr>
            </w:pPr>
            <w:r>
              <w:rPr>
                <w:sz w:val="4"/>
                <w:szCs w:val="4"/>
              </w:rPr>
            </w:r>
          </w:p>
        </w:tc>
        <w:tc>
          <w:tcPr>
            <w:tcW w:w="5548" w:type="dxa"/>
            <w:gridSpan w:val="2"/>
            <w:tcBorders/>
            <w:vAlign w:val="center"/>
          </w:tcPr>
          <w:p>
            <w:pPr>
              <w:pStyle w:val="TableContents"/>
              <w:bidi w:val="0"/>
              <w:spacing w:before="0" w:after="283"/>
              <w:jc w:val="left"/>
              <w:rPr>
                <w:sz w:val="4"/>
                <w:szCs w:val="4"/>
              </w:rPr>
            </w:pPr>
            <w:r>
              <w:rPr>
                <w:sz w:val="4"/>
                <w:szCs w:val="4"/>
              </w:rPr>
            </w:r>
          </w:p>
        </w:tc>
      </w:tr>
      <w:tr>
        <w:trPr/>
        <w:tc>
          <w:tcPr>
            <w:tcW w:w="4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will indemnify and hold harmless its directors and officers from and against any and all claims and liabilities to which he or she may be or become subject by reason of being or having been a director or officer of Cyclerion or by reason of alleged acts or omissions as a director or officer of Cyclerion, in each case, to the fullest extent permitted by applicable law and will reimburse each such officer and director for any and all legal and other expenses reasonably incurred in connection with such claims, whether or not such person has ceased to be a director or officer at or prior to the time such person is indemnified, held harmless or reimburse. These obligations to indemnify, hold harmless and reimburse directors and officers include payment by Cyclerion of expenses incurred in defending a civil or criminal action or proceeding in advance of the final disposition of such action or proceeding.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Cyclerion will also indemnify and hold harmless persons who serve at Cyclerion’s express written request as directors or officers of another organization, if such entity fails, directly or through insurance, to cover such costs and expenses; provided that, such other entity will be the full indemnitor or insurer of first resort for any such liabilities, expenses or other losses and only thereafter will Cyclerion be required to pay indemnification or advancement of any such liabilities, expenses or other losses.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rights conferred on any person by the Cyclerion Articles will be in addition to and not exclusive of any other rights to which any officer or director of Cyclerion may otherwise be lawfully entitled.</w:t>
            </w:r>
          </w:p>
        </w:tc>
        <w:tc>
          <w:tcPr>
            <w:tcW w:w="120" w:type="dxa"/>
            <w:tcBorders/>
            <w:vAlign w:val="center"/>
          </w:tcPr>
          <w:p>
            <w:pPr>
              <w:pStyle w:val="TableContents"/>
              <w:bidi w:val="0"/>
              <w:spacing w:before="0" w:after="283"/>
              <w:jc w:val="left"/>
              <w:rPr/>
            </w:pPr>
            <w:r>
              <w:rPr/>
              <w:t>  </w:t>
            </w:r>
          </w:p>
        </w:tc>
        <w:tc>
          <w:tcPr>
            <w:tcW w:w="5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Korsana Charter (i) permits Korsana to indemnify, to the fullest extent permitted by applicable law, any director or officer of Korsana, and (ii) authorizes Korsana to indemnify, to the extent permitted by the DGCL, any employee or agent of Korsana,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Korsana or is or was serving at the request of Korsana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Korsana is required to indemnify a director or officer in connection with a proceeding initiated by such person only if the proceeding was authorized by the Korsana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Korsana Bylaws require Korsana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officer of Korsana or is or was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525"/>
        <w:gridCol w:w="120"/>
        <w:gridCol w:w="6560"/>
      </w:tblGrid>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3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serving at the request of Korsana as a director, officer, or trustee of another corporation or of a partnership, joint venture, trust or other enterprise, including service with respect to an employee benefit plan (for purpose of this paragraph, an “indemnitee”), whether the basis of such proceeding is alleged action in an official capacity as a director, officer or trustee, or in any other capacity while serving as a director, officer or trustee. The Korsana Bylaws also provide that an indemnitee will have the right to be paid by Korsana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Korsana of an undertaking, by or on behalf of such indemnitee, to repay all amounts so advanced if it shall ultimately be determined by final judicial decision from which there is no further right to appeal that such indemnitee is not entitled to be indemnified for such expenses. The Korsana Bylaws also provide that the rights to indemnification and advancement of expenses shall not be exclusive of any other right which any person may have or hereafter acquire under any statute, the Korsana Charter, the Korsana Bylaws, agreement, vote of stockholders or disinterested directors or otherwise.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352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3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Holders of Cyclerion Series A Preferred Stock have the right to covert such shares into shares of Cyclerion Common Stock at any time at a ratio of 1 share of Cyclerion Series A Preferred Stock to 1 share of Cyclerion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When Cyclerion Series B Preferred Stock is issued in connection with the Merger, the holders of Cyclerion Series B Preferred Stock will have the right to convert such shares into Cyclerion Common Stock at any time at a ratio of 1 share of Cyclerion Series B Preferred Stock to 1,000 shares of Cyclerion Common Stock, subject to certain limitations, including that a holder of Cyclerion Series B Preferred Stock is prohibited from converting shares of Cyclerion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The Korsana Charter provides that holders of preferred stock have the right to convert such shares into shares of common stock, at the option of the holder, at any time, at a conversion rate in accordance with the terms set forth in the Korsana Charter. In addition, upon the earliest to occur of (i) immediately prior to the closing of the sale of shares of common stock to the public at a price of at least $4.00 per share (subject to appropriate adjustment for any stock dividend, stock split, combination or other similar recapitalization with respect to the common stock), in a firm- commitment underwritten public offering pursuant to an effective registration statement under the Securities Act, resulting in at least $75,000,000 of gross proceeds, net of the underwriting discount and commissions, to Korsana and in connection with such offering the shares of Korsana Common Stock are listed for trading on the Nasdaq Stock Market’s National Market, the New York Stock Exchange or another exchange or marketplace approved by the Korsana Board; (ii) immediately prior to the closing of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67"/>
        <w:gridCol w:w="120"/>
        <w:gridCol w:w="6218"/>
      </w:tblGrid>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18" w:type="dxa"/>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business combination pursuant to which Korsana becomes a public company under the terms set forth in the Korsana Charter; and (iii) the date and time, or the occurrence of an event, specified by vote or written consent of the Requisite Holders, all outstanding shares of preferred stock will automatically be converted into shares of common stock at the then effective conversion rate as calculated in accordance with the Korsana Charter.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First Refusal</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Certain stockholders party to the Korsana ROFR Agreement wishing to transfer any shares of Korsana capital stock (other than any shares of preferred stock or common stock that are issued or issuable upon conversion of preferred stock) must first provide Korsana with the right to purchase such shares. In such an event, if Korsana does not elect to exercise its right of first refusal in full, certain stockholders party to the Korsana ROFR Agreement have a secondary refusal right to purchase all or any portion of such shares of Korsana capital stock which are proposed for sale or transfer and not purchased by Korsana pursuant to its right of first refusal.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Co-Sale</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Certain stockholders party to the Korsana ROFR Agreement have a right of co-sale with respect to any Korsana capital stock proposed to be transferred or sold that is not either purchased by Korsana by exercise of its right of first refusal (as further described above) or by any Korsana stockholder by exercise of their secondary refusal right (as further described above), each pursuant to the Korsana ROFR Agreement.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pPr>
            <w:r>
              <w:rPr/>
              <w:t>Cyclerion shareholders do not have preemptive rights. Thus, if additional shares of Cyclerion Common Stock are issued, the current holders of Cyclerion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Korsana stockholders do not have preemptive rights. Thus, if additional shares of Korsana Common Stock are issued, the current holders of Korsana Common Stock will own a proportionately smaller interest in a larger number of outstanding shares of common stock to the extent that they do not participate in the additional issuance.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Stockholders</w:t>
            </w:r>
          </w:p>
        </w:tc>
      </w:tr>
      <w:tr>
        <w:trPr/>
        <w:tc>
          <w:tcPr>
            <w:tcW w:w="3867" w:type="dxa"/>
            <w:tcBorders/>
            <w:vAlign w:val="center"/>
          </w:tcPr>
          <w:p>
            <w:pPr>
              <w:pStyle w:val="TableContents"/>
              <w:bidi w:val="0"/>
              <w:spacing w:before="0" w:after="283"/>
              <w:jc w:val="left"/>
              <w:rPr>
                <w:sz w:val="4"/>
                <w:szCs w:val="4"/>
              </w:rPr>
            </w:pPr>
            <w:r>
              <w:rPr>
                <w:sz w:val="4"/>
                <w:szCs w:val="4"/>
              </w:rPr>
            </w:r>
          </w:p>
        </w:tc>
        <w:tc>
          <w:tcPr>
            <w:tcW w:w="6338" w:type="dxa"/>
            <w:gridSpan w:val="2"/>
            <w:tcBorders/>
            <w:vAlign w:val="center"/>
          </w:tcPr>
          <w:p>
            <w:pPr>
              <w:pStyle w:val="TableContents"/>
              <w:bidi w:val="0"/>
              <w:spacing w:before="0" w:after="283"/>
              <w:jc w:val="left"/>
              <w:rPr>
                <w:sz w:val="4"/>
                <w:szCs w:val="4"/>
              </w:rPr>
            </w:pPr>
            <w:r>
              <w:rPr>
                <w:sz w:val="4"/>
                <w:szCs w:val="4"/>
              </w:rPr>
            </w:r>
          </w:p>
        </w:tc>
      </w:tr>
      <w:tr>
        <w:trPr/>
        <w:tc>
          <w:tcPr>
            <w:tcW w:w="3867" w:type="dxa"/>
            <w:tcBorders/>
            <w:vAlign w:val="center"/>
          </w:tcPr>
          <w:p>
            <w:pPr>
              <w:pStyle w:val="TableContents"/>
              <w:bidi w:val="0"/>
              <w:spacing w:before="0" w:after="283"/>
              <w:jc w:val="left"/>
              <w:rPr/>
            </w:pPr>
            <w:r>
              <w:rPr/>
              <w:t>Subject to preferences that may be applicable to any outstanding shares of Cyclerion preferred stock, the holders of Cyclerion Common Stock are entitled to receive ratably such dividends as may be declared by the Cyclerion Board out of legally available funds.</w:t>
            </w:r>
          </w:p>
        </w:tc>
        <w:tc>
          <w:tcPr>
            <w:tcW w:w="120" w:type="dxa"/>
            <w:tcBorders/>
            <w:vAlign w:val="center"/>
          </w:tcPr>
          <w:p>
            <w:pPr>
              <w:pStyle w:val="TableContents"/>
              <w:bidi w:val="0"/>
              <w:spacing w:before="0" w:after="283"/>
              <w:jc w:val="left"/>
              <w:rPr/>
            </w:pPr>
            <w:r>
              <w:rPr/>
              <w:t>  </w:t>
            </w:r>
          </w:p>
        </w:tc>
        <w:tc>
          <w:tcPr>
            <w:tcW w:w="6218" w:type="dxa"/>
            <w:tcBorders/>
            <w:vAlign w:val="center"/>
          </w:tcPr>
          <w:p>
            <w:pPr>
              <w:pStyle w:val="TableContents"/>
              <w:bidi w:val="0"/>
              <w:spacing w:before="0" w:after="283"/>
              <w:jc w:val="left"/>
              <w:rPr/>
            </w:pPr>
            <w:r>
              <w:rPr/>
              <w:t>Korsana shall not declare, pay or set aside any dividends (other than dividends on shares of common stock payable in shares of common stock) unless holders of preferred stock first receive, or simultaneously receive, a dividend on each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372"/>
        <w:gridCol w:w="120"/>
        <w:gridCol w:w="6713"/>
      </w:tblGrid>
      <w:tr>
        <w:trPr/>
        <w:tc>
          <w:tcPr>
            <w:tcW w:w="3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13" w:type="dxa"/>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outstanding share of preferred stock in an amount calculated in accordance with the Korsana Charter.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3372" w:type="dxa"/>
            <w:tcBorders/>
            <w:vAlign w:val="center"/>
          </w:tcPr>
          <w:p>
            <w:pPr>
              <w:pStyle w:val="TableContents"/>
              <w:bidi w:val="0"/>
              <w:spacing w:before="0" w:after="283"/>
              <w:jc w:val="left"/>
              <w:rPr>
                <w:sz w:val="4"/>
                <w:szCs w:val="4"/>
              </w:rPr>
            </w:pPr>
            <w:r>
              <w:rPr>
                <w:sz w:val="4"/>
                <w:szCs w:val="4"/>
              </w:rPr>
            </w:r>
          </w:p>
        </w:tc>
        <w:tc>
          <w:tcPr>
            <w:tcW w:w="6833" w:type="dxa"/>
            <w:gridSpan w:val="2"/>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283"/>
              <w:jc w:val="left"/>
              <w:rPr/>
            </w:pPr>
            <w:r>
              <w:rPr/>
              <w:t>The Cyclerion Articles provide that unless the Cyclerion Board consents in writing to the selection of an alternative forum, a state or federal court located within the Commonwealth of Massachusetts shall be the sole and exclusive forum for (i) any derivative action or proceeding brought on behalf of Cyclerion; (ii) any action asserting a claim of breach of a fiduciary duty owed by any director, officer or other employee of Cyclerion to Cyclerion or its shareholders; (iii) any action asserting a claim against Cyclerion arising pursuant to any provision of the MBCA or any successor statute; or (iv) any action asserting a claim against Cyclerion governed by the internal affairs doctrine.</w:t>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The Korsana Charter provides that, unless Korsana consents in writing to the selection of an alternative forum, the Court of Chancery in the State of Delaware shall be the sole and exclusive forum for any stockholder (including a beneficial owner) to bring (i) any derivative action or proceeding brought on behalf of Korsana, (ii) any action asserting a claim of breach of fiduciary duty owed by any director, officer or other employee of Korsana to Korsana or Korsana’s stockholders, (iii) any action asserting a claim against Korsana, its directors, officers or employees arising pursuant to any provision of the DGCL, the Korsana Charter or the Korsana Bylaws or (iv) any action asserting a claim against Korsana, its directors, officers or employees governed by the internal affairs doctrine or that otherwise relates to the internal affairs of Korsana,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Korsana’s stockholders in pursuing any such claims, particularly if the stockholders do not reside in or near the State of Delaware or were permitted to select another jurisdiction. Additionally, these provisions may limit Korsana’s stockholders’ ability to bring a claim in a judicial forum that they find favorable for disputes with Korsana or its directors, officers or other employees, which may discourage such lawsuits against Korsana and its directors, officers and other employees even though an action, if successful, might benefit its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3372" w:type="dxa"/>
            <w:tcBorders/>
            <w:vAlign w:val="center"/>
          </w:tcPr>
          <w:p>
            <w:pPr>
              <w:pStyle w:val="TableContents"/>
              <w:bidi w:val="0"/>
              <w:spacing w:before="0" w:after="283"/>
              <w:jc w:val="left"/>
              <w:rPr>
                <w:sz w:val="4"/>
                <w:szCs w:val="4"/>
              </w:rPr>
            </w:pPr>
            <w:r>
              <w:rPr>
                <w:sz w:val="4"/>
                <w:szCs w:val="4"/>
              </w:rPr>
            </w:r>
          </w:p>
        </w:tc>
        <w:tc>
          <w:tcPr>
            <w:tcW w:w="6833" w:type="dxa"/>
            <w:gridSpan w:val="2"/>
            <w:tcBorders/>
            <w:vAlign w:val="center"/>
          </w:tcPr>
          <w:p>
            <w:pPr>
              <w:pStyle w:val="TableContents"/>
              <w:bidi w:val="0"/>
              <w:spacing w:before="0" w:after="283"/>
              <w:jc w:val="left"/>
              <w:rPr>
                <w:sz w:val="4"/>
                <w:szCs w:val="4"/>
              </w:rPr>
            </w:pPr>
            <w:r>
              <w:rPr>
                <w:sz w:val="4"/>
                <w:szCs w:val="4"/>
              </w:rPr>
            </w:r>
          </w:p>
        </w:tc>
      </w:tr>
      <w:tr>
        <w:trPr/>
        <w:tc>
          <w:tcPr>
            <w:tcW w:w="33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than in connection with the Merger, Cyclerion shareholders do not have any registration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the Merger, Cyclerion will enter into the Registration Rights Agreement with the investors participating in the Korsana Pre-Closing Financing, pursuant to which, among other things, the Combined</w:t>
            </w:r>
          </w:p>
        </w:tc>
        <w:tc>
          <w:tcPr>
            <w:tcW w:w="12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283"/>
              <w:jc w:val="left"/>
              <w:rPr/>
            </w:pPr>
            <w:r>
              <w:rPr/>
              <w:t>Under the Korsana IRA, certain holders of Korsana capital stock that are party to the Korsana IRA, have certain registration rights, including the right to demand that Korsana file a registration statement, so called “demand” registration rights, or request that their shares be covered by a registration statement that Korsana is otherwise filing, so-called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248"/>
        <w:gridCol w:w="120"/>
        <w:gridCol w:w="4837"/>
      </w:tblGrid>
      <w:tr>
        <w:trPr/>
        <w:tc>
          <w:tcPr>
            <w:tcW w:w="52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283"/>
              <w:jc w:val="left"/>
              <w:rPr/>
            </w:pPr>
            <w:r>
              <w:rPr/>
              <w:t>Company will agree to prepare and file a resale registration statement covering the resale of certain shares of Cyclerion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12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left"/>
              <w:rPr/>
            </w:pPr>
            <w:r>
              <w:rPr/>
              <w:t>“</w:t>
            </w:r>
            <w:r>
              <w:rPr/>
              <w:t>piggyback” registration rights. The registration rights granted under the Korsana IRA will terminate upon the earlier of: (i) the closing of a Deemed Liquidation Event (as such term is defined in the Korsana Charter), (ii) such time after Korsana’s initial public offering when all registrable securities could be sold under Rule 144 of the Securities Act or a similar exemption without limitation during a three-month period without registration or (iii) the third anniversary of Korsana’s initial public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Share Transfer Restrictions Applicable to Shareholders</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4957" w:type="dxa"/>
            <w:gridSpan w:val="2"/>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283"/>
              <w:jc w:val="left"/>
              <w:rPr/>
            </w:pPr>
            <w:r>
              <w:rPr/>
              <w:t>Shares of Cyclerion Common Stock are transferable in the manner prescribed by the MBCA.</w:t>
            </w:r>
          </w:p>
        </w:tc>
        <w:tc>
          <w:tcPr>
            <w:tcW w:w="120" w:type="dxa"/>
            <w:tcBorders/>
            <w:vAlign w:val="center"/>
          </w:tcPr>
          <w:p>
            <w:pPr>
              <w:pStyle w:val="TableContents"/>
              <w:bidi w:val="0"/>
              <w:spacing w:before="0" w:after="283"/>
              <w:jc w:val="left"/>
              <w:rPr/>
            </w:pPr>
            <w:r>
              <w:rPr/>
              <w:t>  </w:t>
            </w:r>
          </w:p>
        </w:tc>
        <w:tc>
          <w:tcPr>
            <w:tcW w:w="4837" w:type="dxa"/>
            <w:tcBorders/>
            <w:vAlign w:val="center"/>
          </w:tcPr>
          <w:p>
            <w:pPr>
              <w:pStyle w:val="TableContents"/>
              <w:bidi w:val="0"/>
              <w:spacing w:before="0" w:after="283"/>
              <w:jc w:val="left"/>
              <w:rPr/>
            </w:pPr>
            <w:r>
              <w:rPr/>
              <w:t>Transfers of shares of Korsana capital stock are subject to restrictions set forth in the Korsana Bylaws, Korsana ROFR Agreement and Korsana IRA.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x111069_38"/>
      <w:bookmarkEnd w:id="40"/>
      <w:r>
        <w:rPr>
          <w:rFonts w:ascii="Times New Roman" w:hAnsi="Times New Roman"/>
          <w:b/>
          <w:sz w:val="20"/>
        </w:rPr>
        <w:t xml:space="preserve">PRINCIPAL SHAREHOLDERS OF CYCLERION </w:t>
      </w:r>
    </w:p>
    <w:p>
      <w:pPr>
        <w:pStyle w:val="TextBody"/>
        <w:bidi w:val="0"/>
        <w:spacing w:before="240" w:after="0"/>
        <w:jc w:val="left"/>
        <w:rPr>
          <w:rFonts w:ascii="Times New Roman" w:hAnsi="Times New Roman"/>
          <w:sz w:val="20"/>
        </w:rPr>
      </w:pPr>
      <w:r>
        <w:rPr>
          <w:rFonts w:ascii="Times New Roman" w:hAnsi="Times New Roman"/>
          <w:sz w:val="20"/>
        </w:rPr>
        <w:t>As of June 30, 2026, Cyclerion had 4,330,314 shares of Cyclerion Common Stock issued and outstanding. The table below shows certain information about the beneficial ownership of Cyclerion Common Stock, as of June 30, 2026, by:</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directors,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Cyclerion’s named executive officers, and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Cyclerion’s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rules, Cyclerion has included in the column “Number of Shares Beneficially Owned” all shares of Cyclerion Common Stock over which the person has sole or shared voting or investment power as of June 30, 2026, and all shares of Cyclerion Common Stock that the person has the right to acquire within 60 days after June 30, 2026 through the exercise of any stock options. All shares that a person has a right to acquire within 60 days of June 30, 2026 are deemed outstanding for the purpose of computing the percentage beneficially owned by the person, but are not deemed outstanding for the purpose of computing the percentage beneficially owned by any other person. Unless otherwise indicated, each person has the sole power (or shares the power with a spouse) to invest and vote the shares of Cyclerion Common Stock listed opposite the person’s name. Where applicable, ownership is subject to community property laws. Our inclusion of shares in this table as beneficially owned is not an admission of beneficial ownership of those shares by the person listed in the table.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beneficial ownership in the table below is based on 4,330,314 shares of Common Stock outstanding plus 351,037 shares of Common Stock that may be issued upon conversion of shares of our preferred stock purchased by Dr. Hecht in May 2023, each as of June 30, 2026. The address of all named executive officers and directors is 245 First Street, 18th Floor, Cambridge, MA 02142. </w:t>
      </w:r>
    </w:p>
    <w:p>
      <w:pPr>
        <w:pStyle w:val="TextBody"/>
        <w:bidi w:val="0"/>
        <w:spacing w:before="0" w:after="0"/>
        <w:jc w:val="left"/>
        <w:rPr/>
      </w:pPr>
      <w:r>
        <w:rPr/>
        <w:t> </w:t>
      </w:r>
    </w:p>
    <w:tbl>
      <w:tblPr>
        <w:tblW w:w="7730" w:type="dxa"/>
        <w:jc w:val="left"/>
        <w:tblInd w:w="0" w:type="dxa"/>
        <w:tblLayout w:type="fixed"/>
        <w:tblCellMar>
          <w:top w:w="0" w:type="dxa"/>
          <w:left w:w="0" w:type="dxa"/>
          <w:bottom w:w="0" w:type="dxa"/>
          <w:right w:w="0" w:type="dxa"/>
        </w:tblCellMar>
      </w:tblPr>
      <w:tblGrid>
        <w:gridCol w:w="4865"/>
        <w:gridCol w:w="120"/>
        <w:gridCol w:w="60"/>
        <w:gridCol w:w="980"/>
        <w:gridCol w:w="60"/>
        <w:gridCol w:w="120"/>
        <w:gridCol w:w="142"/>
        <w:gridCol w:w="1048"/>
        <w:gridCol w:w="335"/>
      </w:tblGrid>
      <w:tr>
        <w:trPr/>
        <w:tc>
          <w:tcPr>
            <w:tcW w:w="4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bidi w:val="0"/>
              <w:spacing w:before="0" w:after="283"/>
              <w:jc w:val="left"/>
              <w:rPr>
                <w:b/>
              </w:rPr>
            </w:pPr>
            <w:r>
              <w:rPr>
                <w:b/>
              </w:rPr>
              <w:t>Name of Beneficial Owner</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w:t>
              <w:br/>
              <w:t>Shares of</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Percentage</w:t>
              <w:br/>
              <w:t>of Shares</w:t>
              <w:br/>
              <w:t>Beneficially</w:t>
              <w:br/>
              <w:t>Owned</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Errol B. De Souza, Ph.D.(1)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1.1</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 Hecht, Ph.D.(2)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1,021,224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21.3</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 Higgins(3)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30,740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E. Hyman, M.D.(4)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23,887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 Katabi, Ph.D.(5)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Regina M. Graul, Ph.D.(6)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127,912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w:t>
            </w:r>
          </w:p>
        </w:tc>
        <w:tc>
          <w:tcPr>
            <w:tcW w:w="335" w:type="dxa"/>
            <w:tcBorders/>
            <w:shd w:fill="CCEEFF" w:val="clear"/>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Rhonda M. Chicko(7)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executive officers and directors as a group (7 persons)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1,291,319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b/>
              </w:rPr>
            </w:pPr>
            <w:r>
              <w:rPr>
                <w:b/>
              </w:rPr>
              <w:t>27.6</w:t>
            </w:r>
          </w:p>
        </w:tc>
        <w:tc>
          <w:tcPr>
            <w:tcW w:w="335" w:type="dxa"/>
            <w:tcBorders/>
            <w:shd w:fill="CCEEFF" w:val="clear"/>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155"/>
        <w:gridCol w:w="1805"/>
      </w:tblGrid>
      <w:tr>
        <w:trPr/>
        <w:tc>
          <w:tcPr>
            <w:tcW w:w="155"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w:t>
            </w:r>
          </w:p>
        </w:tc>
      </w:tr>
    </w:tbl>
    <w:p>
      <w:pPr>
        <w:pStyle w:val="TextBody"/>
        <w:bidi w:val="0"/>
        <w:spacing w:before="0" w:after="0"/>
        <w:jc w:val="left"/>
        <w:rPr>
          <w:rFonts w:ascii="Times New Roman" w:hAnsi="Times New Roman"/>
          <w:sz w:val="20"/>
        </w:rPr>
      </w:pPr>
      <w:r>
        <w:rPr>
          <w:rFonts w:ascii="Times New Roman" w:hAnsi="Times New Roman"/>
          <w:sz w:val="20"/>
        </w:rPr>
        <w:t xml:space="preserve">This table is based upon information supplied by officers, directors and shareholders known by us to be beneficial owners of more than 5% of our Common Stock, information obtained from Schedules 13G or 13D filed with the SEC and based on information publicly available reporting beneficial ownership of our Common Stock. Unless otherwise noted below, no shareholder has had any position, office or other material relationship with us or any of our predecessors or affiliates within the past three years.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20,000 shares of Common Stock issued on November 30, 2023 as restricted Common Stock for services as a member of the Company’s Board of Directors, of which 15,010 of these shares are vested through June 30, 2026 and the remaining 4,990 shares vest ratably on a monthly basis through June 1, 2027, provided that Dr. De Souza remains as a director of the Company on each such applicable vesting date, subject to certain exemptions, (ii) 30,000 shares of Common Stock issued on November 30, 2023 as restricted Common Stock for services as Chairman of the Board of Directors, of which 22,500 of these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shares are vested through June 30, 2026 and the remaining 7,500 shares vest ratably on a monthly basis through June 1, 2027, provided that Dr. De Souza remains as Chairman of the Board of Directors of the Company on each such applicable vesting date subject to certain exemptions, and (iii) an additional 2,500 shares of Common Stock that underlie stock options that are currently exercisable or will be exercisable within the next 60 days.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559,203 shares of Common Stock held directly by Dr. Hecht, (ii) an additional 110,984 shares of Common Stock that underlie stock options that are currently exercisable or will be exercisable within 60 days, and (iii) 351,037 shares of Common Stock that may be issued upon conversion of shares of our preferred stock purchased by Dr. Hecht in May 2023. These shares of preferred stock have no voting rights but may be converted into our Common Stock by the holder at any time. The shares of Common Stock held directly by Dr. Hecht include (i) 20,000 shares of Common Stock issued on November 30, 2023 as restricted Common Stock for services as a member of our Board, of which 15,010 shares are vested as of June 30, 2026 and the remaining 4,990 shares vest ratably on a monthly basis through June 1, 2027, provided that Dr. Hecht remains as a director of the Company on each such applicable vesting date, subject to certain exemptions, (ii) 15,000 shares of Common Stock issued on December 1, 2023 as restricted Common Stock, of which 9,703 shares are vested as of June 30, 2026 and the remaining 5,297 shares vest ratably on a monthly basis through November 1, 2027, provided that Dr. Hecht remains as a consultant to or a director of the Company on each such applicable vesting date, subject to certain exemptions, and (iii) 15,000 shares of Common Stock issued on January 2, 2024 as restricted Common Stock, of which 9,570 shares are vested as of June 30, 2026 and the remaining 5,430 shares vest ratably through November 1, 2027, provided that Dr. Hecht remains as a consultant to or a director of the Company on each such applicable vesting date, subject to certain exemptions. On July 16, 2026 Dr. Hecht forfeited options to purchase 110,984 shares of Common Stock and converted 351,037 shares of preferred stock into 351,037 shares of Common Stock.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10,740 shares of Common Stock held directly by Mr. Higgins, and (ii) 20,000 shares of Common Stock issued on November 30, 2023 as restricted Common Stock for services as a member of the Company’s Board of Directors, of which 15,010 of these shares are vested as of June 30, 2026 and the remaining 4,990 shares vest ratably on a monthly basis through June 1, 2027, provided that Mr. Higgins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3,887 shares of Common Stock that underlie stock options that are currently exercisable or will be exercisable within 60 days (ii)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Hyman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20,000 shares of Common Stock issued as restricted Common Stock on November 30, 2023 for services as a member of the Company’s Board of Directors, of which 15,010 of these shares are vested as of June 30, 2026 and the remaining 4,990 shares vest ratably on a monthly basis through June 1, 2027 provided that Dr. Katabi remains as a director of the Company on each such applicable vesting date, subject to certain exemptions.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50,000 shares of Common Stock issued to Dr. Graul as restricted Common Stock on December 1, 2023, of which 34,900 of the shares vested as of June 30, 2026 and the remaining 15,010 shares vesting ratably through December 1, 2027, provided that Dr. Graul remains as an employee of the Company on each such applicable vesting date, subject to certain exemptions, (ii) 50,000 shares of Common Stock issued to Dr. Graul as restricted Common Stock on January 1, 2024, with 34,157 of the shares vested as of June 30, 2026 and the remaining 15,843 shares vesting ratably through January 1, 2028, subject to certain exemptions; and (iii) an option to acquire 55,849 shares of Common Stock with 27,912 shares exercisable or which will become exercisable within 60 days with the remainder vesting monthly through July 2028.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(7)</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18 shares owned directly by Ms. Chicko and (ii) an option to acquire 25,000 shares of Common Stock with 15,038 shares exercisable or which will become exercisable within 60 days with the remainder vesting monthly through February 2028.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x111069_39"/>
      <w:bookmarkEnd w:id="41"/>
      <w:r>
        <w:rPr>
          <w:rFonts w:ascii="Times New Roman" w:hAnsi="Times New Roman"/>
          <w:b/>
          <w:sz w:val="20"/>
        </w:rPr>
        <w:t xml:space="preserve">PRINCIPAL STOCKHOLDERS OF KORSANA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known to Korsana regarding beneficial ownership of Korsana capital stock on an as-converted to Korsana Common Stock basis as of June 30,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Korsana to be the beneficial owner of more than 5% of Korsana capital stock;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Korsana’s directors;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Korsana named executive officer;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Korsana’s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Korsana’s securities. Under such rules, beneficial ownership includes any shares over which the individual has sole or shared voting power or investment power as well as any shares that the individual has the right to acquire within 60 days of the date of this table. Shares of Korsana Common Stock that an individual has the right to acquire within 60 days of the date of this table are deemed to be outstanding and beneficially owned by the individual for the purpose of computing the percentage ownership of that individual, but they are not treated as outstanding for the purpose of computing the percentage ownership of any other person. To Korsana’s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Korsana Pre-Closing Financing in the table below is based on 101,500,000 shares of Korsana Common Stock deemed to be outstanding as of the date of this table, assuming the conversion of all outstanding shares of Korsana Preferred Stock into shares of Korsana Common Stock. The following table does not reflect any shares of Korsana Common Stock or Korsana Pre-Funded Warrants that such holders have agreed to purchase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5510"/>
        <w:gridCol w:w="120"/>
        <w:gridCol w:w="61"/>
        <w:gridCol w:w="1129"/>
        <w:gridCol w:w="60"/>
        <w:gridCol w:w="120"/>
        <w:gridCol w:w="153"/>
        <w:gridCol w:w="1127"/>
        <w:gridCol w:w="29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Fairmount Healthcare Fund II, L.P.(1)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21,700,000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Sanofi Ventures(6)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7,500,000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12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60,763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2,474,146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2.4</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21,700,000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21.4</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46,734,909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45.4</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22,500,000 shares of Korsana Common Stock issuable upon conversion of 10,000,000 shares of Korsana Series Seed Preferred Stock and 12,500,000 shares of Korsana Series A Preferred Stock held directly by Fairmount Healthcare Fund II, L.P. (“Fairmount Fund II”). Fairmount Funds Management LLC (“Fairmount”) serves as investment manager for Fairmount Fund II. Fairmount Fund II has delegated to Fairmount the sole power to vote and the sole power to dispose of all securities held in Fairmount Fund II’s portfolio. Because Fairmount Fund II has divested itself of voting and investment power over the securities it holds and may not revoke that delegation on less than 61 days’ notice, Fairmount Fund II disclaims beneficial ownership of the securities it holds. As managers of Fairmount, Peter Harwin and Tomas Kiselak may be deemed to have voting and investment power over the shares held by Fairmount Fund II. 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4,166,166 shares of Korsana Common Stock issuable upon conversion of Korsana Series A Preferred Stock held by Venrock Healthcare Capital Partners EG, L.P. (“VHCP EG”), (ii) 8,333,334 shares of Korsana Common Stock issuable upon conversion of Korsana Series A Preferred Stock held by Venrock Healthcare Capital Partners XP, L.P. (“VHCP XP”) (iii) 627,840 shares of Korsana Common Stock issuable upon conversion of Korsana Series Seed Preferred Stock held by Venrock Healthcare Capital Partners III, L.P. (“VHCP III”), (iv) 62,720 shares of Korsana Common Stock issuable upon conversion of Korsana Series Seed Preferred Stock held by VHCP Co-Investment Holdings III, LLC (“VCHP Co-III”), (v) 4,000,000 shares of Korsana Common Stock issuable upon conversion of Korsana Series Seed Preferred Stock held by VHCP XP, and (vi) 4,509,440 shares of Korsana Common Stock issuable upon conversion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Korsana Series Seed Preferred Stock held by VCHP EG.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Dr. Koh, Mr. Shah, VHCPM III, VHCPM EG and VHCPM XP disclaim beneficial ownership over all shares held by VHCP III, VHCP Co-III, VHCP EG and VHCP XP, except to the extent of their respective indirect pecuniary interests therein. The principal business address of each of the foregoing persons is 7 Bryant Park, 23rd Floor, New York, New York 10018.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10,000,000 shares of Korsana Common Stock issuable upon conversion of Korsana Series A Preferred Stock held by TCG Crossover Fund II, L.P. (“TCGX”).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8,530,000 shares of Korsana Common Stock issuable upon conversion of Korsana Series A Preferred Stock held by 270 Life Sciences Private Capital Master Fund I SCA-RAIF, (ii) 1,240,000 shares of Korsana Common Stock issuable upon conversion of Korsana Series A Preferred Stock held by 270 Life Sciences Private Capital Employee Fund I LP and (iii) 230,000 shares of Korsana Common Stock issuable upon conversion of Korsana Series A Preferred Stock held by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7,500,000 shares of Korsana Common Stock issuable upon conversion of Korsana Series A Preferred Stock held by Wellington Biomedical Innovation Master Investors (Cayman) II L.P. (“Wellington Biomedical Fund”) and (ii) 500,000 shares of Korsana Common Stock issuable upon conversion of Korsana Series A Preferred Stock held by Wellington Private Investments Opportunities SPV 2, LLC (“WPIO”). Wellington Management Company LLP, a registered investment adviser under the Investment Advisers Act of 1940, as amended (“WMC”), is the investment advisor to Wellington Biomedical Fund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and WPIO. Additional information about WMC is available in its Form ADV filed with the SEC. The address of all entities referenced in this footnote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Sanofi Ventures LLC. The corporate address for Sanofi Ventures LLC is 100 Morris Street, Morristown, New Jersey 07960.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7,500,000 shares of Korsana Common Stock issuable upon conversion of Korsana Series A Preferred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57,870 shares of common stock and (b) options to acquire 2,893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(9)</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(a)1,000,000 shares of restricted common stock, (b) vested options to acquire 1,368,850 shares of common stock and (c) options to acquire 105,296 shares of common stock that will vest within 60 days of the date of this table. </w:t>
            </w:r>
          </w:p>
        </w:tc>
      </w:tr>
    </w:tbl>
    <w:tbl>
      <w:tblPr>
        <w:tblW w:w="2350" w:type="dxa"/>
        <w:jc w:val="left"/>
        <w:tblInd w:w="0" w:type="dxa"/>
        <w:tblLayout w:type="fixed"/>
        <w:tblCellMar>
          <w:top w:w="0" w:type="dxa"/>
          <w:left w:w="0" w:type="dxa"/>
          <w:bottom w:w="0" w:type="dxa"/>
          <w:right w:w="0" w:type="dxa"/>
        </w:tblCellMar>
      </w:tblPr>
      <w:tblGrid>
        <w:gridCol w:w="425"/>
        <w:gridCol w:w="1925"/>
      </w:tblGrid>
      <w:tr>
        <w:trPr/>
        <w:tc>
          <w:tcPr>
            <w:tcW w:w="425"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tx111069_40"/>
      <w:bookmarkEnd w:id="42"/>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3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June 30, 2026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Cyclerion and Korsana to be the beneficial owner of more than 5% of the Combined Company’s common stock;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June 30, 2026. Shares of the Combined Company’s common stock that an individual or entity has the right to acquire within 60 days of June 30, 2026 are deemed to be outstanding and beneficially owned by the individual or entity for the purpose of computing the percentage ownership of that individual, but they are not treated as outstanding for the purpose of computing the percentage ownership of any other person. To Cyclerion’s and Korsana’s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323,574,795 shares of common stock expected to be outstanding upon consummation of the Merger, after giving effect to the Korsana Pre-Closing Financing and prior to giving effect to the anticipated Cyclerion reverse stock split and includes 1,074,427 shares of unvested restricted common stock. The number of shares beneficially owned includes shares of common stock that each person has the right to acquire within 60 days, including upon the exercise of stock options and warrants. These stock options and warrants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Cyclerion securityholders as of immediately prior to the Merger are expected to own approximately 1.1% of the outstanding shares of capital stock of the Combined Company (on a fully-diluted basis), and former holders of Korsana securities are expected to own approximately 98.9% of the outstanding shares of capital stock of the Combined Company (on a fully-diluted basis), subject to certain assumptions, including, but not limited to, Cyclerion’s Net Cash as of closing being equal to $(2.5) million. There can be no assurances any of these assumptions will be accurate at closing when the final Exchange Ratio is determined. The table below assumes that, based on Cyclerion’s and Korsana’s capitalization as of June 30, 2026, the Exchange Ratio is estimated to be equal to approximately 1.4735 shares of Cyclerion Common Stock for each share of Korsana Common Stock, prior to giving effect to the anticipated Cyclerion reverse stock split. The estimated Exchange Ratio was derived on a fully-diluted basis, using a stipulated value of Korsana of $268.4 million and of Cyclerion of $10 million, assuming Net Cash of $0 as of Closing. The final Exchange Ratio is subject to adjustment prior to the closing of the Merger based upon Cyclerion’s Net Cash at Closing and the aggregate proceeds from the sale of Korsana Common Stock and Korsana Pre-Funded Warrants in the Korsana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Korsana Biosciences, Inc., 203 Crescent Street, Bldgs. #3/3A/4, Suite 503, Waltham, MA 02453. </w:t>
      </w:r>
    </w:p>
    <w:p>
      <w:pPr>
        <w:pStyle w:val="TextBody"/>
        <w:bidi w:val="0"/>
        <w:spacing w:before="0" w:after="0"/>
        <w:jc w:val="left"/>
        <w:rPr/>
      </w:pPr>
      <w:r>
        <w:rPr/>
        <w:t> </w:t>
      </w:r>
    </w:p>
    <w:tbl>
      <w:tblPr>
        <w:tblW w:w="8660" w:type="dxa"/>
        <w:jc w:val="left"/>
        <w:tblInd w:w="0" w:type="dxa"/>
        <w:tblLayout w:type="fixed"/>
        <w:tblCellMar>
          <w:top w:w="0" w:type="dxa"/>
          <w:left w:w="0" w:type="dxa"/>
          <w:bottom w:w="0" w:type="dxa"/>
          <w:right w:w="0" w:type="dxa"/>
        </w:tblCellMar>
      </w:tblPr>
      <w:tblGrid>
        <w:gridCol w:w="5510"/>
        <w:gridCol w:w="120"/>
        <w:gridCol w:w="60"/>
        <w:gridCol w:w="1220"/>
        <w:gridCol w:w="60"/>
        <w:gridCol w:w="120"/>
        <w:gridCol w:w="123"/>
        <w:gridCol w:w="1157"/>
        <w:gridCol w:w="290"/>
      </w:tblGrid>
      <w:tr>
        <w:trPr/>
        <w:tc>
          <w:tcPr>
            <w:tcW w:w="5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of Shares</w:t>
              <w:br/>
              <w:t>Outstanding</w:t>
              <w:br/>
              <w:t>Beneficially</w:t>
              <w:br/>
              <w:t>Owned</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Fairmount(1)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64,682,599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Venrock Healthcare Capital Partners(2)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32,325,118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TCGX(3)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32,325,119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Wellington Management(4)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21,179,655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6.55</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FMR LLC(5)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19,432,861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6.01</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J.P. Morgan Life Sciences Private Capital(6)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19,117,772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5.91</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Investors(7)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16,686,244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5.16</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Andrew Gottesdiener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Heidi Henson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Tomas Kiselak(1)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64,682,599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19.99</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Michelle Pernice(8)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89,535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Violin(9)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3,645,655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1.12</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Vignola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Madelyn Zeylikman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Nimish Shah(2)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32,325,118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9.99</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(8 persons)(10)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100,742,907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30.92</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49,029,838 shares of the Combined Company’s common stock held directly by Fairmount Healthcare Fund II, L.P. (“Fairmount Fund II”) and (ii) 15,652,761 shares of the Combined Company’s common stock held directly by Fairmount Healthcare Co-Invest VI L.P. (“Co-Invest”). Excludes (i) 694,433 shares of the Combined Company’s common stock issuable upon the exercise of pre-funded warrants held by Fairmount Fund II and (ii) 14,735,000 shares of the Combined Company’s common stock issuable upon the conversion of 14,735 shares of the Combined Company’s Series B Preferred Stock held by Fairmount Fund II. The pre-funded warrants are subject to a beneficial ownership limitation of 19.99% and the shares of the Combined Company’s Series B Preferred Stock are subject to a beneficial ownership limitation of 19.99%, which such limitations restrict Fairmount Funds Management LLC (“Fairmount”) and its affiliates from exercising that portion of the warrants and converting those shares of preferred stock that would result in Fairmount and its affiliates owning, after exercise or conversion, a number of shares of the Combined Company’s common stock in excess of the applicable ownership limitation. At such time as Fairmount and its affiliates beneficially own 9.0% or less of the shares of common stock, the beneficial ownership limitation applicable to the shares of the Combined Company’s Series B Preferred Stock will automatically reduce to 9.99%. Fairmount serves as investment manager for Fairmount Fund II and Co-Invest. Each of Fairmount Fund II and Co-Invest has delegated to Fairmount the sole power to vote and the sole power to dispose of all securities held in its portfolio. Because each of Fairmount Fund II and Co-Invest has divested itself of voting and investment power over the securities it holds and may not revoke that delegation on less than 61 days’ notice, each of Fairmount Fund II and Co-Invest disclaims beneficial ownership of the securities it holds. As managers of Fairmount, Peter Harwin and Tomas Kiselak may be deemed to have voting and investment power over the shares held by Fairmount Fund II and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Fairmount, Peter Harwin and Tomas Kiselak disclaim beneficial ownership of such shares, except to the extent of any pecuniary interest therein. The address of the entities and individuals listed is 200 Barr Harbor Drive, Suite 400, West Conshohocken, PA 19428.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32,325,118 shares of the Combined Company’s common stock held by Venrock Healthcare Capital Partners EG, L.P. (“VHCP EG”) and Venrock Healthcare Capital Partners XP, L.P. (“VHCP XP”). Excludes an aggregate of 23,660,256 shares of the Combined Company’s common stock issuable upon the exercise of pre-funded warrants held by VHCP EG and VHCP XP. Excludes an aggregate of 13,556,000 shares of the Combined Company’s common stock issuable upon the conversion of 13,556 shares of the Combined Company’s Series B Preferred Stock held by VHCPEG, VHCPXP, Venrock Healthcare Capital Partners III, L.P. (“VHCP III”) and VHCP Co-Investment Holdings III, LLC (“VCHP Co-III). VHCP Management EG, LLC (“VHCPM EG”) is the sole general partner of VHCP EG. VHCP Management III, LLC (“VHCPM III”) is the sole general partner of VHCP III and the sole manager of VHCP Co-III. VHCP Management XP, LLC (“VHCPM XP”) is the sole general partner for VHCP XP. Dr. Bong Koh and Nimish Shah are the voting members of VHCPM III, VHCPM EG and VHCPM XP. The principal business address of each of the foregoing persons is 7 Bryant Park, 23rd Floor, New York, New York 10018.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32,325,119 shares of the Combined Company’s common stock held by TCG Crossover Fund II, L.P. (“TCGX”). Excludes 1,193,192 shares of the Combined Company’s common stock issuable upon the exercise of pre-funded warrants. The pre-funded warrants are subject to a beneficial ownership limitation of 9.99%, which such limitation restricts TCGX and its affiliates from exercising that portion of the warrants that would result in TCGX and its affiliates owning, after exercise, a number of shares of the Combined Company’s common stock in excess of the ownership limitation. TCG Crossover GP II, LLC, the General Partner of TCGX, and Chen Yu, Managing Partner of TCG Crossover GP II, LLC, have shared voting and dispositive power over the securities held by TCGX. The address for each of TCGX, TCG Crossover GP II, LLC and Chen Yu is 245 Lytton Ave., Suite 350, Palo Alto, California 94301.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19,762,587 shares of the Combined Company’s common stock held by Wellington Biomedical Innovation Master Investors (Cayman) II L.P. (“Wellington Biomedical Fund”), (ii) 356,398 shares of the Combined Company’s common stock held by Wellington Biotechnology Long/Short Fund, L.P. (“Wellington LS”), (iii) 323,920 shares of the Combined Company’s common stock held by Wellington Biotechnology Long/Short Fund (Bermuda) L.P. (“Wellington LS Bermuda”), and (iv) 736,750 shares of the Combined Company’s common stock held by Wellington Private Investments Opportunities SPV 2, LLC (“WPIO”). Wellington Management Company LLP, a registered investment adviser under the Investment Advisers Act of 1940, as amended (“WMC”), is the investment advisor to Wellington Biomedical Fund, Wellington LS, Wellington LS Bermuda, and WPIO. Wellington Biomedical Innovation II GP L.P. is the general partner of Wellington Biomedical Fund. Wellington Alternative Investments LLC (“WAI”) is the Manager of WPIO and Wellington Management Investment, Inc. is the Managing Member of WAI. WMC is an indirect subsidiary of Wellington Management Group LLP. Wellington Management Group LLP and WMC may be deemed beneficial owners with shared voting and investment power over the shares held by Wellington Biomedical Fund, Wellington LS, Wellington LS Bermuda, and WPIO. Additional information about WMC is available in its Form ADV filed with the SEC. The address of all entities referenced in this footnote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(5)</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and Abigail P. Johnson each have sole dispositive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power over the shares reported herein; neither has sole voting power over such shares. The address of FMR LLC is 245 Summer Street, Boston, Massachusetts 02110.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19,117,772 shares of the Combined Company’s common stock held by 270 Life Sciences Private Capital Master Fund I SCA-RAIF, 270 Life Sciences Private Capital Employee Fund I LP and J.P. Morgan Growth Equity Division Holdings Inc. 270 Life Sciences Private Capital Master Fund I SCA-RAIF is duly represented and acting through its managing general partner (actionnaire gérant commandité), 270 Life Sciences Private Capital Fund I GP (Lux) S.à.r.l. J.P. Morgan Growth Equity Division Holdings is the sole general partner of 270 Life Sciences Private Capital Employee Fund I LP. The address for each of these entities is 390 Madison Avenue, Floor 27, New York, NY 10172.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(7)</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16,686,244 shares of the Combined Company’s common stock held by Janus Henderson Biotech Innovation Master Fund Limited (“Janus Master Fund”). Such shares may be deemed to be beneficially owned by Janus Henderson Investors US LLC (“Janus”), an investment adviser registered under the Investment Advisers Act of 1940, as amended, who acts as investment adviser for Janus Master Fund and has the ability to make decisions with respect to the voting and disposition of the shares subject to the oversight of the board of directors of Janus Master Fund. Under the terms of its management contract with Janus Master Fund, Janus has overall responsibility for directing the investments of Janus Master Fund in accordance with the investment objective, policies, and limitations. Janus Master Fund has one or more portfolio managers appointed by and serving at the pleasure of Janus whom make decisions with respect to the disposition of the shares. The portfolio managers for Janus Master Fund are Andrew Acker, Daniel S. Lyons, and Agustin Mohedas. The business address of each of the aforementioned parties is c/o Janus Henderson Investors US LLC, 151 Detroit Street, Denver, Colorado 80206.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(8)</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vested options to acquire 85,272 shares of common stock and (b) options to acquire 4,263 shares of common stock that will vest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(9)</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1,473,500 shares of restricted common stock, (b) vested options to acquire 2,017,001 shares of common stock and (c) options to acquire 155,154 shares of common stock that will vest within 60 days of the date of this table. </w:t>
            </w:r>
          </w:p>
        </w:tc>
      </w:tr>
    </w:tbl>
    <w:tbl>
      <w:tblPr>
        <w:tblW w:w="2350" w:type="dxa"/>
        <w:jc w:val="left"/>
        <w:tblInd w:w="0" w:type="dxa"/>
        <w:tblLayout w:type="fixed"/>
        <w:tblCellMar>
          <w:top w:w="0" w:type="dxa"/>
          <w:left w:w="0" w:type="dxa"/>
          <w:bottom w:w="0" w:type="dxa"/>
          <w:right w:w="0" w:type="dxa"/>
        </w:tblCellMar>
      </w:tblPr>
      <w:tblGrid>
        <w:gridCol w:w="425"/>
        <w:gridCol w:w="1925"/>
      </w:tblGrid>
      <w:tr>
        <w:trPr/>
        <w:tc>
          <w:tcPr>
            <w:tcW w:w="425" w:type="dxa"/>
            <w:tcBorders/>
            <w:vAlign w:val="center"/>
          </w:tcPr>
          <w:p>
            <w:pPr>
              <w:pStyle w:val="TableContents"/>
              <w:bidi w:val="0"/>
              <w:spacing w:before="0" w:after="283"/>
              <w:jc w:val="left"/>
              <w:rPr/>
            </w:pPr>
            <w:r>
              <w:rPr/>
              <w:t>(10)</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 notes 1, 2, 8 and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tx111069_41"/>
      <w:bookmarkEnd w:id="4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Ropes &amp; Gray LLP will pass upon the validity of the securities offered by this proxy statement/prospectus. </w:t>
      </w:r>
    </w:p>
    <w:p>
      <w:pPr>
        <w:pStyle w:val="TextBody"/>
        <w:bidi w:val="0"/>
        <w:spacing w:before="480" w:after="0"/>
        <w:jc w:val="center"/>
        <w:rPr>
          <w:rFonts w:ascii="Times New Roman" w:hAnsi="Times New Roman"/>
          <w:b/>
          <w:sz w:val="20"/>
        </w:rPr>
      </w:pPr>
      <w:bookmarkStart w:id="44" w:name="tx111069_42"/>
      <w:bookmarkEnd w:id="4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Cyclerion Therapeutics, Inc. at December 31, 2025 and 2024, and for each of the two years in the period ended December 31, 2025, included in the Proxy Statement of Cyclerion Therapeutics, Inc., which is referred to and made a part of this Prospectus and Registration Statement, have been audited by Ernst &amp; Young LLP, independent registered public accounting firm, as set forth in their report thereon (which contains an explanatory paragraph describing conditions that raise substantial doubt about Cyclerion Therapeutics, Inc.’s ability to continue as a going concern as described in Note 1 to the consolidated financial statements)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Korsana Biosciences, Inc. at December 31, 2025 and 2024, and for the year ended December 31, 2025 and the period from November 8, 2024 (inception) to December 31, 2024, included in the Proxy Statement of Cyclerion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x111069_43"/>
      <w:bookmarkEnd w:id="4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Cyclerion is subject to the informational requirements of the Exchange Act and in accordance therewith, files annual, quarterly and current reports, proxy statements, and other information with the SEC electronically, and the SEC maintains a website that contains Cyclerion’s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makes available free of charge on or through its website at </w:t>
      </w:r>
      <w:r>
        <w:rPr>
          <w:rFonts w:ascii="Times New Roman" w:hAnsi="Times New Roman"/>
          <w:i/>
          <w:sz w:val="20"/>
        </w:rPr>
        <w:t>www.cyclerion.com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Cyclerion electronically files such material with or otherwise furnishes it to the SEC. The website addresses for the SEC and Cyclerion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filed with the SEC a registration statement on Form S-4, of which this proxy statement/prospectus is a part, under the Securities Act to register the shares of Cyclerion Common Stock (including the shares of Cyclerion Common Stock issuable upon conversion of Cyclerion Series B Preferred Stock) to be issued to Korsana stockholders in the Merger. The registration statement, including the attached annexes, exhibits and schedules, contains additional relevant information about Cyclerion and Cyclerion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Cyclerion has supplied all information contained in this proxy statement/prospectus relating to Cyclerion and Korsana has supplied all information contained in this proxy statement/prospectus relating to Korsana.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Cyclerion or Korsana, please send a request in writing or by telephone to either Cyclerion or Korsana at the following addresses: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2720"/>
        <w:gridCol w:w="120"/>
        <w:gridCol w:w="3815"/>
      </w:tblGrid>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pPr>
            <w:r>
              <w:rPr/>
              <w:t>Cyclerion Therapeutics, Inc.</w:t>
              <w:br/>
              <w:t>245 First Street, 18th Floor</w:t>
              <w:br/>
              <w:t>Cambridge, MA 02142</w:t>
              <w:br/>
              <w:t>Attn: Secretary</w:t>
              <w:br/>
              <w:t>Tel: (857) 327-8778</w:t>
            </w:r>
          </w:p>
        </w:tc>
        <w:tc>
          <w:tcPr>
            <w:tcW w:w="1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Korsana Biosciences, Inc.</w:t>
              <w:br/>
              <w:t>203 Crescent Street, Bldgs. #3/3A/4, Suite 503</w:t>
            </w:r>
          </w:p>
          <w:p>
            <w:pPr>
              <w:pStyle w:val="TableContents"/>
              <w:bidi w:val="0"/>
              <w:spacing w:before="0" w:after="0"/>
              <w:jc w:val="center"/>
              <w:rPr>
                <w:rFonts w:ascii="Times New Roman" w:hAnsi="Times New Roman"/>
                <w:sz w:val="20"/>
              </w:rPr>
            </w:pPr>
            <w:r>
              <w:rPr>
                <w:rFonts w:ascii="Times New Roman" w:hAnsi="Times New Roman"/>
                <w:sz w:val="20"/>
              </w:rPr>
              <w:t>Waltham, MA 02453</w:t>
              <w:br/>
              <w:t>Attn: Secretary</w:t>
            </w:r>
          </w:p>
          <w:p>
            <w:pPr>
              <w:pStyle w:val="TableContents"/>
              <w:bidi w:val="0"/>
              <w:spacing w:before="0" w:after="20"/>
              <w:jc w:val="center"/>
              <w:rPr>
                <w:rFonts w:ascii="Times New Roman" w:hAnsi="Times New Roman"/>
                <w:sz w:val="20"/>
              </w:rPr>
            </w:pPr>
            <w:r>
              <w:rPr>
                <w:rFonts w:ascii="Times New Roman" w:hAnsi="Times New Roman"/>
                <w:sz w:val="20"/>
              </w:rPr>
              <w:t>Tel: (781) 516-2325</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Cyclerion has filed its Annual Report on Form 10-K for the year ended December 31, 2025 with the SEC. It is available free of charge at the SEC’s web site at www.sec.gov. Upon written request by a Cyclerion shareholder, Cyclerion will mail without charge a copy of its Annual Report on Form 10-K, including the financial statements, but excluding exhibits to the Annual Report on Form 10-K. Exhibits to the Annual Report on Form 10-K are available upon payment of a reasonable fee, which is limited to Cyclerion’s expenses in furnishing the requested exhibit. All requests should be directed to Cyclerion’s Secretary, 245 First Street, 18th Floor, Cambridge, MA 02142 . </w:t>
      </w:r>
    </w:p>
    <w:p>
      <w:pPr>
        <w:pStyle w:val="TextBody"/>
        <w:bidi w:val="0"/>
        <w:spacing w:before="240" w:after="0"/>
        <w:jc w:val="left"/>
        <w:rPr>
          <w:rFonts w:ascii="Times New Roman" w:hAnsi="Times New Roman"/>
          <w:sz w:val="20"/>
        </w:rPr>
      </w:pPr>
      <w:r>
        <w:rPr>
          <w:rFonts w:ascii="Times New Roman" w:hAnsi="Times New Roman"/>
          <w:sz w:val="20"/>
        </w:rPr>
        <w:t xml:space="preserve">If you are a Cyclerion shareholder and would like additional copies, without charge, of this proxy statement/prospectus or if you have questions about the Merger, including the procedures for voting your shares, you should contact, Cyclerion’s proxy solicitor, Laurel Hill,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(516) 933-3100 </w:t>
      </w:r>
    </w:p>
    <w:p>
      <w:pPr>
        <w:pStyle w:val="TextBody"/>
        <w:bidi w:val="0"/>
        <w:spacing w:before="0" w:after="0"/>
        <w:jc w:val="center"/>
        <w:rPr>
          <w:rFonts w:ascii="Times New Roman" w:hAnsi="Times New Roman"/>
          <w:sz w:val="20"/>
        </w:rPr>
      </w:pPr>
      <w:r>
        <w:rPr>
          <w:rFonts w:ascii="Times New Roman" w:hAnsi="Times New Roman"/>
          <w:sz w:val="20"/>
        </w:rPr>
        <w:t xml:space="preserve">All Others Call Toll Free: (888) 742-1305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x111069_44"/>
      <w:bookmarkEnd w:id="46"/>
      <w:r>
        <w:rPr>
          <w:rFonts w:ascii="Times New Roman" w:hAnsi="Times New Roman"/>
          <w:b/>
          <w:sz w:val="20"/>
        </w:rPr>
        <w:t xml:space="preserve">SHAREHOLDER PROPOSALS OR DIRECTOR NOMINATIONS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Cyclerion Bylaws provide that, for shareholder nominations to the Cyclerion Board at an annual meeting of shareholders, the shareholder must have given timely notice thereof in writing to the Secretary at Cyclerion Therapeutics, Inc., 245 First Street, 18th Floor, Cambridge, MA 02142. To be timely for the 2027 annual meeting of shareholders, the shareholder’s notice must be delivered to us not earlier than the close of business on the 120th day nor later than the close of business on the 90th day prior to the anniversary date of the prior year’s annual meeting of shareholders, except that if the 2027 annual meeting of shareholders is set for a date that is more than 30 days before or after such anniversary date, Cyclerion must receive the notice not later than the close of business on the 60th day prior to the date of the annual meeting (provided that, if fewer than 65 days’ notice or prior public disclosure of the date of the 2027 annual meeting of shareholders is given or made to the shareholders, notice by the shareholder to be timely must be so received no later than the close of business on the 15th day following the day of such notice or public disclosure). Assuming the date of Cyclerion’s 2027 annual meeting of shareholders is not so advanced or delayed, shareholders who wish to make a proposal or a director nomination for the 2027 annual meeting of shareholders must notify Cyclerion no earlier than April 28, 2027 and no later than May 28, 2027. Such notice must provide certain information about the director nominees, as provided in the Cyclerion Bylaws. </w:t>
      </w:r>
    </w:p>
    <w:p>
      <w:pPr>
        <w:pStyle w:val="TextBody"/>
        <w:bidi w:val="0"/>
        <w:spacing w:before="240" w:after="0"/>
        <w:jc w:val="left"/>
        <w:rPr>
          <w:rFonts w:ascii="Times New Roman" w:hAnsi="Times New Roman"/>
          <w:sz w:val="20"/>
        </w:rPr>
      </w:pPr>
      <w:r>
        <w:rPr>
          <w:rFonts w:ascii="Times New Roman" w:hAnsi="Times New Roman"/>
          <w:sz w:val="20"/>
        </w:rPr>
        <w:t xml:space="preserve">For other shareholder proposals to be considered at an annual meeting of Cyclerion shareholders, the Cyclerion Bylaws provide that the shareholder must, in addition to any other applicable requirements, comply with the requirements of Rule 14a-8 of the Exchange Act. Shareholder proposals submitted pursuant to Rule 14a-8 of the Exchange Act must be received no later than the close of business on March 23,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of the Cyclerion Bylaws, to comply with the universal proxy rules, shareholders who intend to solicit proxies in support of director nominees other than the Cyclerion’s nominees for the 2027 annual meeting of shareholders must provide notice that sets forth the information required by Rule 14a-19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Bylaws </w:t>
      </w:r>
    </w:p>
    <w:p>
      <w:pPr>
        <w:pStyle w:val="TextBody"/>
        <w:bidi w:val="0"/>
        <w:spacing w:before="120" w:after="0"/>
        <w:jc w:val="left"/>
        <w:rPr>
          <w:rFonts w:ascii="Times New Roman" w:hAnsi="Times New Roman"/>
          <w:sz w:val="20"/>
        </w:rPr>
      </w:pPr>
      <w:r>
        <w:rPr>
          <w:rFonts w:ascii="Times New Roman" w:hAnsi="Times New Roman"/>
          <w:sz w:val="20"/>
        </w:rPr>
        <w:t xml:space="preserve">A copy of the Cyclerion Bylaws may be obtained by accessing Cyclerion’s filings on the SEC’s website at </w:t>
      </w:r>
      <w:r>
        <w:rPr>
          <w:rFonts w:ascii="Times New Roman" w:hAnsi="Times New Roman"/>
          <w:i/>
          <w:sz w:val="20"/>
        </w:rPr>
        <w:t>www.sec.gov</w:t>
      </w:r>
      <w:r>
        <w:rPr>
          <w:rFonts w:ascii="Times New Roman" w:hAnsi="Times New Roman"/>
          <w:sz w:val="20"/>
        </w:rPr>
        <w:t xml:space="preserve">. You may also contact Cyclerion’s corporate secretary at Cyclerion’s principal executive offices for a copy of the relevant bylaw provisions regarding the requirements for making stockholder proposals and nominating director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shareholders. This process, which is commonly referred to as “householding,” potentially means extra convenience for shareholders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Cyclerion Shareholders Meeting, a number of brokers with account holders who are Cyclerion shareholders will be “householding” the proxy materials. A single set of the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proxy materials, please notify your broker or Cyclerion. Direct your written request to Secretary at Cyclerion Therapeutics, Inc., 245 First Street, 18th Floor, Cambridge, MA 02142. Cyclerion undertakes to promptly deliver a separate set of the proxy materials upon receiving your written request. Shareholders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INDEX TO CYCLERION THERAPEUTICS, INC.’S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Years Ended December 31, 2025 and 2024 </w:t>
      </w:r>
    </w:p>
    <w:p>
      <w:pPr>
        <w:pStyle w:val="TextBody"/>
        <w:bidi w:val="0"/>
        <w:spacing w:before="0" w:after="0"/>
        <w:ind w:left="0" w:right="0" w:hanging="0"/>
        <w:jc w:val="left"/>
        <w:rPr>
          <w:spacing w:val="0"/>
        </w:rPr>
      </w:pPr>
      <w:r>
        <w:rPr>
          <w:spacing w:val="0"/>
        </w:rPr>
        <w:t> </w:t>
      </w:r>
    </w:p>
    <w:tbl>
      <w:tblPr>
        <w:tblW w:w="9895" w:type="dxa"/>
        <w:jc w:val="left"/>
        <w:tblInd w:w="0" w:type="dxa"/>
        <w:tblLayout w:type="fixed"/>
        <w:tblCellMar>
          <w:top w:w="0" w:type="dxa"/>
          <w:left w:w="0" w:type="dxa"/>
          <w:bottom w:w="0" w:type="dxa"/>
          <w:right w:w="0" w:type="dxa"/>
        </w:tblCellMar>
      </w:tblPr>
      <w:tblGrid>
        <w:gridCol w:w="9290"/>
        <w:gridCol w:w="120"/>
        <w:gridCol w:w="60"/>
        <w:gridCol w:w="350"/>
        <w:gridCol w:w="75"/>
      </w:tblGrid>
      <w:tr>
        <w:trPr/>
        <w:tc>
          <w:tcPr>
            <w:tcW w:w="9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90" w:type="dxa"/>
            <w:tcBorders/>
            <w:vAlign w:val="center"/>
          </w:tcPr>
          <w:p>
            <w:pPr>
              <w:pStyle w:val="TableContents"/>
              <w:bidi w:val="0"/>
              <w:spacing w:before="0" w:after="0"/>
              <w:jc w:val="left"/>
              <w:rPr/>
            </w:pPr>
            <w:hyperlink w:anchor="fin111069_1">
              <w:r>
                <w:rPr>
                  <w:rStyle w:val="InternetLink"/>
                  <w:rFonts w:ascii="Times New Roman" w:hAnsi="Times New Roman"/>
                  <w:spacing w:val="0"/>
                  <w:sz w:val="20"/>
                </w:rPr>
                <w:t>Report of Independent Registered Public Accounting Firm (PCAOB ID: 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2">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3">
              <w:r>
                <w:rPr>
                  <w:rStyle w:val="InternetLink"/>
                  <w:rFonts w:ascii="Times New Roman" w:hAnsi="Times New Roman"/>
                  <w:spacing w:val="0"/>
                  <w:sz w:val="20"/>
                </w:rPr>
                <w:t>Consolidated Statements of Operations and Comprehensive Loss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4">
              <w:r>
                <w:rPr>
                  <w:rStyle w:val="InternetLink"/>
                  <w:rFonts w:ascii="Times New Roman" w:hAnsi="Times New Roman"/>
                  <w:spacing w:val="0"/>
                  <w:sz w:val="20"/>
                </w:rPr>
                <w:t>Consolidated Statements of Stockholders’ Equity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5">
              <w:r>
                <w:rPr>
                  <w:rStyle w:val="InternetLink"/>
                  <w:rFonts w:ascii="Times New Roman" w:hAnsi="Times New Roman"/>
                  <w:spacing w:val="0"/>
                  <w:sz w:val="20"/>
                </w:rPr>
                <w:t>Consolidated Statements of Cash Flows for the years ended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r>
        <w:trPr/>
        <w:tc>
          <w:tcPr>
            <w:tcW w:w="9290" w:type="dxa"/>
            <w:tcBorders/>
            <w:vAlign w:val="center"/>
          </w:tcPr>
          <w:p>
            <w:pPr>
              <w:pStyle w:val="TableContents"/>
              <w:bidi w:val="0"/>
              <w:spacing w:before="0" w:after="0"/>
              <w:jc w:val="left"/>
              <w:rPr/>
            </w:pPr>
            <w:hyperlink w:anchor="fin111069_6">
              <w:r>
                <w:rPr>
                  <w:rStyle w:val="InternetLink"/>
                  <w:rFonts w:ascii="Times New Roman" w:hAnsi="Times New Roman"/>
                  <w:spacing w:val="0"/>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F-8</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Three Months Ended March 31, 2026 and 2025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24"/>
        <w:gridCol w:w="120"/>
        <w:gridCol w:w="60"/>
        <w:gridCol w:w="425"/>
        <w:gridCol w:w="76"/>
      </w:tblGrid>
      <w:tr>
        <w:trPr/>
        <w:tc>
          <w:tcPr>
            <w:tcW w:w="9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24" w:type="dxa"/>
            <w:tcBorders/>
            <w:vAlign w:val="center"/>
          </w:tcPr>
          <w:p>
            <w:pPr>
              <w:pStyle w:val="TableContents"/>
              <w:bidi w:val="0"/>
              <w:spacing w:before="0" w:after="0"/>
              <w:jc w:val="left"/>
              <w:rPr/>
            </w:pPr>
            <w:hyperlink w:anchor="fin111069_6a">
              <w:r>
                <w:rPr>
                  <w:rStyle w:val="InternetLink"/>
                  <w:rFonts w:ascii="Times New Roman" w:hAnsi="Times New Roman"/>
                  <w:spacing w:val="0"/>
                  <w:sz w:val="20"/>
                </w:rPr>
                <w:t>Condensed Consolidated Balance Sheets as of March 31, 2026 and December 31,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right"/>
              <w:rPr>
                <w:spacing w:val="0"/>
              </w:rPr>
            </w:pPr>
            <w:r>
              <w:rPr>
                <w:spacing w:val="0"/>
              </w:rPr>
              <w:t>F-25</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b">
              <w:r>
                <w:rPr>
                  <w:rStyle w:val="InternetLink"/>
                  <w:rFonts w:ascii="Times New Roman" w:hAnsi="Times New Roman"/>
                  <w:spacing w:val="0"/>
                  <w:sz w:val="20"/>
                </w:rPr>
                <w:t>Condensed Consolidated Statements of Operations and Comprehensive Loss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right"/>
              <w:rPr>
                <w:spacing w:val="0"/>
              </w:rPr>
            </w:pPr>
            <w:r>
              <w:rPr>
                <w:spacing w:val="0"/>
              </w:rPr>
              <w:t>F-26</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c">
              <w:r>
                <w:rPr>
                  <w:rStyle w:val="InternetLink"/>
                  <w:rFonts w:ascii="Times New Roman" w:hAnsi="Times New Roman"/>
                  <w:spacing w:val="0"/>
                  <w:sz w:val="20"/>
                </w:rPr>
                <w:t>Condensed Consolidated Statements of Stockholders’ Equity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F-27</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d">
              <w:r>
                <w:rPr>
                  <w:rStyle w:val="InternetLink"/>
                  <w:rFonts w:ascii="Times New Roman" w:hAnsi="Times New Roman"/>
                  <w:spacing w:val="0"/>
                  <w:sz w:val="20"/>
                </w:rPr>
                <w:t>Condensed Consolidated Statements of Cash Flows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F-28</w:t>
            </w:r>
          </w:p>
        </w:tc>
        <w:tc>
          <w:tcPr>
            <w:tcW w:w="76" w:type="dxa"/>
            <w:tcBorders/>
            <w:vAlign w:val="center"/>
          </w:tcPr>
          <w:p>
            <w:pPr>
              <w:pStyle w:val="TableContents"/>
              <w:bidi w:val="0"/>
              <w:spacing w:before="0" w:after="283"/>
              <w:jc w:val="left"/>
              <w:rPr/>
            </w:pPr>
            <w:r>
              <w:rPr/>
              <w:t> </w:t>
            </w:r>
          </w:p>
        </w:tc>
      </w:tr>
      <w:tr>
        <w:trPr/>
        <w:tc>
          <w:tcPr>
            <w:tcW w:w="9524" w:type="dxa"/>
            <w:tcBorders/>
            <w:vAlign w:val="center"/>
          </w:tcPr>
          <w:p>
            <w:pPr>
              <w:pStyle w:val="TableContents"/>
              <w:bidi w:val="0"/>
              <w:spacing w:before="0" w:after="0"/>
              <w:jc w:val="left"/>
              <w:rPr/>
            </w:pPr>
            <w:hyperlink w:anchor="fin111069_6e">
              <w:r>
                <w:rPr>
                  <w:rStyle w:val="InternetLink"/>
                  <w:rFonts w:ascii="Times New Roman" w:hAnsi="Times New Roman"/>
                  <w:spacing w:val="0"/>
                  <w:sz w:val="20"/>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F-29</w:t>
            </w:r>
          </w:p>
        </w:tc>
        <w:tc>
          <w:tcPr>
            <w:tcW w:w="7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INDEX TO KORSANA BIOSCIENCES, INC.’S FINANCIAL STATEMENTS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Years Ended December 31, 2025 and 2024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77"/>
        <w:gridCol w:w="120"/>
        <w:gridCol w:w="60"/>
        <w:gridCol w:w="372"/>
        <w:gridCol w:w="76"/>
      </w:tblGrid>
      <w:tr>
        <w:trPr/>
        <w:tc>
          <w:tcPr>
            <w:tcW w:w="9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fin111069_7">
              <w:r>
                <w:rPr>
                  <w:rStyle w:val="InternetLink"/>
                  <w:rFonts w:ascii="Times New Roman" w:hAnsi="Times New Roman"/>
                  <w:spacing w:val="0"/>
                  <w:sz w:val="20"/>
                </w:rPr>
                <w:t>Report of Independent Registered Public Accounting Firm (PCAOB ID# 00042)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F-43</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8">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9">
              <w:r>
                <w:rPr>
                  <w:rStyle w:val="InternetLink"/>
                  <w:rFonts w:ascii="Times New Roman" w:hAnsi="Times New Roman"/>
                  <w:spacing w:val="0"/>
                  <w:sz w:val="20"/>
                </w:rPr>
                <w:t>Consolidated Statements of Operations and Comprehensive Loss for the Year Ended December 31, 2025 and for the period from November 8, 2024 (Inception)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F-46</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0">
              <w:r>
                <w:rPr>
                  <w:rStyle w:val="InternetLink"/>
                  <w:rFonts w:ascii="Times New Roman" w:hAnsi="Times New Roman"/>
                  <w:spacing w:val="0"/>
                  <w:sz w:val="20"/>
                </w:rPr>
                <w:t>Consolidated Statements of Convertible Preferred Stock and Stockholders’ (Deficit) Equity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1">
              <w:r>
                <w:rPr>
                  <w:rStyle w:val="InternetLink"/>
                  <w:rFonts w:ascii="Times New Roman" w:hAnsi="Times New Roman"/>
                  <w:spacing w:val="0"/>
                  <w:sz w:val="20"/>
                </w:rPr>
                <w:t>Consolidated Statements of Cash Flows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2">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F-49</w:t>
            </w:r>
          </w:p>
        </w:tc>
        <w:tc>
          <w:tcPr>
            <w:tcW w:w="76"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Three Months Ended March 31, 2026 and 2025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51"/>
        <w:gridCol w:w="120"/>
        <w:gridCol w:w="60"/>
        <w:gridCol w:w="398"/>
        <w:gridCol w:w="76"/>
      </w:tblGrid>
      <w:tr>
        <w:trPr/>
        <w:tc>
          <w:tcPr>
            <w:tcW w:w="9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1" w:type="dxa"/>
            <w:tcBorders/>
            <w:vAlign w:val="center"/>
          </w:tcPr>
          <w:p>
            <w:pPr>
              <w:pStyle w:val="TableContents"/>
              <w:bidi w:val="0"/>
              <w:spacing w:before="0" w:after="0"/>
              <w:jc w:val="left"/>
              <w:rPr/>
            </w:pPr>
            <w:hyperlink w:anchor="fin111069_13">
              <w:r>
                <w:rPr>
                  <w:rStyle w:val="InternetLink"/>
                  <w:rFonts w:ascii="Times New Roman" w:hAnsi="Times New Roman"/>
                  <w:spacing w:val="0"/>
                  <w:sz w:val="20"/>
                </w:rPr>
                <w:t>Condensed Consolidated Balance Sheets as of March 31, 2026 and December 31,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F-74</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4">
              <w:r>
                <w:rPr>
                  <w:rStyle w:val="InternetLink"/>
                  <w:rFonts w:ascii="Times New Roman" w:hAnsi="Times New Roman"/>
                  <w:spacing w:val="0"/>
                  <w:sz w:val="20"/>
                </w:rPr>
                <w:t>Condensed Consolidated Statements of Operations and Comprehensive Loss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F-75</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5">
              <w:r>
                <w:rPr>
                  <w:rStyle w:val="InternetLink"/>
                  <w:rFonts w:ascii="Times New Roman" w:hAnsi="Times New Roman"/>
                  <w:spacing w:val="0"/>
                  <w:sz w:val="20"/>
                </w:rPr>
                <w:t>Condensed Consolidated Statements of Convertible Preferred Stock and Stockholders’ (Deficit) Equity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F-76</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6">
              <w:r>
                <w:rPr>
                  <w:rStyle w:val="InternetLink"/>
                  <w:rFonts w:ascii="Times New Roman" w:hAnsi="Times New Roman"/>
                  <w:spacing w:val="0"/>
                  <w:sz w:val="20"/>
                </w:rPr>
                <w:t>Condensed Consolidated Statements of Cash Flows for the Three Months Ended March 31, 2026 and 2025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F-77</w:t>
            </w:r>
          </w:p>
        </w:tc>
        <w:tc>
          <w:tcPr>
            <w:tcW w:w="76" w:type="dxa"/>
            <w:tcBorders/>
            <w:vAlign w:val="center"/>
          </w:tcPr>
          <w:p>
            <w:pPr>
              <w:pStyle w:val="TableContents"/>
              <w:bidi w:val="0"/>
              <w:spacing w:before="0" w:after="283"/>
              <w:jc w:val="left"/>
              <w:rPr/>
            </w:pPr>
            <w:r>
              <w:rPr/>
              <w:t> </w:t>
            </w:r>
          </w:p>
        </w:tc>
      </w:tr>
      <w:tr>
        <w:trPr/>
        <w:tc>
          <w:tcPr>
            <w:tcW w:w="9551" w:type="dxa"/>
            <w:tcBorders/>
            <w:vAlign w:val="center"/>
          </w:tcPr>
          <w:p>
            <w:pPr>
              <w:pStyle w:val="TableContents"/>
              <w:bidi w:val="0"/>
              <w:spacing w:before="0" w:after="0"/>
              <w:jc w:val="left"/>
              <w:rPr/>
            </w:pPr>
            <w:hyperlink w:anchor="fin111069_17">
              <w:r>
                <w:rPr>
                  <w:rStyle w:val="InternetLink"/>
                  <w:rFonts w:ascii="Times New Roman" w:hAnsi="Times New Roman"/>
                  <w:spacing w:val="0"/>
                  <w:sz w:val="20"/>
                </w:rPr>
                <w:t>Notes to Condensed Consolidated Financial Statements (Unaudited)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t>F-78</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Cyclerion Therapeutics,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Cyclerion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The 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assuming that the Company will continue as a going concern. As discussed in Note 1 to the consolidated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481"/>
        <w:gridCol w:w="120"/>
        <w:gridCol w:w="8604"/>
      </w:tblGrid>
      <w:tr>
        <w:trPr/>
        <w:tc>
          <w:tcPr>
            <w:tcW w:w="1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4" w:type="dxa"/>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0"/>
              <w:jc w:val="left"/>
              <w:rPr>
                <w:b/>
                <w:i/>
                <w:caps w:val="false"/>
                <w:smallCaps w:val="false"/>
                <w:spacing w:val="0"/>
              </w:rPr>
            </w:pPr>
            <w:r>
              <w:rPr>
                <w:b/>
                <w:i/>
                <w:caps w:val="false"/>
                <w:smallCaps w:val="false"/>
                <w:spacing w:val="0"/>
              </w:rPr>
              <w:t>Assessment of indicators of impairment of investment in Tisento Therapeutics Holdings Inc.</w:t>
            </w:r>
          </w:p>
        </w:tc>
      </w:tr>
      <w:tr>
        <w:trPr/>
        <w:tc>
          <w:tcPr>
            <w:tcW w:w="1481" w:type="dxa"/>
            <w:tcBorders/>
            <w:vAlign w:val="center"/>
          </w:tcPr>
          <w:p>
            <w:pPr>
              <w:pStyle w:val="TableContents"/>
              <w:bidi w:val="0"/>
              <w:spacing w:before="0" w:after="283"/>
              <w:jc w:val="left"/>
              <w:rPr>
                <w:sz w:val="4"/>
                <w:szCs w:val="4"/>
              </w:rPr>
            </w:pPr>
            <w:r>
              <w:rPr>
                <w:sz w:val="4"/>
                <w:szCs w:val="4"/>
              </w:rPr>
            </w:r>
          </w:p>
        </w:tc>
        <w:tc>
          <w:tcPr>
            <w:tcW w:w="8724"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discussed in Notes 2 and 4 to the consolidated financial statements, as of December 31, 2025, the Company had recognized an Other investment of $5.4 million which was accounted for as a financial instrument without a readily determinable fair value. Such investment was recorded using the measurement alternative for investments without readily determinable fair values, whereby the investment was measured at cost less any impairment recorded or adjustments for observable price changes. As of December 31, 2025, no impairment loss was recognized.</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Auditing the Company’s assessment of indicators of impairment of the Other investment was complex and required significant judgment in applying our audit procedures and in the evaluation of the results of the procedures performed to determine if any impairment indicators were present. In addition, there was a significant degree of subjectivity in evaluating the relevance and reliability of the audit evidence obtained.</w:t>
            </w:r>
          </w:p>
        </w:tc>
      </w:tr>
      <w:tr>
        <w:trPr/>
        <w:tc>
          <w:tcPr>
            <w:tcW w:w="1481" w:type="dxa"/>
            <w:tcBorders/>
            <w:vAlign w:val="center"/>
          </w:tcPr>
          <w:p>
            <w:pPr>
              <w:pStyle w:val="TableContents"/>
              <w:bidi w:val="0"/>
              <w:spacing w:before="0" w:after="283"/>
              <w:jc w:val="left"/>
              <w:rPr>
                <w:sz w:val="4"/>
                <w:szCs w:val="4"/>
              </w:rPr>
            </w:pPr>
            <w:r>
              <w:rPr>
                <w:sz w:val="4"/>
                <w:szCs w:val="4"/>
              </w:rPr>
            </w:r>
          </w:p>
        </w:tc>
        <w:tc>
          <w:tcPr>
            <w:tcW w:w="8724"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vAlign w:val="center"/>
          </w:tcPr>
          <w:p>
            <w:pPr>
              <w:pStyle w:val="TableContents"/>
              <w:bidi w:val="0"/>
              <w:spacing w:before="0" w:after="0"/>
              <w:jc w:val="left"/>
              <w:rPr>
                <w:i/>
                <w:caps w:val="false"/>
                <w:smallCaps w:val="false"/>
                <w:spacing w:val="0"/>
              </w:rPr>
            </w:pPr>
            <w:r>
              <w:rPr>
                <w:i/>
                <w:caps w:val="false"/>
                <w:smallCaps w:val="false"/>
                <w:spacing w:val="0"/>
              </w:rPr>
              <w:t>How We Addressed the Matter in Our Audit</w:t>
            </w:r>
          </w:p>
        </w:tc>
        <w:tc>
          <w:tcPr>
            <w:tcW w:w="120"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jc w:val="left"/>
              <w:rPr/>
            </w:pPr>
            <w:r>
              <w:rPr/>
              <w:t>We performed audit procedures to test management’s evaluation of events or changes in circumstances that might be indicators of impairment of the Company’s Other investment. Such procedures included, among others: (i) evaluating the appropriateness of management’s assessment of indicators of impairment; (ii) independently obtaining and assessing evidence, including from external sources, to corroborate management’s judgments and evaluating contrary evidence; (iii) reading the minutes of the Company’s Board of Directors meetings; and (iv) performing inquiries of management of Tisento Therapeutics Holdings Inc. and the Company regarding their knowledge of impairment indicators.</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30,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70"/>
        <w:gridCol w:w="120"/>
        <w:gridCol w:w="195"/>
        <w:gridCol w:w="1220"/>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3,232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556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investment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5,350</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9,575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390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283</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no par value, 100,000,000 shares authorized and 351,037 shares of Series A convertible preferred stock issued and outstanding at December 31, 2025 and 2024</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no par value, 400,000,000 shares authorized at December 31, 2025 and 2024; 3,925,314 and 2,710,096 shares issued at December 31, 2025 and 2024, respectively; 3,821,236 and 2,545,922 shares outstanding at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280,105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276,342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(267,492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8,850</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9,575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per share data)</w:t>
      </w:r>
    </w:p>
    <w:p>
      <w:pPr>
        <w:pStyle w:val="TextBody"/>
        <w:bidi w:val="0"/>
        <w:spacing w:before="0" w:after="0"/>
        <w:jc w:val="left"/>
        <w:rPr>
          <w:spacing w:val="0"/>
        </w:rPr>
      </w:pPr>
      <w:r>
        <w:rPr>
          <w:spacing w:val="0"/>
        </w:rPr>
        <w:t> </w:t>
      </w:r>
    </w:p>
    <w:tbl>
      <w:tblPr>
        <w:tblW w:w="5750" w:type="dxa"/>
        <w:jc w:val="left"/>
        <w:tblInd w:w="0" w:type="dxa"/>
        <w:tblLayout w:type="fixed"/>
        <w:tblCellMar>
          <w:top w:w="0" w:type="dxa"/>
          <w:left w:w="0" w:type="dxa"/>
          <w:bottom w:w="0" w:type="dxa"/>
          <w:right w:w="0" w:type="dxa"/>
        </w:tblCellMar>
      </w:tblPr>
      <w:tblGrid>
        <w:gridCol w:w="3695"/>
        <w:gridCol w:w="120"/>
        <w:gridCol w:w="140"/>
        <w:gridCol w:w="635"/>
        <w:gridCol w:w="155"/>
        <w:gridCol w:w="60"/>
        <w:gridCol w:w="140"/>
        <w:gridCol w:w="635"/>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license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1,750</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250</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2,000</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286</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6,088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5,342</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7,047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5,628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(3,628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208</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settlement of account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insurance recovery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net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(1.21</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2,518</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(3,063</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The</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Stockholders’ Equity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data)</w:t>
      </w:r>
    </w:p>
    <w:p>
      <w:pPr>
        <w:pStyle w:val="TextBody"/>
        <w:bidi w:val="0"/>
        <w:spacing w:before="0" w:after="0"/>
        <w:jc w:val="left"/>
        <w:rPr>
          <w:spacing w:val="0"/>
        </w:rPr>
      </w:pPr>
      <w:r>
        <w:rPr>
          <w:spacing w:val="0"/>
        </w:rPr>
        <w:t> </w:t>
      </w:r>
    </w:p>
    <w:tbl>
      <w:tblPr>
        <w:tblW w:w="11135" w:type="dxa"/>
        <w:jc w:val="left"/>
        <w:tblInd w:w="0" w:type="dxa"/>
        <w:tblLayout w:type="fixed"/>
        <w:tblCellMar>
          <w:top w:w="0" w:type="dxa"/>
          <w:left w:w="0" w:type="dxa"/>
          <w:bottom w:w="0" w:type="dxa"/>
          <w:right w:w="0" w:type="dxa"/>
        </w:tblCellMar>
      </w:tblPr>
      <w:tblGrid>
        <w:gridCol w:w="1070"/>
        <w:gridCol w:w="60"/>
        <w:gridCol w:w="60"/>
        <w:gridCol w:w="980"/>
        <w:gridCol w:w="60"/>
        <w:gridCol w:w="60"/>
        <w:gridCol w:w="301"/>
        <w:gridCol w:w="559"/>
        <w:gridCol w:w="60"/>
        <w:gridCol w:w="60"/>
        <w:gridCol w:w="60"/>
        <w:gridCol w:w="800"/>
        <w:gridCol w:w="60"/>
        <w:gridCol w:w="60"/>
        <w:gridCol w:w="301"/>
        <w:gridCol w:w="559"/>
        <w:gridCol w:w="60"/>
        <w:gridCol w:w="60"/>
        <w:gridCol w:w="140"/>
        <w:gridCol w:w="800"/>
        <w:gridCol w:w="60"/>
        <w:gridCol w:w="60"/>
        <w:gridCol w:w="188"/>
        <w:gridCol w:w="1182"/>
        <w:gridCol w:w="155"/>
        <w:gridCol w:w="60"/>
        <w:gridCol w:w="452"/>
        <w:gridCol w:w="1083"/>
        <w:gridCol w:w="155"/>
        <w:gridCol w:w="60"/>
        <w:gridCol w:w="228"/>
        <w:gridCol w:w="1112"/>
        <w:gridCol w:w="17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Accumulated</w:t>
              <w:br/>
              <w:t>other</w:t>
              <w:br/>
              <w:t>comprehensive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Total</w:t>
              <w:br/>
              <w:t>Stockholders’</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equity</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275,717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(264,417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11,288</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(3,057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Share-based compensation expense related to issuance of stock options and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625</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Release of foreign currency translation adjustment upon liquidation of a subsidiary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2,545,922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(267,492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8,850</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 private placement, net of issuance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499,998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1,245</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 ATM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2,077</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(3,528</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Share-based compensation expense related to issuance of stock options and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441</w:t>
            </w:r>
          </w:p>
        </w:tc>
        <w:tc>
          <w:tcPr>
            <w:tcW w:w="1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3,821,236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9,085</w:t>
            </w:r>
          </w:p>
        </w:tc>
        <w:tc>
          <w:tcPr>
            <w:tcW w:w="17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The</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8952" w:type="dxa"/>
        <w:jc w:val="left"/>
        <w:tblInd w:w="0" w:type="dxa"/>
        <w:tblLayout w:type="fixed"/>
        <w:tblCellMar>
          <w:top w:w="0" w:type="dxa"/>
          <w:left w:w="0" w:type="dxa"/>
          <w:bottom w:w="0" w:type="dxa"/>
          <w:right w:w="0" w:type="dxa"/>
        </w:tblCellMar>
      </w:tblPr>
      <w:tblGrid>
        <w:gridCol w:w="5945"/>
        <w:gridCol w:w="120"/>
        <w:gridCol w:w="214"/>
        <w:gridCol w:w="977"/>
        <w:gridCol w:w="238"/>
        <w:gridCol w:w="92"/>
        <w:gridCol w:w="214"/>
        <w:gridCol w:w="982"/>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0"/>
              <w:jc w:val="center"/>
              <w:rPr>
                <w:b/>
                <w:spacing w:val="0"/>
              </w:rPr>
            </w:pPr>
            <w:r>
              <w:rPr>
                <w:b/>
                <w:spacing w:val="0"/>
              </w:rPr>
              <w:t>2025</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(3,528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from settlement of account payable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(363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441</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625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(444</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(556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37</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118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(445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146</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(89</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(515</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(3,314</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(4,333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ATM</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2,077</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private placement</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1,375</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costs paid for private placement</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(130</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3,322</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increase (decrease) in cash and cash equivalents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8</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(4,339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3,232</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7,571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end of period</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77" w:type="dxa"/>
            <w:tcBorders/>
            <w:vAlign w:val="center"/>
          </w:tcPr>
          <w:p>
            <w:pPr>
              <w:pStyle w:val="TableContents"/>
              <w:bidi w:val="0"/>
              <w:spacing w:before="0" w:after="283"/>
              <w:jc w:val="right"/>
              <w:rPr/>
            </w:pPr>
            <w:r>
              <w:rPr/>
              <w:t>3,240</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82" w:type="dxa"/>
            <w:tcBorders/>
            <w:vAlign w:val="center"/>
          </w:tcPr>
          <w:p>
            <w:pPr>
              <w:pStyle w:val="TableContents"/>
              <w:bidi w:val="0"/>
              <w:spacing w:before="0" w:after="283"/>
              <w:jc w:val="right"/>
              <w:rPr/>
            </w:pPr>
            <w:r>
              <w:rPr/>
              <w:t>3,232</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Th</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Consolidated Financial Statements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Business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tax-free</w:t>
      </w:r>
    </w:p>
    <w:p>
      <w:pPr>
        <w:pStyle w:val="TextBody"/>
        <w:bidi w:val="0"/>
        <w:spacing w:before="120" w:after="0"/>
        <w:jc w:val="left"/>
        <w:rPr>
          <w:rFonts w:ascii="Times New Roman" w:hAnsi="Times New Roman"/>
          <w:spacing w:val="0"/>
          <w:sz w:val="20"/>
        </w:rPr>
      </w:pPr>
      <w:r>
        <w:rPr>
          <w:rFonts w:ascii="Times New Roman" w:hAnsi="Times New Roman"/>
          <w:spacing w:val="0"/>
          <w:sz w:val="20"/>
        </w:rPr>
        <w:t>spin-off</w:t>
      </w:r>
    </w:p>
    <w:p>
      <w:pPr>
        <w:pStyle w:val="TextBody"/>
        <w:bidi w:val="0"/>
        <w:spacing w:before="120" w:after="0"/>
        <w:jc w:val="left"/>
        <w:rPr>
          <w:rFonts w:ascii="Times New Roman" w:hAnsi="Times New Roman"/>
          <w:sz w:val="20"/>
        </w:rPr>
      </w:pPr>
      <w:r>
        <w:rPr>
          <w:rFonts w:ascii="Times New Roman" w:hAnsi="Times New Roman"/>
          <w:sz w:val="20"/>
        </w:rPr>
        <w:t xml:space="preserve">of their sGC business. Cyclerion has one employee as of December 31, 2025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is focused on building a new pipeline of innovative therapeutics to address serious neuropsychiatric diseases. The Company’s current strategic focus is centered on the development of a novel therapeutic approach for treatment-resistant depression (“TRD”), which represents a substantial clinical and commercial opportunity. Over the past year, the Company has refined its strategic direction toward programs that combine established pharmacologic agents with enabling technologies designed to improve precision, reproducibility, and patient outcomes. As part of this strategy, Cyclerion has evaluated multiple opportunities and prioritized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CYC-126,</w:t>
      </w:r>
    </w:p>
    <w:p>
      <w:pPr>
        <w:pStyle w:val="TextBody"/>
        <w:bidi w:val="0"/>
        <w:spacing w:before="240" w:after="0"/>
        <w:jc w:val="left"/>
        <w:rPr>
          <w:rFonts w:ascii="Times New Roman" w:hAnsi="Times New Roman"/>
          <w:sz w:val="20"/>
        </w:rPr>
      </w:pPr>
      <w:r>
        <w:rPr>
          <w:rFonts w:ascii="Times New Roman" w:hAnsi="Times New Roman"/>
          <w:sz w:val="20"/>
        </w:rPr>
        <w:t xml:space="preserve">an individualized therapy for TRD as its foundational development program. In September 2025, the Company entered into a license agreement with the Massachusetts Institute of Technology (“MIT”) for intellectual property supporting this program (see Note 11), and in January 2026 entered into a collaboration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option-to-license</w:t>
      </w:r>
    </w:p>
    <w:p>
      <w:pPr>
        <w:pStyle w:val="TextBody"/>
        <w:bidi w:val="0"/>
        <w:spacing w:before="240" w:after="0"/>
        <w:jc w:val="left"/>
        <w:rPr>
          <w:rFonts w:ascii="Times New Roman" w:hAnsi="Times New Roman"/>
          <w:sz w:val="20"/>
        </w:rPr>
      </w:pPr>
      <w:r>
        <w:rPr>
          <w:rFonts w:ascii="Times New Roman" w:hAnsi="Times New Roman"/>
          <w:sz w:val="20"/>
        </w:rPr>
        <w:t xml:space="preserve">agreement with Medsteer SAS (“Medsteer”) to access certain technology, data assets, and technical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related to drug delivery and physiological monitoring. The Company is advancing development planning, regulatory strategy, and commercial positioning for this program and intends to initiate a Phase 2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proof-of-concept</w:t>
      </w:r>
    </w:p>
    <w:p>
      <w:pPr>
        <w:pStyle w:val="TextBody"/>
        <w:bidi w:val="0"/>
        <w:spacing w:before="240" w:after="0"/>
        <w:jc w:val="left"/>
        <w:rPr>
          <w:rFonts w:ascii="Times New Roman" w:hAnsi="Times New Roman"/>
          <w:sz w:val="20"/>
        </w:rPr>
      </w:pPr>
      <w:r>
        <w:rPr>
          <w:rFonts w:ascii="Times New Roman" w:hAnsi="Times New Roman"/>
          <w:sz w:val="20"/>
        </w:rPr>
        <w:t xml:space="preserve">study in Australia in the second half of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parallel with the advancement of its neuropsychiatric strategy, Cyclerion continues to evaluate opportunities related to its legacy soluble guanylate cyclase (“sGC”) stimulator assets, including potential collaborations, monetization opportunities, or other strategic transactions designed to maximize shareholder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re-negotiated</w:t>
      </w:r>
    </w:p>
    <w:p>
      <w:pPr>
        <w:pStyle w:val="TextBody"/>
        <w:bidi w:val="0"/>
        <w:spacing w:before="240" w:after="0"/>
        <w:jc w:val="left"/>
        <w:rPr>
          <w:rFonts w:ascii="Times New Roman" w:hAnsi="Times New Roman"/>
          <w:sz w:val="20"/>
        </w:rPr>
      </w:pPr>
      <w:r>
        <w:rPr>
          <w:rFonts w:ascii="Times New Roman" w:hAnsi="Times New Roman"/>
          <w:sz w:val="20"/>
        </w:rPr>
        <w:t xml:space="preserve">a mutually beneficial amendment to their exclusive license agreement for praliciguat, a systemic sGC stimulator. Under this new license amendment, Cyclerion will receive $1.75 million in amendment payments, of which $1.25 million was paid in December 2024 and an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would be due to us and it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mid-single-digits</w:t>
      </w:r>
    </w:p>
    <w:p>
      <w:pPr>
        <w:pStyle w:val="TextBody"/>
        <w:bidi w:val="0"/>
        <w:spacing w:before="240" w:after="0"/>
        <w:jc w:val="left"/>
        <w:rPr>
          <w:rFonts w:ascii="Times New Roman" w:hAnsi="Times New Roman"/>
          <w:sz w:val="20"/>
        </w:rPr>
      </w:pPr>
      <w:r>
        <w:rPr>
          <w:rFonts w:ascii="Times New Roman" w:hAnsi="Times New Roman"/>
          <w:sz w:val="20"/>
        </w:rPr>
        <w:t xml:space="preserve">to twenty percent.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Olinciguat is a Phase 2, orally administered, once-daily, vascular sGC stimulator. On July 22, 2024, the Company entered into an Option to License Agreement (the “Option Agreement”) with a third party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pacing w:val="0"/>
        </w:rPr>
      </w:pPr>
      <w:r>
        <w:rPr>
          <w:spacing w:val="0"/>
        </w:rPr>
        <w:t>“</w:t>
      </w:r>
      <w:r>
        <w:rPr>
          <w:rFonts w:ascii="Times New Roman" w:hAnsi="Times New Roman"/>
          <w:spacing w:val="0"/>
          <w:sz w:val="20"/>
        </w:rPr>
        <w:t xml:space="preserve">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CNS-penetrant</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has shown rapid improvement in cerebral blood flow, functional brain connectivity, brain response to visual stimulus, cognitive performance, and biomarkers associated mitochondrial function and inflammation in clinical studies. CY3018 is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CNS-targeted</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preferentially localizes to the brain and has a pharmacology profile that suggests its potential for the treatment of neuropsychiatric diseases and disorders. On July 28, 2023, the Company sold </w:t>
      </w:r>
    </w:p>
    <w:p>
      <w:pPr>
        <w:pStyle w:val="TextBody"/>
        <w:bidi w:val="0"/>
        <w:spacing w:before="240" w:after="0"/>
        <w:jc w:val="left"/>
        <w:rPr>
          <w:rFonts w:ascii="Times New Roman" w:hAnsi="Times New Roman"/>
          <w:sz w:val="20"/>
        </w:rPr>
      </w:pPr>
      <w:r>
        <w:rPr>
          <w:rFonts w:ascii="Times New Roman" w:hAnsi="Times New Roman"/>
          <w:sz w:val="20"/>
        </w:rPr>
        <w:t>z</w:t>
      </w:r>
    </w:p>
    <w:p>
      <w:pPr>
        <w:pStyle w:val="TextBody"/>
        <w:bidi w:val="0"/>
        <w:spacing w:before="240" w:after="0"/>
        <w:jc w:val="left"/>
        <w:rPr>
          <w:rFonts w:ascii="Times New Roman" w:hAnsi="Times New Roman"/>
          <w:sz w:val="20"/>
        </w:rPr>
      </w:pPr>
      <w:r>
        <w:rPr>
          <w:rFonts w:ascii="Times New Roman" w:hAnsi="Times New Roman"/>
          <w:sz w:val="20"/>
        </w:rPr>
        <w:t xml:space="preserve">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Cyclerion GmbH, a wholly owned subsidiary, was incorporated in Zug, Switzerland on May 3, 2019. The functional currency is the Swiss franc. Cyclerion GmbH was liquidated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de-registered</w:t>
      </w:r>
    </w:p>
    <w:p>
      <w:pPr>
        <w:pStyle w:val="TextBody"/>
        <w:bidi w:val="0"/>
        <w:spacing w:before="240" w:after="0"/>
        <w:jc w:val="left"/>
        <w:rPr>
          <w:rFonts w:ascii="Times New Roman" w:hAnsi="Times New Roman"/>
          <w:sz w:val="20"/>
        </w:rPr>
      </w:pPr>
      <w:r>
        <w:rPr>
          <w:rFonts w:ascii="Times New Roman" w:hAnsi="Times New Roman"/>
          <w:sz w:val="20"/>
        </w:rPr>
        <w:t xml:space="preserve">in May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Cyclerion Securities Corporation, a wholly owned subsidiary, was incorporated in Massachusetts on November 15, 2019 and was granted securities corporation status in Massachusetts.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the Company entered into a stock purchase agreement with the Company’s former Chief Executive Officer (the “CEO”) pursuant to which he invested $5 million in cash for 225,000 shares of common stock and 351,037 shares of Series A Convertible Preferred Stock of the Company at a price of $8.68 per share (after giving effect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1-for-20</w:t>
      </w:r>
    </w:p>
    <w:p>
      <w:pPr>
        <w:pStyle w:val="TextBody"/>
        <w:bidi w:val="0"/>
        <w:spacing w:before="120" w:after="0"/>
        <w:jc w:val="left"/>
        <w:rPr>
          <w:rFonts w:ascii="Times New Roman" w:hAnsi="Times New Roman"/>
          <w:sz w:val="20"/>
        </w:rPr>
      </w:pPr>
      <w:r>
        <w:rPr>
          <w:rFonts w:ascii="Times New Roman" w:hAnsi="Times New Roman"/>
          <w:sz w:val="20"/>
        </w:rPr>
        <w:t xml:space="preserve">reverse stock split the Company implemented on May 15, 2023). The Series A Convertible Preferred Stock is convertible into shares of the Company’s common stock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one-to-one</w:t>
      </w:r>
    </w:p>
    <w:p>
      <w:pPr>
        <w:pStyle w:val="TextBody"/>
        <w:bidi w:val="0"/>
        <w:spacing w:before="120" w:after="0"/>
        <w:jc w:val="left"/>
        <w:rPr>
          <w:rFonts w:ascii="Times New Roman" w:hAnsi="Times New Roman"/>
          <w:sz w:val="20"/>
        </w:rPr>
      </w:pPr>
      <w:r>
        <w:rPr>
          <w:rFonts w:ascii="Times New Roman" w:hAnsi="Times New Roman"/>
          <w:sz w:val="20"/>
        </w:rPr>
        <w:t xml:space="preserve">basis. The closing of the equity investment took place on May 19, 2023, and (to comply with Nasdaq listing requirements) the Company’s shareholders approved such convertibility on July 19, 2023.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2025 Equity Private Placement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At-the-Market</w:t>
      </w:r>
    </w:p>
    <w:p>
      <w:pPr>
        <w:pStyle w:val="TextBody"/>
        <w:bidi w:val="0"/>
        <w:spacing w:before="360" w:after="0"/>
        <w:jc w:val="left"/>
        <w:rPr>
          <w:rFonts w:ascii="Times New Roman" w:hAnsi="Times New Roman"/>
          <w:b/>
          <w:sz w:val="20"/>
        </w:rPr>
      </w:pPr>
      <w:r>
        <w:rPr>
          <w:rFonts w:ascii="Times New Roman" w:hAnsi="Times New Roman"/>
          <w:b/>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z w:val="20"/>
        </w:rPr>
      </w:pPr>
      <w:r>
        <w:rPr>
          <w:rFonts w:ascii="Times New Roman" w:hAnsi="Times New Roman"/>
          <w:sz w:val="20"/>
        </w:rPr>
        <w:t xml:space="preserve">(the “Shelf”) with the Securities and Exchange </w:t>
      </w:r>
    </w:p>
    <w:p>
      <w:pPr>
        <w:pStyle w:val="TextBody"/>
        <w:bidi w:val="0"/>
        <w:spacing w:before="120" w:after="0"/>
        <w:jc w:val="left"/>
        <w:rPr>
          <w:rFonts w:ascii="Times New Roman" w:hAnsi="Times New Roman"/>
          <w:sz w:val="20"/>
        </w:rPr>
      </w:pPr>
      <w:r>
        <w:rPr>
          <w:rFonts w:ascii="Times New Roman" w:hAnsi="Times New Roman"/>
          <w:sz w:val="20"/>
        </w:rPr>
        <w:t>Commission</w:t>
      </w:r>
    </w:p>
    <w:p>
      <w:pPr>
        <w:pStyle w:val="TextBody"/>
        <w:bidi w:val="0"/>
        <w:spacing w:before="120" w:after="0"/>
        <w:jc w:val="left"/>
        <w:rPr>
          <w:rFonts w:ascii="Times New Roman" w:hAnsi="Times New Roman"/>
          <w:sz w:val="20"/>
        </w:rPr>
      </w:pPr>
      <w:r>
        <w:rPr>
          <w:rFonts w:ascii="Times New Roman" w:hAnsi="Times New Roman"/>
          <w:sz w:val="20"/>
        </w:rPr>
        <w:t xml:space="preserve">(the “SEC”) in relation to the registration of common stock, preferred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stock, warrants and units of any combination thereof for an aggregate initial offering price not to exceed $25.0 million. The Registration Statement was declared effective by the SEC in February 2025.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S-3 (“Instruction</w:t>
      </w:r>
    </w:p>
    <w:p>
      <w:pPr>
        <w:pStyle w:val="TextBody"/>
        <w:bidi w:val="0"/>
        <w:spacing w:before="240" w:after="0"/>
        <w:jc w:val="left"/>
        <w:rPr>
          <w:rFonts w:ascii="Times New Roman" w:hAnsi="Times New Roman"/>
          <w:sz w:val="20"/>
        </w:rPr>
      </w:pPr>
      <w:r>
        <w:rPr>
          <w:rFonts w:ascii="Times New Roman" w:hAnsi="Times New Roman"/>
          <w:sz w:val="20"/>
        </w:rPr>
        <w:t xml:space="preserve">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the Company sold 715,220 shares of its common stock for net proceeds of $2.1 million under the Sales Agreement, after deducting commissions paid to Guggenheim Securities of $0.1 million.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consolidated financial statements and the related disclosures have been prepared in accordance with U.S. generally accepted accounting principles. In the opinion of management, the consolidated financial statements reflect all normal recurring adjustments considered necessary for a fair presentation of the Company’s financial position and the results of its operations for the fiscal years presented.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consolidated financial statements include the financial statements of the Company and its wholly owned subsidiaries, Cyclerion Securities Corporation and Cyclerion GmbH which was dissolved in May 2024. All significant intercompany accounts and transactions have been eliminated in the preparation of the accompanying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120" w:after="0"/>
        <w:jc w:val="left"/>
        <w:rPr>
          <w:rFonts w:ascii="Times New Roman" w:hAnsi="Times New Roman"/>
          <w:sz w:val="20"/>
        </w:rPr>
      </w:pPr>
      <w:r>
        <w:rPr>
          <w:rFonts w:ascii="Times New Roman" w:hAnsi="Times New Roman"/>
          <w:sz w:val="20"/>
        </w:rPr>
        <w:t xml:space="preserve">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its analysis, management excluded certain elements of its operating plan that cannot be considered probable.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240" w:after="0"/>
        <w:jc w:val="left"/>
        <w:rPr>
          <w:rFonts w:ascii="Times New Roman" w:hAnsi="Times New Roman"/>
          <w:sz w:val="20"/>
        </w:rPr>
      </w:pPr>
      <w:r>
        <w:rPr>
          <w:rFonts w:ascii="Times New Roman" w:hAnsi="Times New Roman"/>
          <w:sz w:val="20"/>
        </w:rPr>
        <w:t xml:space="preserve">the future receipt of potential funding from future partnerships, equity or debt issuances, certain cost reduction measures and the potential milestones from the Akebia agreement cannot be considered probable at this time because these plans are not entirely within the Company’s control and/or have not been approved by the Board of Directors as of the date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expects that its cash and cash equivalents as of December 31, 2025, will be sufficient to fund operations through </w:t>
      </w:r>
    </w:p>
    <w:p>
      <w:pPr>
        <w:pStyle w:val="TextBody"/>
        <w:bidi w:val="0"/>
        <w:spacing w:before="0" w:after="0"/>
        <w:jc w:val="left"/>
        <w:rPr>
          <w:rFonts w:ascii="Times New Roman" w:hAnsi="Times New Roman"/>
          <w:spacing w:val="0"/>
          <w:sz w:val="20"/>
        </w:rPr>
      </w:pPr>
      <w:r>
        <w:rPr>
          <w:rFonts w:ascii="Times New Roman" w:hAnsi="Times New Roman"/>
          <w:spacing w:val="0"/>
          <w:sz w:val="20"/>
        </w:rPr>
        <w:t>mid-2026,</w:t>
      </w:r>
    </w:p>
    <w:p>
      <w:pPr>
        <w:pStyle w:val="TextBody"/>
        <w:bidi w:val="0"/>
        <w:spacing w:before="0" w:after="0"/>
        <w:jc w:val="left"/>
        <w:rPr>
          <w:rFonts w:ascii="Times New Roman" w:hAnsi="Times New Roman"/>
          <w:sz w:val="20"/>
        </w:rPr>
      </w:pPr>
      <w:r>
        <w:rPr>
          <w:rFonts w:ascii="Times New Roman" w:hAnsi="Times New Roman"/>
          <w:sz w:val="20"/>
        </w:rPr>
        <w:t xml:space="preserve">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have </w:t>
      </w:r>
    </w:p>
    <w:p>
      <w:pPr>
        <w:pStyle w:val="TextBody"/>
        <w:bidi w:val="0"/>
        <w:spacing w:before="0" w:after="0"/>
        <w:jc w:val="left"/>
        <w:rPr>
          <w:rFonts w:ascii="Times New Roman" w:hAnsi="Times New Roman"/>
          <w:sz w:val="20"/>
        </w:rPr>
      </w:pPr>
      <w:r>
        <w:rPr>
          <w:rFonts w:ascii="Times New Roman" w:hAnsi="Times New Roman"/>
          <w:sz w:val="20"/>
        </w:rPr>
        <w:t xml:space="preserve">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a single segment for the purposes of assessing performance and making operating decisions. The Company’s president and chief executive officer, who is the chief operating decision maker (“CODM”), reviews the Company’s financial information on a consolidated basis for purposes of evaluating financial performance and allocating resources. When evaluating the Company’s financial performance, the CODM regularly reviews net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expenses and operating expenses excluding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stock based compensation expense.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Variable Interest Entities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Investment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investments in equity securities without a readily determinable fair value at cost, minus impairment. If the Company identifies observable price changes in orderly transactions for an identical or a similar investment of the same issuer, the Company will measure the equity security at fair value as of the date that the observable transaction occurred in accordance with ASC Topic 321, Investments-Equity Securities.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consolidated financial statements in accordance with U.S. generally accepted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accounting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principles (“GAAP”) requires the Company’s management to make estimates and judgments that may affect the reported amounts of assets and liabilities and disclosure of contingent assets and liabilities at the date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consolidated financial statements, and the amounts of expenses during the reported periods. On an ongoing basis, the Company’s management evaluates its estimates, judgments and methodologies. Significant estimates and assumptions in the consolidated financial statements include those related to revenue, fair value determination of other investment, income taxes, including the valuation allowance for deferred tax assets, research and development expenses, contingencies, share-based compensation and going concern.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w:t>
      </w:r>
    </w:p>
    <w:p>
      <w:pPr>
        <w:pStyle w:val="TextBody"/>
        <w:bidi w:val="0"/>
        <w:spacing w:before="0" w:after="0"/>
        <w:jc w:val="left"/>
        <w:rPr>
          <w:rFonts w:ascii="Times New Roman" w:hAnsi="Times New Roman"/>
          <w:spacing w:val="0"/>
          <w:sz w:val="20"/>
        </w:rPr>
      </w:pPr>
      <w:r>
        <w:rPr>
          <w:rFonts w:ascii="Times New Roman" w:hAnsi="Times New Roman"/>
          <w:spacing w:val="0"/>
          <w:sz w:val="20"/>
        </w:rPr>
        <w:t>in</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which they become known.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 instruments with a remaining maturity when purchased of three months or less to be cash equivalents. Investments qualifying as cash equivalents may consist of money market funds and overnight repurchase agreements. The carrying amount of cash equivalents approximates fair value.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Fair Value of Investment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pacing w:val="0"/>
        </w:rPr>
      </w:pPr>
      <w:r>
        <w:rPr>
          <w:spacing w:val="0"/>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1 — Quoted prices in active markets for identical assets or liabilities.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Foreign Currency Translation Adjustment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functional currency of the Company’s former foreign subsidiary is its local currency, the Swiss franc. The assets and liabilities of the Company’s former foreign subsidiary are translated into U.S. dollars at exchange rates in effect at the balance sheet date. Income and expense items are translated at the average exchange rates prevailing during the period. The cumulative translation effect for the Company’s former foreign subsidiary was included as a foreign currency translation adjustment in the consolidated statements of stockholders’ equity and as a component of comprehensive loss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intercompany accounts are typically denominated in the functional currency of the foreign subsidiary. Gains and losses resulting from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re-measurement</w:t>
      </w:r>
    </w:p>
    <w:p>
      <w:pPr>
        <w:pStyle w:val="TextBody"/>
        <w:bidi w:val="0"/>
        <w:spacing w:before="240" w:after="0"/>
        <w:jc w:val="left"/>
        <w:rPr>
          <w:rFonts w:ascii="Times New Roman" w:hAnsi="Times New Roman"/>
          <w:sz w:val="20"/>
        </w:rPr>
      </w:pPr>
      <w:r>
        <w:rPr>
          <w:rFonts w:ascii="Times New Roman" w:hAnsi="Times New Roman"/>
          <w:sz w:val="20"/>
        </w:rPr>
        <w:t xml:space="preserve">of intercompany balances are recorded in the consolidated statements of operations.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Accounts Receivable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makes judgments as to its ability to collect outstanding receivables and provides an allowance for receivables when collection becomes doubtful. Provisions are made based upon a specific review of all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significant outstanding invoices. The Company believes that credit risks associated with these agreements are not significant. To date, the Company has not had </w:t>
      </w:r>
    </w:p>
    <w:p>
      <w:pPr>
        <w:pStyle w:val="TextBody"/>
        <w:bidi w:val="0"/>
        <w:spacing w:before="0" w:after="0"/>
        <w:jc w:val="left"/>
        <w:rPr>
          <w:rFonts w:ascii="Times New Roman" w:hAnsi="Times New Roman"/>
          <w:spacing w:val="0"/>
          <w:sz w:val="20"/>
        </w:rPr>
      </w:pPr>
      <w:r>
        <w:rPr>
          <w:rFonts w:ascii="Times New Roman" w:hAnsi="Times New Roman"/>
          <w:spacing w:val="0"/>
          <w:sz w:val="20"/>
        </w:rPr>
        <w:t>significant</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write-offs of bad debt and the Company did not have an allowance for doubtful accounts as of December 31, 2025 or 2024.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Upon executing a revenue generating arrangement, the Company assesses whether it is probable the Company will collect consideration in exchange for the good or service it transfers to the customer. To determine revenue recognition for arrangements that the Company determines are within the scope of ASC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Customers</w:t>
      </w:r>
    </w:p>
    <w:p>
      <w:pPr>
        <w:pStyle w:val="TextBody"/>
        <w:bidi w:val="0"/>
        <w:spacing w:before="120" w:after="0"/>
        <w:jc w:val="left"/>
        <w:rPr>
          <w:rFonts w:ascii="Times New Roman" w:hAnsi="Times New Roman"/>
          <w:sz w:val="20"/>
        </w:rPr>
      </w:pPr>
      <w:r>
        <w:rPr>
          <w:rFonts w:ascii="Times New Roman" w:hAnsi="Times New Roman"/>
          <w:sz w:val="20"/>
        </w:rPr>
        <w:t xml:space="preserve">(“ASC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must develop assumptions that require significant judgment to determine the stand-alone selling price for each performance obligation identified in the contract. The assumptions that are used to determine the stand-alone selling price may include forecasted revenues, development timelines, reimbursement rates for personnel costs, discount rates and probabilities of technical and regulatory success. The Company derives revenue from (1) license agreement, (2) purchase agreement and (3) option to license agreement which are fully described in Note 11,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License and Option Agreement</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expenses research and development costs to operations as incurred. The Company defers and capitalizes nonrefundable advance payments made by the Company for research and development activities until the related goods are received or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Research and development expenses are comprised of costs incurred in performing research and development activities, which may include salary, benefits and other employee-related expenses; share-based compensation expense; laboratory supplies and other direct expenses; facilities expenses; overhead expenses; third-party contractual costs relating to nonclinical studies and clinical trial activities and related contract manufacturing expenses, development of manufacturing processes and regulatory registration of third-party manufacturing facilities; and other outside expenses.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General and Administrative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expenses general and administrative costs to operations as incurred. General and administrative expense consists of compensation, share-based compensation, benefits and other employee-related expenses for personnel and outside consultants providing the Company’s administrative, finance, legal, information technology, business development and human resource functions. Other costs include the legal costs of pursuing patent protection of the Company’s intellectual property, general and administrative related facility costs, insurance costs and professional fees for accounting and legal services.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primarily subject to U.S. Federal and Massachusetts state income taxes. For federal and state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is recorded when it is more likely than not that some portion or all of the deferred tax assets will not be realized. Accordingly, the Company provides a valuation allowance, if necessary, to reduce deferred tax assets to amounts that are realizable. </w:t>
      </w:r>
    </w:p>
    <w:p>
      <w:pPr>
        <w:pStyle w:val="TextBody"/>
        <w:bidi w:val="0"/>
        <w:spacing w:before="240" w:after="0"/>
        <w:jc w:val="left"/>
        <w:rPr>
          <w:rFonts w:ascii="Times New Roman" w:hAnsi="Times New Roman"/>
          <w:sz w:val="20"/>
        </w:rPr>
      </w:pPr>
      <w:r>
        <w:rPr>
          <w:rFonts w:ascii="Times New Roman" w:hAnsi="Times New Roman"/>
          <w:sz w:val="20"/>
        </w:rPr>
        <w:t xml:space="preserve">The tax positions taken or expected to be taken in the course of preparing the Company tax returns are required to be evaluated to determine whether the tax positions are </w:t>
      </w:r>
    </w:p>
    <w:p>
      <w:pPr>
        <w:pStyle w:val="TextBody"/>
        <w:bidi w:val="0"/>
        <w:spacing w:before="240" w:after="0"/>
        <w:jc w:val="left"/>
        <w:rPr>
          <w:spacing w:val="0"/>
        </w:rPr>
      </w:pPr>
      <w:r>
        <w:rPr>
          <w:spacing w:val="0"/>
        </w:rPr>
        <w:t>“</w:t>
      </w: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of being sustained by the applicable tax authority. Tax positions not deemed to meet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threshold would be recorded as a tax expense in the current year. The determination as to whether the tax benefit will more likely than not be realized is based upon the technical merits of the tax position as well as consideration of the available facts and circumstances. It does not consider the likelihood of whether or not the IRS will review the position. Cyclerion evaluates uncertain tax positions on a quarterly basis and adjusts the level of the liability to reflect any subsequent changes in the relevant facts surrounding the uncertain positions. Any changes to these estimates, based on the actual results obtained and/or a change in assumptions, could affect Cyclerion’s income tax provision in future periods. There were no uncertain tax positions that require accrual or disclosure in the consolidated financial statements as of December 31, 2025, and 2024. The Company’s policy is to recognize interest and penalties related to income tax, if any, in income tax expense. As of December 31, 2025 and 2024, the Company has no accruals for interest or penalties related to income tax matters.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Patent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Patent fees and patent related costs in connection with filing and prosecuting patent applications are expensed as incurred and are classified as general and administrative expenses in the accompanying consolidated financial statements. The Company incurred and recorded as operating expense legal and other fees related to patents of approximately $0.3 million and $0.6 million for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Interest and Other Income,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the year ended December 31, 2025 and 2024, interest and other income, net consisted of a $0.1 million and $0.2 million of interest income related to interest generated from the Company’s cash and cash equivalents balances,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events or transactions that have occurred after the balance sheet date of December 31, 2025, but prior to the filing of the financial statements with the Securities and Exchange Commission, to provide additional evidence relative to certain estimates or to identify matters that require additional recognition or disclosure. Subsequent events have been evaluated through the filing of the financial statements accompanying this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See Note 12,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Subsequent Events</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Recently Issued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consolidated financial statements, the Company did not adopt any new accounting pronouncements during the years ended December 31, 2025 and 2024, that had a material effect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August 2025,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2025-05,</w:t>
      </w:r>
    </w:p>
    <w:p>
      <w:pPr>
        <w:pStyle w:val="TextBody"/>
        <w:bidi w:val="0"/>
        <w:spacing w:before="240" w:after="0"/>
        <w:jc w:val="left"/>
        <w:rPr>
          <w:rFonts w:ascii="Times New Roman" w:hAnsi="Times New Roman"/>
          <w:sz w:val="20"/>
        </w:rPr>
      </w:pPr>
      <w:r>
        <w:rPr>
          <w:rFonts w:ascii="Times New Roman" w:hAnsi="Times New Roman"/>
          <w:sz w:val="20"/>
        </w:rPr>
        <w:t xml:space="preserve">Financial Instruments—Credit Losses (Topic 326), which requires incremental disclosures on estimating expected credit losses. The Company will adopt this guidance beginning with its annual report for fiscal 2027. The Company is currently evaluating the potential effect that the updated standard will have on its financial statement disclosures.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F-14</w:t>
      </w:r>
    </w:p>
    <w:p>
      <w:pPr>
        <w:pStyle w:val="HorizontalLine"/>
        <w:bidi w:val="0"/>
        <w:jc w:val="center"/>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2023-07,</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Reportable Segment Disclosures (Topic 280), which requires incremental disclosures on reportable segments, primarily through enhanced disclosures on significant segment expenses. The Company adopted this guidance beginning with its annual report for fiscal 2025 and interim periods thereafter on a retrospective basis. The adoption did not have a material effect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w:t>
      </w:r>
    </w:p>
    <w:p>
      <w:pPr>
        <w:pStyle w:val="TextBody"/>
        <w:bidi w:val="0"/>
        <w:spacing w:before="240" w:after="0"/>
        <w:jc w:val="left"/>
        <w:rPr>
          <w:rFonts w:ascii="Times New Roman" w:hAnsi="Times New Roman"/>
          <w:sz w:val="20"/>
        </w:rPr>
      </w:pPr>
      <w:r>
        <w:rPr>
          <w:rFonts w:ascii="Times New Roman" w:hAnsi="Times New Roman"/>
          <w:sz w:val="20"/>
        </w:rPr>
        <w:t>No. 2023-09,</w:t>
      </w:r>
    </w:p>
    <w:p>
      <w:pPr>
        <w:pStyle w:val="TextBody"/>
        <w:bidi w:val="0"/>
        <w:spacing w:before="240" w:after="0"/>
        <w:jc w:val="left"/>
        <w:rPr>
          <w:rFonts w:ascii="Times New Roman" w:hAnsi="Times New Roman"/>
          <w:sz w:val="20"/>
        </w:rPr>
      </w:pPr>
      <w:r>
        <w:rPr>
          <w:rFonts w:ascii="Times New Roman" w:hAnsi="Times New Roman"/>
          <w:sz w:val="20"/>
        </w:rPr>
        <w:t xml:space="preserve">Income Taxes (Topic 740): Improvements to Income Tax Disclosures, which focuses on the rate reconciliation and income taxes paid. ASU </w:t>
      </w:r>
    </w:p>
    <w:p>
      <w:pPr>
        <w:pStyle w:val="TextBody"/>
        <w:bidi w:val="0"/>
        <w:spacing w:before="240" w:after="0"/>
        <w:jc w:val="left"/>
        <w:rPr>
          <w:rFonts w:ascii="Times New Roman" w:hAnsi="Times New Roman"/>
          <w:sz w:val="20"/>
        </w:rPr>
      </w:pPr>
      <w:r>
        <w:rPr>
          <w:rFonts w:ascii="Times New Roman" w:hAnsi="Times New Roman"/>
          <w:sz w:val="20"/>
        </w:rPr>
        <w:t>No. 2023-09</w:t>
      </w:r>
    </w:p>
    <w:p>
      <w:pPr>
        <w:pStyle w:val="TextBody"/>
        <w:bidi w:val="0"/>
        <w:spacing w:before="240" w:after="0"/>
        <w:jc w:val="left"/>
        <w:rPr>
          <w:rFonts w:ascii="Times New Roman" w:hAnsi="Times New Roman"/>
          <w:sz w:val="20"/>
        </w:rPr>
      </w:pPr>
      <w:r>
        <w:rPr>
          <w:rFonts w:ascii="Times New Roman" w:hAnsi="Times New Roman"/>
          <w:sz w:val="20"/>
        </w:rPr>
        <w:t xml:space="preserve">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w:t>
      </w:r>
    </w:p>
    <w:p>
      <w:pPr>
        <w:pStyle w:val="TextBody"/>
        <w:bidi w:val="0"/>
        <w:spacing w:before="240" w:after="0"/>
        <w:jc w:val="left"/>
        <w:rPr>
          <w:rFonts w:ascii="Times New Roman" w:hAnsi="Times New Roman"/>
          <w:sz w:val="20"/>
        </w:rPr>
      </w:pPr>
      <w:r>
        <w:rPr>
          <w:rFonts w:ascii="Times New Roman" w:hAnsi="Times New Roman"/>
          <w:sz w:val="20"/>
        </w:rPr>
        <w:t>pre-ASU</w:t>
      </w:r>
    </w:p>
    <w:p>
      <w:pPr>
        <w:pStyle w:val="TextBody"/>
        <w:bidi w:val="0"/>
        <w:spacing w:before="240" w:after="0"/>
        <w:jc w:val="left"/>
        <w:rPr>
          <w:rFonts w:ascii="Times New Roman" w:hAnsi="Times New Roman"/>
          <w:sz w:val="20"/>
        </w:rPr>
      </w:pPr>
      <w:r>
        <w:rPr>
          <w:rFonts w:ascii="Times New Roman" w:hAnsi="Times New Roman"/>
          <w:sz w:val="20"/>
        </w:rPr>
        <w:t xml:space="preserve">disclosures for the prior periods, or may apply the amendments retrospectively by providing the revised disclosures for all periods presented. As of December 31, 2025, the Company adopted this new ASU and it only impacts the Company’s income tax disclosures with no impact to its operations, cash flows, or financial condition.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consolidated financial statements upon adoption.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December 31, 2025 and December 31, 2024 (in thousands): </w:t>
      </w:r>
    </w:p>
    <w:p>
      <w:pPr>
        <w:pStyle w:val="TextBody"/>
        <w:bidi w:val="0"/>
        <w:spacing w:before="0" w:after="0"/>
        <w:jc w:val="left"/>
        <w:rPr>
          <w:spacing w:val="0"/>
        </w:rPr>
      </w:pPr>
      <w:r>
        <w:rPr>
          <w:spacing w:val="0"/>
        </w:rPr>
        <w:t> </w:t>
      </w:r>
    </w:p>
    <w:tbl>
      <w:tblPr>
        <w:tblW w:w="7160" w:type="dxa"/>
        <w:jc w:val="left"/>
        <w:tblInd w:w="0" w:type="dxa"/>
        <w:tblLayout w:type="fixed"/>
        <w:tblCellMar>
          <w:top w:w="0" w:type="dxa"/>
          <w:left w:w="0" w:type="dxa"/>
          <w:bottom w:w="0" w:type="dxa"/>
          <w:right w:w="0" w:type="dxa"/>
        </w:tblCellMar>
      </w:tblPr>
      <w:tblGrid>
        <w:gridCol w:w="1715"/>
        <w:gridCol w:w="120"/>
        <w:gridCol w:w="267"/>
        <w:gridCol w:w="1074"/>
        <w:gridCol w:w="114"/>
        <w:gridCol w:w="229"/>
        <w:gridCol w:w="267"/>
        <w:gridCol w:w="498"/>
        <w:gridCol w:w="114"/>
        <w:gridCol w:w="229"/>
        <w:gridCol w:w="267"/>
        <w:gridCol w:w="498"/>
        <w:gridCol w:w="114"/>
        <w:gridCol w:w="229"/>
        <w:gridCol w:w="267"/>
        <w:gridCol w:w="108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0"/>
              <w:jc w:val="center"/>
              <w:rPr>
                <w:b/>
                <w:spacing w:val="0"/>
              </w:rPr>
            </w:pPr>
            <w:r>
              <w:rPr>
                <w:b/>
                <w:spacing w:val="0"/>
              </w:rPr>
              <w:t>Level 1</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3</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3,072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3,072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3,072</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3,072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445"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2024:</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0"/>
              <w:jc w:val="center"/>
              <w:rPr>
                <w:b/>
                <w:spacing w:val="0"/>
              </w:rPr>
            </w:pPr>
            <w:r>
              <w:rPr>
                <w:b/>
                <w:spacing w:val="0"/>
              </w:rPr>
              <w:t>Level 1</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2</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65" w:type="dxa"/>
            <w:gridSpan w:val="2"/>
            <w:tcBorders/>
            <w:vAlign w:val="center"/>
          </w:tcPr>
          <w:p>
            <w:pPr>
              <w:pStyle w:val="TableContents"/>
              <w:bidi w:val="0"/>
              <w:spacing w:before="0" w:after="0"/>
              <w:jc w:val="center"/>
              <w:rPr>
                <w:b/>
                <w:spacing w:val="0"/>
              </w:rPr>
            </w:pPr>
            <w:r>
              <w:rPr>
                <w:b/>
                <w:spacing w:val="0"/>
              </w:rPr>
              <w:t>Level 3</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10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3,025</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right"/>
              <w:rPr/>
            </w:pPr>
            <w:r>
              <w:rPr/>
              <w:t>3,025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3,025</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3,025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and 2024, there were no transfers between levels. The fair value of the Company’s cash equivalents, consisting of money market funds, is based on quoted market prices in active markets with no valuation adjustment.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believes the carrying amounts of its accounts receivable, prepaid expenses and other current assets, accounts payable, and accrued expenses approximate their fair value due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short-term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nature of these amounts.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Other Investment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28, 2023, the Company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 which fair value was determined to be $5.3 million at the time of closing. The Company’s investment in Tisento Parent does not provide it with significant influence over Tisento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with ASC 810-10, Consolidation—Overall. After</w:t>
      </w:r>
    </w:p>
    <w:p>
      <w:pPr>
        <w:pStyle w:val="TextBody"/>
        <w:bidi w:val="0"/>
        <w:spacing w:before="240" w:after="0"/>
        <w:jc w:val="left"/>
        <w:rPr>
          <w:rFonts w:ascii="Times New Roman" w:hAnsi="Times New Roman"/>
          <w:sz w:val="20"/>
        </w:rPr>
      </w:pPr>
      <w:r>
        <w:rPr>
          <w:rFonts w:ascii="Times New Roman" w:hAnsi="Times New Roman"/>
          <w:sz w:val="20"/>
        </w:rPr>
        <w:t xml:space="preserve">determining that no scope exception applies under the guidance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 ASC 810-10-15-12 and ASC 810-10-15-17, the</w:t>
      </w:r>
    </w:p>
    <w:p>
      <w:pPr>
        <w:pStyle w:val="TextBody"/>
        <w:bidi w:val="0"/>
        <w:spacing w:before="240" w:after="0"/>
        <w:jc w:val="left"/>
        <w:rPr>
          <w:rFonts w:ascii="Times New Roman" w:hAnsi="Times New Roman"/>
          <w:sz w:val="20"/>
        </w:rPr>
      </w:pPr>
      <w:r>
        <w:rPr>
          <w:rFonts w:ascii="Times New Roman" w:hAnsi="Times New Roman"/>
          <w:sz w:val="20"/>
        </w:rPr>
        <w:t xml:space="preserve">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with ASC 810-10-15-14(a) and is</w:t>
      </w:r>
    </w:p>
    <w:p>
      <w:pPr>
        <w:pStyle w:val="TextBody"/>
        <w:bidi w:val="0"/>
        <w:spacing w:before="240" w:after="0"/>
        <w:jc w:val="left"/>
        <w:rPr>
          <w:rFonts w:ascii="Times New Roman" w:hAnsi="Times New Roman"/>
          <w:sz w:val="20"/>
        </w:rPr>
      </w:pPr>
      <w:r>
        <w:rPr>
          <w:rFonts w:ascii="Times New Roman" w:hAnsi="Times New Roman"/>
          <w:sz w:val="20"/>
        </w:rPr>
        <w:t xml:space="preserve">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 ASC 810-10-25-44B and criteria</w:t>
      </w:r>
    </w:p>
    <w:p>
      <w:pPr>
        <w:pStyle w:val="TextBody"/>
        <w:bidi w:val="0"/>
        <w:spacing w:before="240" w:after="0"/>
        <w:jc w:val="left"/>
        <w:rPr>
          <w:rFonts w:ascii="Times New Roman" w:hAnsi="Times New Roman"/>
          <w:sz w:val="20"/>
        </w:rPr>
      </w:pPr>
      <w:r>
        <w:rPr>
          <w:rFonts w:ascii="Times New Roman" w:hAnsi="Times New Roman"/>
          <w:sz w:val="20"/>
        </w:rPr>
        <w:t xml:space="preserve">(a)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December 31, 2025, no impairment loss was recognized. The Company considers the cost of the investment to be the maximum exposure to loss as a result of its involvement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non-affiliated</w:t>
      </w:r>
    </w:p>
    <w:p>
      <w:pPr>
        <w:pStyle w:val="TextBody"/>
        <w:bidi w:val="0"/>
        <w:spacing w:before="240" w:after="0"/>
        <w:jc w:val="left"/>
        <w:rPr>
          <w:rFonts w:ascii="Times New Roman" w:hAnsi="Times New Roman"/>
          <w:sz w:val="20"/>
        </w:rPr>
      </w:pPr>
      <w:r>
        <w:rPr>
          <w:rFonts w:ascii="Times New Roman" w:hAnsi="Times New Roman"/>
          <w:sz w:val="20"/>
        </w:rPr>
        <w:t xml:space="preserve">entity. </w:t>
      </w:r>
    </w:p>
    <w:p>
      <w:pPr>
        <w:pStyle w:val="TextBody"/>
        <w:bidi w:val="0"/>
        <w:spacing w:before="240" w:after="0"/>
        <w:jc w:val="left"/>
        <w:rPr>
          <w:rFonts w:ascii="Times New Roman" w:hAnsi="Times New Roman"/>
          <w:sz w:val="20"/>
        </w:rPr>
      </w:pPr>
      <w:r>
        <w:rPr>
          <w:rFonts w:ascii="Times New Roman" w:hAnsi="Times New Roman"/>
          <w:sz w:val="20"/>
        </w:rPr>
        <w:t xml:space="preserve">The initial fair value of the investment in Tisento Parent was determined by reference to the risk-adjusted net assets value using the discounted cash flow method. The estimated net assets value of Tisento Parent includes the cash generated/used from the operations and the proceeds from equity financing. Valuations were derived by reference to observable valuation measures for comparable companies or transactions, including weighted </w:t>
      </w:r>
    </w:p>
    <w:p>
      <w:pPr>
        <w:pStyle w:val="TextBody"/>
        <w:bidi w:val="0"/>
        <w:spacing w:before="240" w:after="0"/>
        <w:jc w:val="left"/>
        <w:rPr>
          <w:rFonts w:ascii="Times New Roman" w:hAnsi="Times New Roman"/>
          <w:sz w:val="20"/>
        </w:rPr>
      </w:pPr>
      <w:r>
        <w:rPr>
          <w:rFonts w:ascii="Times New Roman" w:hAnsi="Times New Roman"/>
          <w:sz w:val="20"/>
        </w:rPr>
        <w:t>average</w:t>
      </w:r>
    </w:p>
    <w:p>
      <w:pPr>
        <w:pStyle w:val="TextBody"/>
        <w:bidi w:val="0"/>
        <w:spacing w:before="240" w:after="0"/>
        <w:jc w:val="left"/>
        <w:rPr>
          <w:rFonts w:ascii="Times New Roman" w:hAnsi="Times New Roman"/>
          <w:sz w:val="20"/>
        </w:rPr>
      </w:pPr>
      <w:r>
        <w:rPr>
          <w:rFonts w:ascii="Times New Roman" w:hAnsi="Times New Roman"/>
          <w:sz w:val="20"/>
        </w:rPr>
        <w:t xml:space="preserve">cost of capital (21% to 23%), terminal decline rate (25% to 75%) and the discount rate referenced by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treasury rate of 4.01%.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5.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943" w:type="dxa"/>
        <w:jc w:val="left"/>
        <w:tblInd w:w="0" w:type="dxa"/>
        <w:tblLayout w:type="fixed"/>
        <w:tblCellMar>
          <w:top w:w="0" w:type="dxa"/>
          <w:left w:w="0" w:type="dxa"/>
          <w:bottom w:w="0" w:type="dxa"/>
          <w:right w:w="0" w:type="dxa"/>
        </w:tblCellMar>
      </w:tblPr>
      <w:tblGrid>
        <w:gridCol w:w="3740"/>
        <w:gridCol w:w="120"/>
        <w:gridCol w:w="380"/>
        <w:gridCol w:w="1034"/>
        <w:gridCol w:w="60"/>
        <w:gridCol w:w="120"/>
        <w:gridCol w:w="380"/>
        <w:gridCol w:w="1034"/>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Professional fees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220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compensation</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194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283"/>
              <w:jc w:val="right"/>
              <w:rPr/>
            </w:pPr>
            <w:r>
              <w:rPr/>
              <w:t>283</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Funding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may enter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Guarantees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December 31, 2025 or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Separation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part of the separation benefit of the former Chief Financial Officer, the Company paid $0.1 million each in May 2024 and August 2024. The Company has no further separation benefits obligation as of December 31, 2025 and 2024.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Share-based Compensation Plans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Cyclerion also mirrored two of Ironwood Pharmaceuticals, Inc. (“Ironwood”) existing plans,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Amended</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Restated 2005 Stock Incentive Plan (“2005 Equity Plan”) and the Amended and Restated 2010 Employee,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0" w:after="0"/>
        <w:jc w:val="left"/>
        <w:rPr>
          <w:rFonts w:ascii="Times New Roman" w:hAnsi="Times New Roman"/>
          <w:sz w:val="20"/>
        </w:rPr>
      </w:pPr>
      <w:r>
        <w:rPr>
          <w:rFonts w:ascii="Times New Roman" w:hAnsi="Times New Roman"/>
          <w:sz w:val="20"/>
        </w:rPr>
        <w:t xml:space="preserve">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provides share-based compensation reflected in the Company’s consolidated statements of operations and comprehensive loss for the years ended December 31, 2025 and 2024 (in thousands): </w:t>
      </w:r>
    </w:p>
    <w:p>
      <w:pPr>
        <w:pStyle w:val="TextBody"/>
        <w:bidi w:val="0"/>
        <w:spacing w:before="0" w:after="0"/>
        <w:jc w:val="left"/>
        <w:rPr>
          <w:spacing w:val="0"/>
        </w:rPr>
      </w:pPr>
      <w:r>
        <w:rPr>
          <w:spacing w:val="0"/>
        </w:rPr>
        <w:t> </w:t>
      </w:r>
    </w:p>
    <w:tbl>
      <w:tblPr>
        <w:tblW w:w="3830" w:type="dxa"/>
        <w:jc w:val="left"/>
        <w:tblInd w:w="0" w:type="dxa"/>
        <w:tblLayout w:type="fixed"/>
        <w:tblCellMar>
          <w:top w:w="0" w:type="dxa"/>
          <w:left w:w="0" w:type="dxa"/>
          <w:bottom w:w="0" w:type="dxa"/>
          <w:right w:w="0" w:type="dxa"/>
        </w:tblCellMar>
      </w:tblPr>
      <w:tblGrid>
        <w:gridCol w:w="2225"/>
        <w:gridCol w:w="120"/>
        <w:gridCol w:w="161"/>
        <w:gridCol w:w="440"/>
        <w:gridCol w:w="68"/>
        <w:gridCol w:w="138"/>
        <w:gridCol w:w="161"/>
        <w:gridCol w:w="44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vAlign w:val="center"/>
          </w:tcPr>
          <w:p>
            <w:pPr>
              <w:pStyle w:val="TableContents"/>
              <w:bidi w:val="0"/>
              <w:spacing w:before="0" w:after="0"/>
              <w:jc w:val="center"/>
              <w:rPr>
                <w:b/>
                <w:spacing w:val="0"/>
              </w:rPr>
            </w:pPr>
            <w:r>
              <w:rPr>
                <w:b/>
                <w:spacing w:val="0"/>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0"/>
              <w:jc w:val="center"/>
              <w:rPr>
                <w:b/>
                <w:spacing w:val="0"/>
              </w:rPr>
            </w:pPr>
            <w:r>
              <w:rPr>
                <w:b/>
                <w:spacing w:val="0"/>
              </w:rPr>
              <w:t>2025</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29</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91</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412</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534</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441</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625</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4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 xml:space="preserve">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stock option activity for the year ended December 31, 2025 is as follows: </w:t>
      </w:r>
    </w:p>
    <w:p>
      <w:pPr>
        <w:pStyle w:val="TextBody"/>
        <w:bidi w:val="0"/>
        <w:spacing w:before="0" w:after="0"/>
        <w:jc w:val="left"/>
        <w:rPr>
          <w:spacing w:val="0"/>
        </w:rPr>
      </w:pPr>
      <w:r>
        <w:rPr>
          <w:spacing w:val="0"/>
        </w:rPr>
        <w:t> </w:t>
      </w:r>
    </w:p>
    <w:tbl>
      <w:tblPr>
        <w:tblW w:w="8503" w:type="dxa"/>
        <w:jc w:val="left"/>
        <w:tblInd w:w="0" w:type="dxa"/>
        <w:tblLayout w:type="fixed"/>
        <w:tblCellMar>
          <w:top w:w="0" w:type="dxa"/>
          <w:left w:w="0" w:type="dxa"/>
          <w:bottom w:w="0" w:type="dxa"/>
          <w:right w:w="0" w:type="dxa"/>
        </w:tblCellMar>
      </w:tblPr>
      <w:tblGrid>
        <w:gridCol w:w="3080"/>
        <w:gridCol w:w="120"/>
        <w:gridCol w:w="74"/>
        <w:gridCol w:w="996"/>
        <w:gridCol w:w="155"/>
        <w:gridCol w:w="120"/>
        <w:gridCol w:w="169"/>
        <w:gridCol w:w="826"/>
        <w:gridCol w:w="60"/>
        <w:gridCol w:w="120"/>
        <w:gridCol w:w="220"/>
        <w:gridCol w:w="1179"/>
        <w:gridCol w:w="60"/>
        <w:gridCol w:w="120"/>
        <w:gridCol w:w="395"/>
        <w:gridCol w:w="734"/>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Number</w:t>
              <w:br/>
              <w:t>of 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Average</w:t>
              <w:br/>
              <w:t>Intrinsic</w:t>
              <w:br/>
              <w:t>Value (in</w:t>
              <w:br/>
              <w:t>thousands)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335,448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158.98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25,000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Cancelled or forfeited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(62,686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297,762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at December 31, 2025</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232,385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years ended December 31, 2025 and 2024, the Company granted stock options to purchase an aggregate of 25,000 shares and 55,849 shares, respectively, at weighted average grant date fair values per option share of $2.14 and $2.80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options exercised during the year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unrecognized share-based compensation expense, net of estimated forfeitures, related to all unvested time-based stock options held by the Company’s employee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is $0.1 million and the weighted average period over which that expense is expected to be recognized is 3.03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weighted-average Black-Scholes assumptions used in estimating the fair value of the stock options granted by Cyclerion during the years ended December 31, 2025 and 2024 were as follows: </w:t>
      </w:r>
    </w:p>
    <w:p>
      <w:pPr>
        <w:pStyle w:val="TextBody"/>
        <w:bidi w:val="0"/>
        <w:spacing w:before="0" w:after="0"/>
        <w:jc w:val="left"/>
        <w:rPr>
          <w:spacing w:val="0"/>
        </w:rPr>
      </w:pPr>
      <w:r>
        <w:rPr>
          <w:spacing w:val="0"/>
        </w:rPr>
        <w:t> </w:t>
      </w:r>
    </w:p>
    <w:tbl>
      <w:tblPr>
        <w:tblW w:w="6266" w:type="dxa"/>
        <w:jc w:val="left"/>
        <w:tblInd w:w="0" w:type="dxa"/>
        <w:tblLayout w:type="fixed"/>
        <w:tblCellMar>
          <w:top w:w="0" w:type="dxa"/>
          <w:left w:w="0" w:type="dxa"/>
          <w:bottom w:w="0" w:type="dxa"/>
          <w:right w:w="0" w:type="dxa"/>
        </w:tblCellMar>
      </w:tblPr>
      <w:tblGrid>
        <w:gridCol w:w="3200"/>
        <w:gridCol w:w="120"/>
        <w:gridCol w:w="86"/>
        <w:gridCol w:w="996"/>
        <w:gridCol w:w="402"/>
        <w:gridCol w:w="86"/>
        <w:gridCol w:w="86"/>
        <w:gridCol w:w="1000"/>
        <w:gridCol w:w="290"/>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6" w:type="dxa"/>
            <w:gridSpan w:val="6"/>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2" w:type="dxa"/>
            <w:gridSpan w:val="2"/>
            <w:tcBorders/>
            <w:vAlign w:val="center"/>
          </w:tcPr>
          <w:p>
            <w:pPr>
              <w:pStyle w:val="TableContents"/>
              <w:bidi w:val="0"/>
              <w:spacing w:before="0" w:after="0"/>
              <w:jc w:val="center"/>
              <w:rPr>
                <w:b/>
                <w:spacing w:val="0"/>
              </w:rPr>
            </w:pPr>
            <w:r>
              <w:rPr>
                <w:b/>
                <w:spacing w:val="0"/>
              </w:rPr>
              <w:t>2025</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risk-free interest rate</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3.79</w:t>
            </w:r>
          </w:p>
        </w:tc>
        <w:tc>
          <w:tcPr>
            <w:tcW w:w="4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3.64</w:t>
            </w:r>
          </w:p>
        </w:tc>
        <w:tc>
          <w:tcPr>
            <w:tcW w:w="290"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term (in years)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5.4</w:t>
            </w:r>
          </w:p>
        </w:tc>
        <w:tc>
          <w:tcPr>
            <w:tcW w:w="40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stock price volatility</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141.07</w:t>
            </w:r>
          </w:p>
        </w:tc>
        <w:tc>
          <w:tcPr>
            <w:tcW w:w="40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111.97</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years ended December 31, 2025 and 2024, expected volatility was estimated using an average of the historical volatility of the common stock of a group of similar companies that were publicly traded. The Company will continue to apply this process until a sufficient amount of historical information regarding the volatility of its own stock price becomes available.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granted certain employees performance-based options to purchase shares of common stock. These options are subject to performance-based milestone vesting. During the year ended December 31, 2025 and 2024, there were no shares that vested as a result of performance milestone achievements. No share-based compensation expense related to these performance-based options was recognized during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RSA was granted during the year ended December 31, 2025. The Company granted 65,000 RSAs during the year ended December 31, 2024.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RSA activity for the years ended December 31, 2025 is as follows: </w:t>
      </w:r>
    </w:p>
    <w:p>
      <w:pPr>
        <w:pStyle w:val="TextBody"/>
        <w:bidi w:val="0"/>
        <w:spacing w:before="0" w:after="0"/>
        <w:jc w:val="left"/>
        <w:rPr>
          <w:spacing w:val="0"/>
        </w:rPr>
      </w:pPr>
      <w:r>
        <w:rPr>
          <w:spacing w:val="0"/>
        </w:rPr>
        <w:t> </w:t>
      </w:r>
    </w:p>
    <w:tbl>
      <w:tblPr>
        <w:tblW w:w="6185" w:type="dxa"/>
        <w:jc w:val="left"/>
        <w:tblInd w:w="0" w:type="dxa"/>
        <w:tblLayout w:type="fixed"/>
        <w:tblCellMar>
          <w:top w:w="0" w:type="dxa"/>
          <w:left w:w="0" w:type="dxa"/>
          <w:bottom w:w="0" w:type="dxa"/>
          <w:right w:w="0" w:type="dxa"/>
        </w:tblCellMar>
      </w:tblPr>
      <w:tblGrid>
        <w:gridCol w:w="2840"/>
        <w:gridCol w:w="120"/>
        <w:gridCol w:w="67"/>
        <w:gridCol w:w="898"/>
        <w:gridCol w:w="155"/>
        <w:gridCol w:w="120"/>
        <w:gridCol w:w="461"/>
        <w:gridCol w:w="1449"/>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2024</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164,174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2.56</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(60,096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2.52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2025</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104,078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 unrecognized share-based compensation expense, net of estimated forfeitures, related to all unvested RSAs held by the Company’s directors is $0.2 million and the weighted average period over which that expense is expected to be recognized is 1.69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8.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spacing w:val="0"/>
        </w:rPr>
      </w:pPr>
      <w:r>
        <w:rPr>
          <w:spacing w:val="0"/>
        </w:rPr>
        <w:t> </w:t>
      </w:r>
    </w:p>
    <w:tbl>
      <w:tblPr>
        <w:tblW w:w="10055" w:type="dxa"/>
        <w:jc w:val="left"/>
        <w:tblInd w:w="0" w:type="dxa"/>
        <w:tblLayout w:type="fixed"/>
        <w:tblCellMar>
          <w:top w:w="0" w:type="dxa"/>
          <w:left w:w="0" w:type="dxa"/>
          <w:bottom w:w="0" w:type="dxa"/>
          <w:right w:w="0" w:type="dxa"/>
        </w:tblCellMar>
      </w:tblPr>
      <w:tblGrid>
        <w:gridCol w:w="7940"/>
        <w:gridCol w:w="120"/>
        <w:gridCol w:w="140"/>
        <w:gridCol w:w="635"/>
        <w:gridCol w:w="155"/>
        <w:gridCol w:w="120"/>
        <w:gridCol w:w="140"/>
        <w:gridCol w:w="635"/>
        <w:gridCol w:w="170"/>
      </w:tblGrid>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(3,528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(3,057</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 net loss per share — basic and diluted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3,181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2,518</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excludes potential shares of common stock related to Preferred Stock, stock options and RSAs from the calculation of diluted net loss per share since the inclusion of such shares would be anti-dilutive. The following table sets forth potential shares that were considered anti-dilutive for the years ended December 31, 2025 and 2024: </w:t>
      </w:r>
    </w:p>
    <w:p>
      <w:pPr>
        <w:pStyle w:val="TextBody"/>
        <w:bidi w:val="0"/>
        <w:spacing w:before="0" w:after="0"/>
        <w:jc w:val="left"/>
        <w:rPr>
          <w:spacing w:val="0"/>
        </w:rPr>
      </w:pPr>
      <w:r>
        <w:rPr>
          <w:spacing w:val="0"/>
        </w:rPr>
        <w:t> </w:t>
      </w:r>
    </w:p>
    <w:tbl>
      <w:tblPr>
        <w:tblW w:w="4176" w:type="dxa"/>
        <w:jc w:val="left"/>
        <w:tblInd w:w="0" w:type="dxa"/>
        <w:tblLayout w:type="fixed"/>
        <w:tblCellMar>
          <w:top w:w="0" w:type="dxa"/>
          <w:left w:w="0" w:type="dxa"/>
          <w:bottom w:w="0" w:type="dxa"/>
          <w:right w:w="0" w:type="dxa"/>
        </w:tblCellMar>
      </w:tblPr>
      <w:tblGrid>
        <w:gridCol w:w="1265"/>
        <w:gridCol w:w="120"/>
        <w:gridCol w:w="85"/>
        <w:gridCol w:w="1145"/>
        <w:gridCol w:w="85"/>
        <w:gridCol w:w="171"/>
        <w:gridCol w:w="85"/>
        <w:gridCol w:w="1145"/>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2025</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351,037</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351,037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297,762</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335,448</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104,078</w:t>
            </w:r>
          </w:p>
        </w:tc>
        <w:tc>
          <w:tcPr>
            <w:tcW w:w="8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164,174</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752,877</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850,659</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components of net income (loss) before income tax expense are as follows (in thousands): </w:t>
      </w:r>
    </w:p>
    <w:p>
      <w:pPr>
        <w:pStyle w:val="TextBody"/>
        <w:bidi w:val="0"/>
        <w:spacing w:before="0" w:after="0"/>
        <w:jc w:val="left"/>
        <w:rPr>
          <w:spacing w:val="0"/>
        </w:rPr>
      </w:pPr>
      <w:r>
        <w:rPr>
          <w:spacing w:val="0"/>
        </w:rPr>
        <w:t> </w:t>
      </w:r>
    </w:p>
    <w:tbl>
      <w:tblPr>
        <w:tblW w:w="3806" w:type="dxa"/>
        <w:jc w:val="left"/>
        <w:tblInd w:w="0" w:type="dxa"/>
        <w:tblLayout w:type="fixed"/>
        <w:tblCellMar>
          <w:top w:w="0" w:type="dxa"/>
          <w:left w:w="0" w:type="dxa"/>
          <w:bottom w:w="0" w:type="dxa"/>
          <w:right w:w="0" w:type="dxa"/>
        </w:tblCellMar>
      </w:tblPr>
      <w:tblGrid>
        <w:gridCol w:w="800"/>
        <w:gridCol w:w="120"/>
        <w:gridCol w:w="208"/>
        <w:gridCol w:w="945"/>
        <w:gridCol w:w="230"/>
        <w:gridCol w:w="177"/>
        <w:gridCol w:w="208"/>
        <w:gridCol w:w="948"/>
        <w:gridCol w:w="170"/>
      </w:tblGrid>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0"/>
              <w:jc w:val="center"/>
              <w:rPr>
                <w:b/>
                <w:spacing w:val="0"/>
              </w:rPr>
            </w:pPr>
            <w:r>
              <w:rPr>
                <w:b/>
                <w:spacing w:val="0"/>
              </w:rPr>
              <w:t>2025</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Domestic</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(3,061</w:t>
            </w:r>
          </w:p>
        </w:tc>
        <w:tc>
          <w:tcPr>
            <w:tcW w:w="17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(3,058</w:t>
            </w:r>
          </w:p>
        </w:tc>
        <w:tc>
          <w:tcPr>
            <w:tcW w:w="17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taxes computed using the U.S. federal statutory rate to that reflected in operations follows after adoption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on a retrospective basis (in thousands): </w:t>
      </w:r>
    </w:p>
    <w:p>
      <w:pPr>
        <w:pStyle w:val="TextBody"/>
        <w:bidi w:val="0"/>
        <w:spacing w:before="0" w:after="0"/>
        <w:jc w:val="left"/>
        <w:rPr>
          <w:spacing w:val="0"/>
        </w:rPr>
      </w:pPr>
      <w:r>
        <w:rPr>
          <w:spacing w:val="0"/>
        </w:rPr>
        <w:t> </w:t>
      </w:r>
    </w:p>
    <w:tbl>
      <w:tblPr>
        <w:tblW w:w="7185" w:type="dxa"/>
        <w:jc w:val="left"/>
        <w:tblInd w:w="0" w:type="dxa"/>
        <w:tblLayout w:type="fixed"/>
        <w:tblCellMar>
          <w:top w:w="0" w:type="dxa"/>
          <w:left w:w="0" w:type="dxa"/>
          <w:bottom w:w="0" w:type="dxa"/>
          <w:right w:w="0" w:type="dxa"/>
        </w:tblCellMar>
      </w:tblPr>
      <w:tblGrid>
        <w:gridCol w:w="2570"/>
        <w:gridCol w:w="120"/>
        <w:gridCol w:w="155"/>
        <w:gridCol w:w="705"/>
        <w:gridCol w:w="155"/>
        <w:gridCol w:w="120"/>
        <w:gridCol w:w="83"/>
        <w:gridCol w:w="717"/>
        <w:gridCol w:w="275"/>
        <w:gridCol w:w="60"/>
        <w:gridCol w:w="155"/>
        <w:gridCol w:w="705"/>
        <w:gridCol w:w="155"/>
        <w:gridCol w:w="120"/>
        <w:gridCol w:w="83"/>
        <w:gridCol w:w="717"/>
        <w:gridCol w:w="29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5" w:type="dxa"/>
            <w:gridSpan w:val="14"/>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5" w:type="dxa"/>
            <w:gridSpan w:val="6"/>
            <w:tcBorders/>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Percent</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Pretax loss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(3,528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(3,058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71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Federal Statutory Tax Rate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(741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21.0</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tax effects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items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571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0.4</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170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right"/>
              <w:rPr/>
            </w:pPr>
            <w:r>
              <w:rPr/>
              <w:t>566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-18.5</w:t>
            </w:r>
          </w:p>
        </w:tc>
        <w:tc>
          <w:tcPr>
            <w:tcW w:w="29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F-20</w:t>
      </w:r>
    </w:p>
    <w:p>
      <w:pPr>
        <w:pStyle w:val="HorizontalLine"/>
        <w:bidi w:val="0"/>
        <w:jc w:val="center"/>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Company’s effective tax rate differs from the statutory rate primarily due to continued losses and the maintenance of a full valuation allowance on deferred tax assets, resulting in zero income tax expense for the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Deferred tax assets (liabilities) consist of the following as of December 31, 2025 and 2024 (in thousands): </w:t>
      </w:r>
    </w:p>
    <w:p>
      <w:pPr>
        <w:pStyle w:val="TextBody"/>
        <w:bidi w:val="0"/>
        <w:spacing w:before="0" w:after="0"/>
        <w:jc w:val="left"/>
        <w:rPr>
          <w:spacing w:val="0"/>
        </w:rPr>
      </w:pPr>
      <w:r>
        <w:rPr>
          <w:spacing w:val="0"/>
        </w:rPr>
        <w:t> </w:t>
      </w:r>
    </w:p>
    <w:tbl>
      <w:tblPr>
        <w:tblW w:w="6147" w:type="dxa"/>
        <w:jc w:val="left"/>
        <w:tblInd w:w="0" w:type="dxa"/>
        <w:tblLayout w:type="fixed"/>
        <w:tblCellMar>
          <w:top w:w="0" w:type="dxa"/>
          <w:left w:w="0" w:type="dxa"/>
          <w:bottom w:w="0" w:type="dxa"/>
          <w:right w:w="0" w:type="dxa"/>
        </w:tblCellMar>
      </w:tblPr>
      <w:tblGrid>
        <w:gridCol w:w="3140"/>
        <w:gridCol w:w="120"/>
        <w:gridCol w:w="184"/>
        <w:gridCol w:w="993"/>
        <w:gridCol w:w="203"/>
        <w:gridCol w:w="157"/>
        <w:gridCol w:w="184"/>
        <w:gridCol w:w="996"/>
        <w:gridCol w:w="170"/>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vAlign w:val="center"/>
          </w:tcPr>
          <w:p>
            <w:pPr>
              <w:pStyle w:val="TableContents"/>
              <w:bidi w:val="0"/>
              <w:spacing w:before="0" w:after="0"/>
              <w:jc w:val="center"/>
              <w:rPr>
                <w:b/>
                <w:spacing w:val="0"/>
              </w:rPr>
            </w:pPr>
            <w:r>
              <w:rPr>
                <w:b/>
                <w:spacing w:val="0"/>
              </w:rPr>
              <w:t>2025</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993"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jc w:val="right"/>
              <w:rPr/>
            </w:pPr>
            <w:r>
              <w:rPr/>
              <w:t>57,618</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96" w:type="dxa"/>
            <w:tcBorders/>
            <w:vAlign w:val="center"/>
          </w:tcPr>
          <w:p>
            <w:pPr>
              <w:pStyle w:val="TableContents"/>
              <w:bidi w:val="0"/>
              <w:spacing w:before="0" w:after="283"/>
              <w:jc w:val="right"/>
              <w:rPr/>
            </w:pPr>
            <w:r>
              <w:rPr/>
              <w:t>53,281</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 carryforwards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10,385</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10,383</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6,500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7,122</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research and development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8,867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12,370</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83,390</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83,156</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(83,390</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(83,156</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evaluated the positive and negative evidence bearing upon the possible realization of its deferred tax assets. Management has considered the Company’s history of operating losses, in addition to the expected timing of the reversal of existing temporary differences and concluded, in accordance with the applicable accounting standards, that it is more likely than not that the Company will not realize the benefit of its deferred tax assets. Accordingly, the net deferred tax assets have been fully reserved at December 31, 2025 and December 31, 2024. Management reevaluates the positive and negative evidence on a quarterly basis.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valuation allowance increased by approximately $0.2 million during the year ended December 31, 2025 primarily due to increases in capitalized research and development expenses, net operating losses, tax credit carryforwards and deferred tax assets related to share-based compensation.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December 31, 2025 and 2024, Cyclerion has federal net operating loss carryforwards of approximately $211 million and $195 million, respectively, to offset future federal taxable income that will be carried forward indefinitely until utilized. As of December 31, 2025 and 2024, Cyclerion had state net operating loss carryforwards of approximately $212 million and $196 million, respectively, to offset future state taxable income, which will begin to expire in 2039 and will continue to expire through 2045. Cyclerion also had tax credit carryforwards of approximately $10.8 million as of December 31, 2025, to offset future federal and state income taxes. Federal credits begin to expire in 2039 and will continue to expire through 2044. State credits begin to expire in 2034 and continue through 2039.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ability to use its operating loss carryforwards and tax credits to offset future taxable income could be subject to restrictions under Section 382 of the U.S. Internal Revenue Code of 1986, as amended (the “Internal Revenue Code”). These potential restrictions may limit the future use of the operating loss carryforwards and tax credits if certain ownership changes described in the Internal Revenue Code occur. Changes in stock ownership may occur that would create these limitations on the Company’s use of the operating loss carryforwards and tax credits. In such a situation, the Company may be required to pay income taxes, even though significant operating loss carryforwards and tax credits exist.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as yet conducted a study of its research and development credit carry forwards. This study may result in an adjustment to the Company’s research and development credit carryforwards; however, until a study is completed and any adjustment is known, no amounts 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being</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presented as an uncertain tax position. A full valuation allowance has been provided against the Company’s research and development credits,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and if an adjustment is required, this adjustment would be offset by an adjustment to the valuation allowance. Thus, there would be no impact to the consolidated balance sheets or statements of operations if an adjustment were required.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audit, taxing authorities may challenge all or part of an uncertain income tax position. While Cyclerion has no history of tax audits since its inception on a standalone basis, it may be subject to tax audits by federal and state taxing authorities in the future. Accordingly, Cyclerion regularly assesses the outcome of potential examinations in each of the taxing jurisdictions when determining the adequacy of the amount of unrecognized tax benefit recorded. Cyclerion had no unrecognized tax benefits as of December 31, 2025 and 2024. Cyclerion will recognize interest and penalties, if any, related to uncertain tax positions in income tax expense. As of December 31, 2025 and 2024, no interest or penalties have been accrued. There are no current federal or state income tax audits in progress.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Defined Contribution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established a defined contribution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401(k) Savings Plan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which allows eligible employees to contribute from 1% to 100% of their compensation, subject to certain IRS limits. The Company’s contributions to the plan are at the sole discretion of the board of directors. Currently, the Company provides a matching contribution of 75% of the employee’s contributions, up to $6,000 annually.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Included in compensation expense is de minimis related to the defined contribution 401(k) Savings Plan for the years ended December 31, 2025 and 2024,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License and Option Agreement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Patent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recorded research and development expense of $0.1 million for the year ended December 31, 2025, which consisted of upfront fees, patent reimbursement fees and transaction costs related to the license.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up-front</w:t>
      </w:r>
    </w:p>
    <w:p>
      <w:pPr>
        <w:pStyle w:val="TextBody"/>
        <w:bidi w:val="0"/>
        <w:spacing w:before="240" w:after="0"/>
        <w:jc w:val="left"/>
        <w:rPr>
          <w:rFonts w:ascii="Times New Roman" w:hAnsi="Times New Roman"/>
          <w:sz w:val="20"/>
        </w:rPr>
      </w:pPr>
      <w:r>
        <w:rPr>
          <w:rFonts w:ascii="Times New Roman" w:hAnsi="Times New Roman"/>
          <w:sz w:val="20"/>
        </w:rPr>
        <w:t xml:space="preserve">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to twenty percent of net sales. Cyclerion’s obligations to deliver certain drug products have also ceased.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re-evaluate</w:t>
      </w:r>
    </w:p>
    <w:p>
      <w:pPr>
        <w:pStyle w:val="TextBody"/>
        <w:bidi w:val="0"/>
        <w:spacing w:before="240" w:after="0"/>
        <w:jc w:val="left"/>
        <w:rPr>
          <w:rFonts w:ascii="Times New Roman" w:hAnsi="Times New Roman"/>
          <w:sz w:val="20"/>
        </w:rPr>
      </w:pPr>
      <w:r>
        <w:rPr>
          <w:rFonts w:ascii="Times New Roman" w:hAnsi="Times New Roman"/>
          <w:sz w:val="20"/>
        </w:rPr>
        <w:t xml:space="preserve">the probability of achievement of the milestones and any related constraints each reporting period.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Material Purchase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The Company recognized revenue of $0.8 million during the year ended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12.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6, 2026, the Company sold 405,000 shares of common stock under the Sales Agreement for net proceeds of approximately $0.8 million. The Company exhausted all sales under the 2025 Shelf.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w:t>
      </w:r>
    </w:p>
    <w:p>
      <w:pPr>
        <w:pStyle w:val="TextBody"/>
        <w:bidi w:val="0"/>
        <w:spacing w:before="240" w:after="0"/>
        <w:jc w:val="left"/>
        <w:rPr>
          <w:rFonts w:ascii="Times New Roman" w:hAnsi="Times New Roman"/>
          <w:sz w:val="20"/>
        </w:rPr>
      </w:pPr>
      <w:r>
        <w:rPr>
          <w:rFonts w:ascii="Times New Roman" w:hAnsi="Times New Roman"/>
          <w:sz w:val="20"/>
        </w:rPr>
        <w:t>(i) a non-exclusive, worldwide,</w:t>
      </w:r>
    </w:p>
    <w:p>
      <w:pPr>
        <w:pStyle w:val="TextBody"/>
        <w:bidi w:val="0"/>
        <w:spacing w:before="240" w:after="0"/>
        <w:jc w:val="left"/>
        <w:rPr>
          <w:rFonts w:ascii="Times New Roman" w:hAnsi="Times New Roman"/>
          <w:sz w:val="20"/>
        </w:rPr>
      </w:pPr>
      <w:r>
        <w:rPr>
          <w:rFonts w:ascii="Times New Roman" w:hAnsi="Times New Roman"/>
          <w:sz w:val="20"/>
        </w:rPr>
        <w:t xml:space="preserve">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w:t>
      </w:r>
    </w:p>
    <w:p>
      <w:pPr>
        <w:pStyle w:val="TextBody"/>
        <w:bidi w:val="0"/>
        <w:spacing w:before="240" w:after="0"/>
        <w:jc w:val="left"/>
        <w:rPr>
          <w:rFonts w:ascii="Times New Roman" w:hAnsi="Times New Roman"/>
          <w:sz w:val="20"/>
        </w:rPr>
      </w:pPr>
      <w:r>
        <w:rPr>
          <w:rFonts w:ascii="Times New Roman" w:hAnsi="Times New Roman"/>
          <w:sz w:val="20"/>
        </w:rPr>
        <w:t>in multi-bed or</w:t>
      </w:r>
    </w:p>
    <w:p>
      <w:pPr>
        <w:pStyle w:val="TextBody"/>
        <w:bidi w:val="0"/>
        <w:spacing w:before="240" w:after="0"/>
        <w:jc w:val="left"/>
        <w:rPr>
          <w:rFonts w:ascii="Times New Roman" w:hAnsi="Times New Roman"/>
          <w:sz w:val="20"/>
        </w:rPr>
      </w:pPr>
      <w:r>
        <w:rPr>
          <w:rFonts w:ascii="Times New Roman" w:hAnsi="Times New Roman"/>
          <w:sz w:val="20"/>
        </w:rPr>
        <w:t xml:space="preserve">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F-24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15"/>
        <w:gridCol w:w="120"/>
        <w:gridCol w:w="147"/>
        <w:gridCol w:w="923"/>
        <w:gridCol w:w="155"/>
        <w:gridCol w:w="60"/>
        <w:gridCol w:w="195"/>
        <w:gridCol w:w="1220"/>
        <w:gridCol w:w="170"/>
      </w:tblGrid>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3,240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384</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investment</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5,350</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8,505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9,985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457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508</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198</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900</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6)</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no par value, 100,000,000 shares authorized and 351,037 shares of Series A convertible preferred stock issued and outstanding at March 31, 2026 and December 31, 2025</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no par value, 400,000,000 shares authorized at March 31, 2026 and December 31, 2025; 4,330,314 and 3,925,314 shares issued at March 31, 2026 and December 31, 2025, respectively; 4,241,260 and 3,821,236 shares outstanding at March 31, 2026 and December 31, 2025, respectively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280,988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280,105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(271,020</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6,791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9,085</w:t>
            </w:r>
          </w:p>
        </w:tc>
        <w:tc>
          <w:tcPr>
            <w:tcW w:w="170" w:type="dxa"/>
            <w:tcBorders/>
            <w:shd w:fill="CCEEFF" w:val="clear"/>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8,505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9,985</w:t>
            </w:r>
          </w:p>
        </w:tc>
        <w:tc>
          <w:tcPr>
            <w:tcW w:w="170" w:type="dxa"/>
            <w:tcBorders/>
            <w:vAlign w:val="center"/>
          </w:tcPr>
          <w:p>
            <w:pPr>
              <w:pStyle w:val="TableContents"/>
              <w:bidi w:val="0"/>
              <w:spacing w:before="0" w:after="283"/>
              <w:jc w:val="left"/>
              <w:rPr/>
            </w:pPr>
            <w:r>
              <w:rPr/>
              <w:t> </w:t>
            </w:r>
          </w:p>
        </w:tc>
      </w:tr>
      <w:tr>
        <w:trPr/>
        <w:tc>
          <w:tcPr>
            <w:tcW w:w="7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per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5750" w:type="dxa"/>
        <w:jc w:val="left"/>
        <w:tblInd w:w="0" w:type="dxa"/>
        <w:tblLayout w:type="fixed"/>
        <w:tblCellMar>
          <w:top w:w="0" w:type="dxa"/>
          <w:left w:w="0" w:type="dxa"/>
          <w:bottom w:w="0" w:type="dxa"/>
          <w:right w:w="0" w:type="dxa"/>
        </w:tblCellMar>
      </w:tblPr>
      <w:tblGrid>
        <w:gridCol w:w="3695"/>
        <w:gridCol w:w="120"/>
        <w:gridCol w:w="140"/>
        <w:gridCol w:w="635"/>
        <w:gridCol w:w="155"/>
        <w:gridCol w:w="60"/>
        <w:gridCol w:w="140"/>
        <w:gridCol w:w="635"/>
        <w:gridCol w:w="17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5" w:type="dxa"/>
            <w:gridSpan w:val="6"/>
            <w:tcBorders/>
            <w:vAlign w:val="center"/>
          </w:tcPr>
          <w:p>
            <w:pPr>
              <w:pStyle w:val="TableContents"/>
              <w:bidi w:val="0"/>
              <w:spacing w:before="0" w:after="0"/>
              <w:jc w:val="center"/>
              <w:rPr>
                <w:b/>
                <w:spacing w:val="0"/>
              </w:rPr>
            </w:pPr>
            <w:r>
              <w:rPr>
                <w:b/>
                <w:spacing w:val="0"/>
              </w:rPr>
              <w:t>Three Months</w:t>
              <w:br/>
              <w:t>Ended</w:t>
              <w:br/>
              <w:t>March 31,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 from option agreement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81</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1,502</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1,538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(1,457</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28</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(3,177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(1,429</w:t>
            </w:r>
          </w:p>
        </w:tc>
        <w:tc>
          <w:tcPr>
            <w:tcW w:w="17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net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(0.76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(0.56</w:t>
            </w:r>
          </w:p>
        </w:tc>
        <w:tc>
          <w:tcPr>
            <w:tcW w:w="17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shares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2,556</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data)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873"/>
        <w:gridCol w:w="60"/>
        <w:gridCol w:w="60"/>
        <w:gridCol w:w="980"/>
        <w:gridCol w:w="60"/>
        <w:gridCol w:w="60"/>
        <w:gridCol w:w="301"/>
        <w:gridCol w:w="559"/>
        <w:gridCol w:w="60"/>
        <w:gridCol w:w="60"/>
        <w:gridCol w:w="60"/>
        <w:gridCol w:w="807"/>
        <w:gridCol w:w="60"/>
        <w:gridCol w:w="60"/>
        <w:gridCol w:w="301"/>
        <w:gridCol w:w="559"/>
        <w:gridCol w:w="60"/>
        <w:gridCol w:w="60"/>
        <w:gridCol w:w="140"/>
        <w:gridCol w:w="800"/>
        <w:gridCol w:w="60"/>
        <w:gridCol w:w="60"/>
        <w:gridCol w:w="188"/>
        <w:gridCol w:w="1182"/>
        <w:gridCol w:w="155"/>
        <w:gridCol w:w="60"/>
        <w:gridCol w:w="243"/>
        <w:gridCol w:w="1104"/>
        <w:gridCol w:w="173"/>
      </w:tblGrid>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7"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3" w:type="dxa"/>
            <w:vMerge w:val="restart"/>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7" w:type="dxa"/>
            <w:gridSpan w:val="2"/>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r>
      <w:tr>
        <w:trPr/>
        <w:tc>
          <w:tcPr>
            <w:tcW w:w="18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2,545,922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(267,492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8,850</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(1,429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(1,429</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 private placement, net of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1,245</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 related to issuance of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114</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3,060,944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351,037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277,701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(268,921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8,780</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2140" w:type="dxa"/>
            <w:gridSpan w:val="8"/>
            <w:tcBorders/>
            <w:vAlign w:val="center"/>
          </w:tcPr>
          <w:p>
            <w:pPr>
              <w:pStyle w:val="TableContents"/>
              <w:bidi w:val="0"/>
              <w:spacing w:before="0" w:after="283"/>
              <w:jc w:val="left"/>
              <w:rPr>
                <w:sz w:val="4"/>
                <w:szCs w:val="4"/>
              </w:rPr>
            </w:pPr>
            <w:r>
              <w:rPr>
                <w:sz w:val="4"/>
                <w:szCs w:val="4"/>
              </w:rPr>
            </w:r>
          </w:p>
        </w:tc>
        <w:tc>
          <w:tcPr>
            <w:tcW w:w="1967" w:type="dxa"/>
            <w:gridSpan w:val="8"/>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6"/>
            <w:tcBorders/>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40" w:type="dxa"/>
            <w:gridSpan w:val="2"/>
            <w:vMerge w:val="restart"/>
            <w:tcBorders/>
            <w:vAlign w:val="center"/>
          </w:tcPr>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7" w:type="dxa"/>
            <w:gridSpan w:val="2"/>
            <w:vMerge w:val="restart"/>
            <w:tcBorders/>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3" w:type="dxa"/>
            <w:vMerge w:val="restart"/>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7" w:type="dxa"/>
            <w:gridSpan w:val="2"/>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r>
      <w:tr>
        <w:trPr/>
        <w:tc>
          <w:tcPr>
            <w:tcW w:w="18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3,821,236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351,037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(271,020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9,085</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 ATM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825</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(3,177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(3,177</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18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 related to issuance of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58</w:t>
            </w:r>
          </w:p>
        </w:tc>
        <w:tc>
          <w:tcPr>
            <w:tcW w:w="173" w:type="dxa"/>
            <w:tcBorders/>
            <w:shd w:fill="CCEEFF" w:val="clear"/>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4,241,260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351,037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280,988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(274,197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04" w:type="dxa"/>
            <w:tcBorders/>
            <w:vAlign w:val="center"/>
          </w:tcPr>
          <w:p>
            <w:pPr>
              <w:pStyle w:val="TableContents"/>
              <w:bidi w:val="0"/>
              <w:spacing w:before="0" w:after="283"/>
              <w:jc w:val="right"/>
              <w:rPr/>
            </w:pPr>
            <w:r>
              <w:rPr/>
              <w:t>6,791</w:t>
            </w:r>
          </w:p>
        </w:tc>
        <w:tc>
          <w:tcPr>
            <w:tcW w:w="173" w:type="dxa"/>
            <w:tcBorders/>
            <w:vAlign w:val="center"/>
          </w:tcPr>
          <w:p>
            <w:pPr>
              <w:pStyle w:val="TableContents"/>
              <w:bidi w:val="0"/>
              <w:spacing w:before="0" w:after="283"/>
              <w:jc w:val="left"/>
              <w:rPr/>
            </w:pPr>
            <w:r>
              <w:rPr/>
              <w:t> </w:t>
            </w:r>
          </w:p>
        </w:tc>
      </w:tr>
      <w:tr>
        <w:trPr/>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8038" w:type="dxa"/>
        <w:jc w:val="left"/>
        <w:tblInd w:w="0" w:type="dxa"/>
        <w:tblLayout w:type="fixed"/>
        <w:tblCellMar>
          <w:top w:w="0" w:type="dxa"/>
          <w:left w:w="0" w:type="dxa"/>
          <w:bottom w:w="0" w:type="dxa"/>
          <w:right w:w="0" w:type="dxa"/>
        </w:tblCellMar>
      </w:tblPr>
      <w:tblGrid>
        <w:gridCol w:w="5945"/>
        <w:gridCol w:w="120"/>
        <w:gridCol w:w="143"/>
        <w:gridCol w:w="649"/>
        <w:gridCol w:w="158"/>
        <w:gridCol w:w="61"/>
        <w:gridCol w:w="143"/>
        <w:gridCol w:w="649"/>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3" w:type="dxa"/>
            <w:gridSpan w:val="6"/>
            <w:tcBorders/>
            <w:vAlign w:val="center"/>
          </w:tcPr>
          <w:p>
            <w:pPr>
              <w:pStyle w:val="TableContents"/>
              <w:bidi w:val="0"/>
              <w:spacing w:before="0" w:after="0"/>
              <w:jc w:val="center"/>
              <w:rPr>
                <w:b/>
                <w:spacing w:val="0"/>
              </w:rPr>
            </w:pPr>
            <w:r>
              <w:rPr>
                <w:b/>
                <w:spacing w:val="0"/>
              </w:rPr>
              <w:t>Three Months</w:t>
              <w:br/>
              <w:t>Ended March 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0"/>
              <w:jc w:val="center"/>
              <w:rPr>
                <w:b/>
                <w:spacing w:val="0"/>
              </w:rPr>
            </w:pPr>
            <w:r>
              <w:rPr>
                <w:b/>
                <w:spacing w:val="0"/>
              </w:rPr>
              <w:t>2026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(3,177</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(1,429</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58</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114</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1,000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129</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(51</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93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and development costs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(50</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915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(1,176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(968</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64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(66</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(66</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ATM</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825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private placement</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1,375</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825</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1,375</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increase in cash and cash equivalents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(417</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407</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beginning of period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3,240</w:t>
            </w:r>
          </w:p>
        </w:tc>
        <w:tc>
          <w:tcPr>
            <w:tcW w:w="15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3,232</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end of period</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2,823</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49" w:type="dxa"/>
            <w:tcBorders/>
            <w:vAlign w:val="center"/>
          </w:tcPr>
          <w:p>
            <w:pPr>
              <w:pStyle w:val="TableContents"/>
              <w:bidi w:val="0"/>
              <w:spacing w:before="0" w:after="283"/>
              <w:jc w:val="right"/>
              <w:rPr/>
            </w:pPr>
            <w:r>
              <w:rPr/>
              <w:t>3,639</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Cyclerion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the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Business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(“Cyclerion”, the “Company” or “we”) became an independent public company on April 1, 2019 after Ironwood Pharmaceuticals, Inc. completed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tax-free</w:t>
      </w:r>
    </w:p>
    <w:p>
      <w:pPr>
        <w:pStyle w:val="TextBody"/>
        <w:bidi w:val="0"/>
        <w:spacing w:before="120" w:after="0"/>
        <w:jc w:val="left"/>
        <w:rPr>
          <w:rFonts w:ascii="Times New Roman" w:hAnsi="Times New Roman"/>
          <w:spacing w:val="0"/>
          <w:sz w:val="20"/>
        </w:rPr>
      </w:pPr>
      <w:r>
        <w:rPr>
          <w:rFonts w:ascii="Times New Roman" w:hAnsi="Times New Roman"/>
          <w:spacing w:val="0"/>
          <w:sz w:val="20"/>
        </w:rPr>
        <w:t>spin-off</w:t>
      </w:r>
    </w:p>
    <w:p>
      <w:pPr>
        <w:pStyle w:val="TextBody"/>
        <w:bidi w:val="0"/>
        <w:spacing w:before="120" w:after="0"/>
        <w:jc w:val="left"/>
        <w:rPr>
          <w:rFonts w:ascii="Times New Roman" w:hAnsi="Times New Roman"/>
          <w:sz w:val="20"/>
        </w:rPr>
      </w:pPr>
      <w:r>
        <w:rPr>
          <w:rFonts w:ascii="Times New Roman" w:hAnsi="Times New Roman"/>
          <w:sz w:val="20"/>
        </w:rPr>
        <w:t xml:space="preserve">of their sGC business. Cyclerion has one employee as of March 31, 2026 and also relies on a team of specialist consultants for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Cyclerion has historically focused on building a pipeline of innovative therapeutics to address serious neuropsychiatric disorders with significant unmet medical need. Prior to the proposed Merger, its strategic focus was centered on the development of a novel therapeutic approach for neuropsychiatric conditions, with the lead indication being treatment-resistant depression (“TRD”), which it believes represents a substantial clinical and commercial opportunity. Over the past year, the Company has refined our strategic direction toward programs that combine established pharmacologic agents with enabling technologies designed to improve precision, reproducibility, and patient outcomes. As part of this strategy, The Company has evaluated multiple opportunities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prioritized CYC-126, an</w:t>
      </w:r>
    </w:p>
    <w:p>
      <w:pPr>
        <w:pStyle w:val="TextBody"/>
        <w:bidi w:val="0"/>
        <w:spacing w:before="240" w:after="0"/>
        <w:jc w:val="left"/>
        <w:rPr>
          <w:rFonts w:ascii="Times New Roman" w:hAnsi="Times New Roman"/>
          <w:sz w:val="20"/>
        </w:rPr>
      </w:pPr>
      <w:r>
        <w:rPr>
          <w:rFonts w:ascii="Times New Roman" w:hAnsi="Times New Roman"/>
          <w:sz w:val="20"/>
        </w:rPr>
        <w:t xml:space="preserve">individualized therapy for TRD as its foundational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Company entered into a license agreement with the Massachusetts Institute of Technology (“MIT”) for intellectual property supporting this TRD program. In January 2026, the Company also entered into a collaboration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and option-to-license agreement</w:t>
      </w:r>
    </w:p>
    <w:p>
      <w:pPr>
        <w:pStyle w:val="TextBody"/>
        <w:bidi w:val="0"/>
        <w:spacing w:before="240" w:after="0"/>
        <w:jc w:val="left"/>
        <w:rPr>
          <w:rFonts w:ascii="Times New Roman" w:hAnsi="Times New Roman"/>
          <w:sz w:val="20"/>
        </w:rPr>
      </w:pPr>
      <w:r>
        <w:rPr>
          <w:rFonts w:ascii="Times New Roman" w:hAnsi="Times New Roman"/>
          <w:sz w:val="20"/>
        </w:rPr>
        <w:t xml:space="preserve">with Medsteer SAS (“Medsteer”), a developer of anesthesia delivery and monitoring technologies. This agreement provides the Company with access to Medsteer’s technical expertise, data assets, and intellectual property relating to technology-enabled drug delivery and physiological monitoring, and grants the Company the right, but not the obligation, to obtain additional rights under specified conditions. The Company intends to evaluate these capabilities as part of our broader development strategy for our TRD program. Given the substantial unmet medical need in TRD, the stage of clinical development, and the potential commercial opportunity, the Company believe this program is well positioned to serve as the foundation of our future development efforts. The program team is currently advancing an integrated clinical, regulatory, and commercial strategy for this TRD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parallel with the advancement of our neuropsychiatric strategy, the Company continues to evaluate opportunities related to potentially monetizing its legacy soluble guanylate cyclase (“sGC”) stimulator assets, including potential collaborations, monetization opportunities, or other strategic transactions intended to maximize shareholder value.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2024, Cyclerion announced that Cyclerion and Akebia had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re-negotiated</w:t>
      </w:r>
    </w:p>
    <w:p>
      <w:pPr>
        <w:pStyle w:val="TextBody"/>
        <w:bidi w:val="0"/>
        <w:spacing w:before="240" w:after="0"/>
        <w:jc w:val="left"/>
        <w:rPr>
          <w:rFonts w:ascii="Times New Roman" w:hAnsi="Times New Roman"/>
          <w:sz w:val="20"/>
        </w:rPr>
      </w:pPr>
      <w:r>
        <w:rPr>
          <w:rFonts w:ascii="Times New Roman" w:hAnsi="Times New Roman"/>
          <w:sz w:val="20"/>
        </w:rPr>
        <w:t xml:space="preserve">a mutually beneficial amendment to their exclusive license agreement for praliciguat, a systemic sGC stimulator. Under this new license amendment, Cyclerion received $1.75 million in amendment payments, of which $1.25 million was paid in December 2024 and the remaining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amendment, upon initiation of a Phase 2 clinical trial in the U.S. for a product, a $1.0 million development milestone payment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 Cyclerion is eligible to receive certain higher-tiered sales-based royalties ranging from </w:t>
      </w:r>
    </w:p>
    <w:p>
      <w:pPr>
        <w:pStyle w:val="TextBody"/>
        <w:bidi w:val="0"/>
        <w:spacing w:before="0" w:after="0"/>
        <w:jc w:val="left"/>
        <w:rPr>
          <w:rFonts w:ascii="Times New Roman" w:hAnsi="Times New Roman"/>
          <w:spacing w:val="0"/>
          <w:sz w:val="20"/>
        </w:rPr>
      </w:pPr>
      <w:r>
        <w:rPr>
          <w:rFonts w:ascii="Times New Roman" w:hAnsi="Times New Roman"/>
          <w:spacing w:val="0"/>
          <w:sz w:val="20"/>
        </w:rPr>
        <w:t>mid-single-digits</w:t>
      </w:r>
    </w:p>
    <w:p>
      <w:pPr>
        <w:pStyle w:val="TextBody"/>
        <w:bidi w:val="0"/>
        <w:spacing w:before="0" w:after="0"/>
        <w:jc w:val="left"/>
        <w:rPr>
          <w:rFonts w:ascii="Times New Roman" w:hAnsi="Times New Roman"/>
          <w:sz w:val="20"/>
        </w:rPr>
      </w:pPr>
      <w:r>
        <w:rPr>
          <w:rFonts w:ascii="Times New Roman" w:hAnsi="Times New Roman"/>
          <w:sz w:val="20"/>
        </w:rPr>
        <w:t xml:space="preserve">to twenty percent. Payment of these sums are reserved for Cyclerion stockholders under the “Cyclerion CVR Agreement” described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 </w:t>
      </w:r>
    </w:p>
    <w:p>
      <w:pPr>
        <w:pStyle w:val="TextBody"/>
        <w:bidi w:val="0"/>
        <w:spacing w:before="240" w:after="0"/>
        <w:jc w:val="left"/>
        <w:rPr>
          <w:rFonts w:ascii="Times New Roman" w:hAnsi="Times New Roman"/>
          <w:sz w:val="20"/>
        </w:rPr>
      </w:pPr>
      <w:r>
        <w:rPr>
          <w:rFonts w:ascii="Times New Roman" w:hAnsi="Times New Roman"/>
          <w:sz w:val="20"/>
        </w:rPr>
        <w:t xml:space="preserve">Zagociguat is a clinical-stage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CNS-penetrant</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has shown rapid improvement in cerebral blood flow, functional brain connectivity, brain response to visual stimulus, cognitive performance, and biomarkers associated mitochondrial function and inflammation in clinical studies. CY3018 is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CNS-targeted</w:t>
      </w:r>
    </w:p>
    <w:p>
      <w:pPr>
        <w:pStyle w:val="TextBody"/>
        <w:bidi w:val="0"/>
        <w:spacing w:before="240" w:after="0"/>
        <w:jc w:val="left"/>
        <w:rPr>
          <w:rFonts w:ascii="Times New Roman" w:hAnsi="Times New Roman"/>
          <w:sz w:val="20"/>
        </w:rPr>
      </w:pPr>
      <w:r>
        <w:rPr>
          <w:rFonts w:ascii="Times New Roman" w:hAnsi="Times New Roman"/>
          <w:sz w:val="20"/>
        </w:rPr>
        <w:t xml:space="preserve">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2025 Equity Private Placement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At-the-Market</w:t>
      </w:r>
    </w:p>
    <w:p>
      <w:pPr>
        <w:pStyle w:val="TextBody"/>
        <w:bidi w:val="0"/>
        <w:spacing w:before="360" w:after="0"/>
        <w:jc w:val="left"/>
        <w:rPr>
          <w:rFonts w:ascii="Times New Roman" w:hAnsi="Times New Roman"/>
          <w:b/>
          <w:sz w:val="20"/>
        </w:rPr>
      </w:pPr>
      <w:r>
        <w:rPr>
          <w:rFonts w:ascii="Times New Roman" w:hAnsi="Times New Roman"/>
          <w:b/>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2025, the Company filed a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z w:val="20"/>
        </w:rPr>
      </w:pPr>
      <w:r>
        <w:rPr>
          <w:rFonts w:ascii="Times New Roman" w:hAnsi="Times New Roman"/>
          <w:sz w:val="20"/>
        </w:rPr>
        <w:t xml:space="preserve">(the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S-3</w:t>
      </w:r>
    </w:p>
    <w:p>
      <w:pPr>
        <w:pStyle w:val="TextBody"/>
        <w:bidi w:val="0"/>
        <w:spacing w:before="0" w:after="0"/>
        <w:jc w:val="left"/>
        <w:rPr>
          <w:rFonts w:ascii="Times New Roman" w:hAnsi="Times New Roman"/>
          <w:sz w:val="20"/>
        </w:rPr>
      </w:pPr>
      <w:r>
        <w:rPr>
          <w:rFonts w:ascii="Times New Roman" w:hAnsi="Times New Roman"/>
          <w:sz w:val="20"/>
        </w:rPr>
        <w:t xml:space="preserve">(“Instruction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the Company sold 715,220 shares of its common stock for net proceeds of $2.1 million under the Sales Agreement, after deducting commissions paid to Guggenheim Securities of $0.1 million. During the three months ended March 31, 2026, the Company sold 405,000 shares of common stock under the Sales Agreement for net proceeds of approximately $0.8 million. The Company exhausted all sales under the 2025 Shelf.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 2026, Cyclerion entered into a Plan of Merger and Reorganization (as amended, the “Merger Agreement”) with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anticipates that the Merger will close in the third quarter of 2026, subject to certain closing conditions, along with the concurrent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Korsana Pre-Closing Financing</w:t>
      </w:r>
    </w:p>
    <w:p>
      <w:pPr>
        <w:pStyle w:val="TextBody"/>
        <w:bidi w:val="0"/>
        <w:spacing w:before="120" w:after="0"/>
        <w:jc w:val="left"/>
        <w:rPr>
          <w:rFonts w:ascii="Times New Roman" w:hAnsi="Times New Roman"/>
          <w:sz w:val="20"/>
        </w:rPr>
      </w:pPr>
      <w:r>
        <w:rPr>
          <w:rFonts w:ascii="Times New Roman" w:hAnsi="Times New Roman"/>
          <w:sz w:val="20"/>
        </w:rPr>
        <w:t xml:space="preserve">described below. Following the Merger, the current business of Korsana will become the primary business of Cyclerion.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First Merger (the “First Effective Time”, and the date on which the closing of the Merger occurs, the “Closing Date”), upon the terms and subject to the conditions set forth in the Merger Agreement: (i) each then-outstanding share of common stock, $0.0001 par value per share, of Korsana (the “Korsana Common Stock”) and Series A Preferred Stock, $0.0001 par value per share of Korsana (“Korsana Series A Preferred Stock”) (including shares of Korsana Common Stock issued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Rule 13d-3</w:t>
      </w:r>
    </w:p>
    <w:p>
      <w:pPr>
        <w:pStyle w:val="TextBody"/>
        <w:bidi w:val="0"/>
        <w:spacing w:before="240" w:after="0"/>
        <w:jc w:val="left"/>
        <w:rPr>
          <w:rFonts w:ascii="Times New Roman" w:hAnsi="Times New Roman"/>
          <w:sz w:val="20"/>
        </w:rPr>
      </w:pPr>
      <w:r>
        <w:rPr>
          <w:rFonts w:ascii="Times New Roman" w:hAnsi="Times New Roman"/>
          <w:sz w:val="20"/>
        </w:rPr>
        <w:t xml:space="preserve">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w:t>
      </w:r>
    </w:p>
    <w:p>
      <w:pPr>
        <w:pStyle w:val="TextBody"/>
        <w:bidi w:val="0"/>
        <w:spacing w:before="240" w:after="0"/>
        <w:jc w:val="left"/>
        <w:rPr>
          <w:rFonts w:ascii="Times New Roman" w:hAnsi="Times New Roman"/>
          <w:spacing w:val="0"/>
          <w:sz w:val="20"/>
        </w:rPr>
      </w:pPr>
      <w:r>
        <w:rPr>
          <w:rFonts w:ascii="Times New Roman" w:hAnsi="Times New Roman"/>
          <w:spacing w:val="0"/>
          <w:sz w:val="20"/>
        </w:rPr>
        <w:t>Limitation, pre-funded warrants</w:t>
      </w:r>
    </w:p>
    <w:p>
      <w:pPr>
        <w:pStyle w:val="TextBody"/>
        <w:bidi w:val="0"/>
        <w:spacing w:before="240" w:after="0"/>
        <w:jc w:val="left"/>
        <w:rPr>
          <w:rFonts w:ascii="Times New Roman" w:hAnsi="Times New Roman"/>
          <w:sz w:val="20"/>
        </w:rPr>
      </w:pPr>
      <w:r>
        <w:rPr>
          <w:rFonts w:ascii="Times New Roman" w:hAnsi="Times New Roman"/>
          <w:sz w:val="20"/>
        </w:rPr>
        <w:t xml:space="preserve">(“Cyclerion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a number of shares of Cyclerion Common Stock upon exercise of such 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equal to such excess shares; (ii) each then-outstanding share of Korsana Series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w:t>
      </w:r>
    </w:p>
    <w:p>
      <w:pPr>
        <w:pStyle w:val="TextBody"/>
        <w:bidi w:val="0"/>
        <w:spacing w:before="0" w:after="0"/>
        <w:jc w:val="left"/>
        <w:rPr>
          <w:rFonts w:ascii="Times New Roman" w:hAnsi="Times New Roman"/>
          <w:spacing w:val="0"/>
          <w:sz w:val="20"/>
        </w:rPr>
      </w:pPr>
      <w:r>
        <w:rPr>
          <w:rFonts w:ascii="Times New Roman" w:hAnsi="Times New Roman"/>
          <w:spacing w:val="0"/>
          <w:sz w:val="20"/>
        </w:rPr>
        <w:t>B non-voting convertible</w:t>
      </w:r>
    </w:p>
    <w:p>
      <w:pPr>
        <w:pStyle w:val="TextBody"/>
        <w:bidi w:val="0"/>
        <w:spacing w:before="0" w:after="0"/>
        <w:jc w:val="left"/>
        <w:rPr>
          <w:rFonts w:ascii="Times New Roman" w:hAnsi="Times New Roman"/>
          <w:sz w:val="20"/>
        </w:rPr>
      </w:pPr>
      <w:r>
        <w:rPr>
          <w:rFonts w:ascii="Times New Roman" w:hAnsi="Times New Roman"/>
          <w:sz w:val="20"/>
        </w:rPr>
        <w:t xml:space="preserve">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entered into a securities purchase agreement (the “Securities Purchase Agreement”) with certain institutional and accredited investors for the purchase of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Korsana Common Stock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for an aggregate purchase price of approximately $380.0 million, immediately prior to the closing of the Merger (referred to herein as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The shares of Korsana Common Stock and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that are issued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the right to receive a number of shares of Cyclerion Common Stock and Cyclerion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respectively, equal to the Exchange Ratio. Korsana and the investors participating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have also agreed to enter into a registration rights agreement at the closing of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pursuant to which, among other things, the Combined Company will agree to provide for the registration and resale of certain shares of Korsana Common Stock that are held by the investors participating in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from time to time pursuant to Rule 415 under the Securities Act.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Cyclerion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first merger, Cyclerion will enter into a Contingent Value Rights Agreement (the “CVR Agreement”) with a designated rights agent (the “Rights Agent”), pursuant to which Cyclerion’s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net of any indemnity obligations, transaction costs and certain other expenses, during the period beginning on the date of the closing of the merger and ending (i) with respect to the sale, transfer, license or other disposition of all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other than those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120" w:after="0"/>
        <w:jc w:val="left"/>
        <w:rPr>
          <w:rFonts w:ascii="Times New Roman" w:hAnsi="Times New Roman"/>
          <w:sz w:val="20"/>
        </w:rPr>
      </w:pPr>
      <w:r>
        <w:rPr>
          <w:rFonts w:ascii="Times New Roman" w:hAnsi="Times New Roman"/>
          <w:sz w:val="20"/>
        </w:rPr>
        <w:t xml:space="preserve">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and the related disclosures are unaudited and have been prepared in accordance with accounting principles generally accepted in the U.S. Additionally,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which was filed with the SEC on March 30,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condensed consolidated financial statements include the financial statements of the Company and its wholly owned subsidiaries, Cyclerion Securities Corporation, Cyclerion Australia Pty Ltd., Cariboos Merger Sub Corp. and Cariboos Merger Sub II, LLC. All significant intercompany accounts and transactions have been eliminated in the preparation of the accompanying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At each reporting period, in accordance with Accounting Standards Codification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120" w:after="0"/>
        <w:jc w:val="left"/>
        <w:rPr>
          <w:rFonts w:ascii="Times New Roman" w:hAnsi="Times New Roman"/>
          <w:sz w:val="20"/>
        </w:rPr>
      </w:pPr>
      <w:r>
        <w:rPr>
          <w:rFonts w:ascii="Times New Roman" w:hAnsi="Times New Roman"/>
          <w:sz w:val="20"/>
        </w:rPr>
        <w:t xml:space="preserve">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condensed consolidated financial statements are issued. In performing its analysis, management excluded certain elements of its operating plan that cannot be considered probable.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205-40,</w:t>
      </w:r>
    </w:p>
    <w:p>
      <w:pPr>
        <w:pStyle w:val="TextBody"/>
        <w:bidi w:val="0"/>
        <w:spacing w:before="240" w:after="0"/>
        <w:jc w:val="left"/>
        <w:rPr>
          <w:rFonts w:ascii="Times New Roman" w:hAnsi="Times New Roman"/>
          <w:sz w:val="20"/>
        </w:rPr>
      </w:pPr>
      <w:r>
        <w:rPr>
          <w:rFonts w:ascii="Times New Roman" w:hAnsi="Times New Roman"/>
          <w:sz w:val="20"/>
        </w:rPr>
        <w:t xml:space="preserve">the future receipt of potential funding from future partnerships, license payments, equity or debt issuances, certain cost reduction measures and the achievement of potential milestone payments from Akebia cannot be considered probable at this time because these plans are not entirely within the Company’s control and/or have not been approved by the Board of Directors as of the date of these condensed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expects that its cash and cash equivalents as of March 31, 2026, will be sufficient to fund operations into the third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 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future operations are highly dependent on the success of the Merger and there can be no assurances that the Merger will be successfully consummated. If the Merger is not consummated, the Company believes that its cash and cash equivalents as of March 31, 2026 would be adequate to fund its operating expenses into the third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of the Company are set forth in Note 2.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Summary of Significant Accounting Policies</w:t>
      </w:r>
    </w:p>
    <w:p>
      <w:pPr>
        <w:pStyle w:val="TextBody"/>
        <w:bidi w:val="0"/>
        <w:spacing w:before="120" w:after="0"/>
        <w:jc w:val="left"/>
        <w:rPr>
          <w:rFonts w:ascii="Times New Roman" w:hAnsi="Times New Roman"/>
          <w:sz w:val="20"/>
        </w:rPr>
      </w:pPr>
      <w:r>
        <w:rPr>
          <w:rFonts w:ascii="Times New Roman" w:hAnsi="Times New Roman"/>
          <w:sz w:val="20"/>
        </w:rPr>
        <w:t xml:space="preserve">to the consolidated financial statements contained in the Company’s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New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Financial Accounting Standards Board (“FASB”) or other standard setting bodies that are adopted by the Company as of the specified effective date. Except as discussed elsewhere in the notes to the interim condensed consolidated financial statements, the Company did not adopt any new accounting pronouncements during the three months ended March 31, 2026 that had a material effect on its condensed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other accounting standards known by the Company to be applicable to it that have been issued by the FASB or other standard-setting bodies and that do not require adoption until a future date are expected to have a material impact on the Company’s condensed consolidated financial statements upon adoption.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March 31, 2026 and December 31, 2025 (in thousands): </w:t>
      </w:r>
    </w:p>
    <w:p>
      <w:pPr>
        <w:pStyle w:val="TextBody"/>
        <w:bidi w:val="0"/>
        <w:spacing w:before="0" w:after="0"/>
        <w:jc w:val="left"/>
        <w:rPr>
          <w:spacing w:val="0"/>
        </w:rPr>
      </w:pPr>
      <w:r>
        <w:rPr>
          <w:spacing w:val="0"/>
        </w:rPr>
        <w:t> </w:t>
      </w:r>
    </w:p>
    <w:tbl>
      <w:tblPr>
        <w:tblW w:w="7160" w:type="dxa"/>
        <w:jc w:val="left"/>
        <w:tblInd w:w="0" w:type="dxa"/>
        <w:tblLayout w:type="fixed"/>
        <w:tblCellMar>
          <w:top w:w="0" w:type="dxa"/>
          <w:left w:w="0" w:type="dxa"/>
          <w:bottom w:w="0" w:type="dxa"/>
          <w:right w:w="0" w:type="dxa"/>
        </w:tblCellMar>
      </w:tblPr>
      <w:tblGrid>
        <w:gridCol w:w="1715"/>
        <w:gridCol w:w="120"/>
        <w:gridCol w:w="262"/>
        <w:gridCol w:w="1052"/>
        <w:gridCol w:w="111"/>
        <w:gridCol w:w="224"/>
        <w:gridCol w:w="281"/>
        <w:gridCol w:w="522"/>
        <w:gridCol w:w="111"/>
        <w:gridCol w:w="224"/>
        <w:gridCol w:w="281"/>
        <w:gridCol w:w="522"/>
        <w:gridCol w:w="111"/>
        <w:gridCol w:w="224"/>
        <w:gridCol w:w="262"/>
        <w:gridCol w:w="106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March 31, 2026: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0"/>
              <w:jc w:val="center"/>
              <w:rPr>
                <w:b/>
                <w:spacing w:val="0"/>
              </w:rPr>
            </w:pPr>
            <w:r>
              <w:rPr>
                <w:b/>
                <w:spacing w:val="0"/>
              </w:rPr>
              <w:t>Level 1</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3</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2,610</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2,610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2,610</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2,610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445"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50" w:type="dxa"/>
            <w:gridSpan w:val="14"/>
            <w:tcBorders/>
            <w:vAlign w:val="center"/>
          </w:tcPr>
          <w:p>
            <w:pPr>
              <w:pStyle w:val="TableContents"/>
              <w:bidi w:val="0"/>
              <w:spacing w:before="0" w:after="0"/>
              <w:jc w:val="center"/>
              <w:rPr>
                <w:b/>
                <w:spacing w:val="0"/>
              </w:rPr>
            </w:pPr>
            <w:r>
              <w:rPr>
                <w:b/>
                <w:spacing w:val="0"/>
              </w:rPr>
              <w:t>Fair Value Measurements as of 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0"/>
              <w:jc w:val="center"/>
              <w:rPr>
                <w:b/>
                <w:spacing w:val="0"/>
              </w:rPr>
            </w:pPr>
            <w:r>
              <w:rPr>
                <w:b/>
                <w:spacing w:val="0"/>
              </w:rPr>
              <w:t>Level 1</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Level 3</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3,072</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522"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3,072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3,072</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3,072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2026 and 2025, there were no transfers between levels. The fair value of the Company’s cash equivalents, consisting of money market funds, is based on quoted market prices in active markets with no valuation adjustment.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believes the carrying amounts of its accounts receivable, prepaid expenses and other current assets, accounts payable, and accrued expenses approximate their fair value due to the short-term nature of these amounts.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Other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810-10,</w:t>
      </w:r>
    </w:p>
    <w:p>
      <w:pPr>
        <w:pStyle w:val="TextBody"/>
        <w:bidi w:val="0"/>
        <w:spacing w:before="120" w:after="0"/>
        <w:jc w:val="left"/>
        <w:rPr>
          <w:rFonts w:ascii="Times New Roman" w:hAnsi="Times New Roman"/>
          <w:sz w:val="20"/>
        </w:rPr>
      </w:pPr>
      <w:r>
        <w:rPr>
          <w:rFonts w:ascii="Times New Roman" w:hAnsi="Times New Roman"/>
          <w:sz w:val="20"/>
        </w:rPr>
        <w:t xml:space="preserve">Consolidation—Overall. After determining that no scope exception applies under the guidance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810-10-15-12</w:t>
      </w:r>
    </w:p>
    <w:p>
      <w:pPr>
        <w:pStyle w:val="TextBody"/>
        <w:bidi w:val="0"/>
        <w:spacing w:before="0" w:after="0"/>
        <w:jc w:val="left"/>
        <w:rPr>
          <w:rFonts w:ascii="Times New Roman" w:hAnsi="Times New Roman"/>
          <w:sz w:val="20"/>
        </w:rPr>
      </w:pPr>
      <w:r>
        <w:rPr>
          <w:rFonts w:ascii="Times New Roman" w:hAnsi="Times New Roman"/>
          <w:sz w:val="20"/>
        </w:rPr>
        <w:t xml:space="preserve">and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810-10-15-17,</w:t>
      </w:r>
    </w:p>
    <w:p>
      <w:pPr>
        <w:pStyle w:val="TextBody"/>
        <w:bidi w:val="0"/>
        <w:spacing w:before="0" w:after="0"/>
        <w:jc w:val="left"/>
        <w:rPr>
          <w:rFonts w:ascii="Times New Roman" w:hAnsi="Times New Roman"/>
          <w:sz w:val="20"/>
        </w:rPr>
      </w:pPr>
      <w:r>
        <w:rPr>
          <w:rFonts w:ascii="Times New Roman" w:hAnsi="Times New Roman"/>
          <w:sz w:val="20"/>
        </w:rPr>
        <w:t xml:space="preserve">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w:t>
      </w:r>
    </w:p>
    <w:p>
      <w:pPr>
        <w:pStyle w:val="TextBody"/>
        <w:bidi w:val="0"/>
        <w:spacing w:before="0" w:after="0"/>
        <w:jc w:val="left"/>
        <w:rPr>
          <w:rFonts w:ascii="Times New Roman" w:hAnsi="Times New Roman"/>
          <w:spacing w:val="0"/>
          <w:sz w:val="20"/>
        </w:rPr>
      </w:pPr>
      <w:r>
        <w:rPr>
          <w:rFonts w:ascii="Times New Roman" w:hAnsi="Times New Roman"/>
          <w:spacing w:val="0"/>
          <w:sz w:val="20"/>
        </w:rPr>
        <w:t>810-10-15-14(a)</w:t>
      </w:r>
    </w:p>
    <w:p>
      <w:pPr>
        <w:pStyle w:val="TextBody"/>
        <w:bidi w:val="0"/>
        <w:spacing w:before="0" w:after="0"/>
        <w:jc w:val="left"/>
        <w:rPr>
          <w:rFonts w:ascii="Times New Roman" w:hAnsi="Times New Roman"/>
          <w:sz w:val="20"/>
        </w:rPr>
      </w:pPr>
      <w:r>
        <w:rPr>
          <w:rFonts w:ascii="Times New Roman" w:hAnsi="Times New Roman"/>
          <w:sz w:val="20"/>
        </w:rPr>
        <w:t xml:space="preserve">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w:t>
      </w:r>
    </w:p>
    <w:p>
      <w:pPr>
        <w:pStyle w:val="TextBody"/>
        <w:bidi w:val="0"/>
        <w:spacing w:before="0" w:after="0"/>
        <w:jc w:val="left"/>
        <w:rPr>
          <w:rFonts w:ascii="Times New Roman" w:hAnsi="Times New Roman"/>
          <w:spacing w:val="0"/>
          <w:sz w:val="20"/>
        </w:rPr>
      </w:pPr>
      <w:r>
        <w:rPr>
          <w:rFonts w:ascii="Times New Roman" w:hAnsi="Times New Roman"/>
          <w:spacing w:val="0"/>
          <w:sz w:val="20"/>
        </w:rPr>
        <w:t>ASC 810-10-25-44B</w:t>
      </w:r>
    </w:p>
    <w:p>
      <w:pPr>
        <w:pStyle w:val="TextBody"/>
        <w:bidi w:val="0"/>
        <w:spacing w:before="0" w:after="0"/>
        <w:jc w:val="left"/>
        <w:rPr>
          <w:rFonts w:ascii="Times New Roman" w:hAnsi="Times New Roman"/>
          <w:sz w:val="20"/>
        </w:rPr>
      </w:pPr>
      <w:r>
        <w:rPr>
          <w:rFonts w:ascii="Times New Roman" w:hAnsi="Times New Roman"/>
          <w:sz w:val="20"/>
        </w:rPr>
        <w:t xml:space="preserve">and criteria (a) has not been met, the Company concluded that it should not consolidate Tisento under the VIE model.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March 31, 2026, no impairment loss was recognized. The Company considers the cost of the investment to be the maximum exposure to loss as a result of its involvement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non-affiliated</w:t>
      </w:r>
    </w:p>
    <w:p>
      <w:pPr>
        <w:pStyle w:val="TextBody"/>
        <w:bidi w:val="0"/>
        <w:spacing w:before="240" w:after="0"/>
        <w:jc w:val="left"/>
        <w:rPr>
          <w:rFonts w:ascii="Times New Roman" w:hAnsi="Times New Roman"/>
          <w:sz w:val="20"/>
        </w:rPr>
      </w:pPr>
      <w:r>
        <w:rPr>
          <w:rFonts w:ascii="Times New Roman" w:hAnsi="Times New Roman"/>
          <w:sz w:val="20"/>
        </w:rPr>
        <w:t xml:space="preserve">entity.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600" w:type="dxa"/>
        <w:jc w:val="left"/>
        <w:tblInd w:w="0" w:type="dxa"/>
        <w:tblLayout w:type="fixed"/>
        <w:tblCellMar>
          <w:top w:w="0" w:type="dxa"/>
          <w:left w:w="0" w:type="dxa"/>
          <w:bottom w:w="0" w:type="dxa"/>
          <w:right w:w="0" w:type="dxa"/>
        </w:tblCellMar>
      </w:tblPr>
      <w:tblGrid>
        <w:gridCol w:w="3740"/>
        <w:gridCol w:w="120"/>
        <w:gridCol w:w="214"/>
        <w:gridCol w:w="856"/>
        <w:gridCol w:w="60"/>
        <w:gridCol w:w="120"/>
        <w:gridCol w:w="380"/>
        <w:gridCol w:w="1035"/>
        <w:gridCol w:w="75"/>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Professional fees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compensation</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right"/>
              <w:rPr/>
            </w:pPr>
            <w:r>
              <w:rPr/>
              <w:t>194</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Funding Commitments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normal course of business, the Company enters into contracts with clinical research organizations and other third parties for clinical and preclinical research studies and other services and products for operating purposes. These contracts are generally cancellable, with notice, at the Company’s option and do not have any significant cancellation penalties.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Obligations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6, 2018, Cyclerion was incorporated in Massachusetts and its officers and directors are indemnified for certain events or occurrences while they are serving in such capacity.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enters into certain agreements with other parties in the ordinary course of business that contain indemnification provisions. These typically include agreements with directors and officers, business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w:t>
      </w:r>
    </w:p>
    <w:p>
      <w:pPr>
        <w:pStyle w:val="TextBody"/>
        <w:bidi w:val="0"/>
        <w:spacing w:before="0" w:after="0"/>
        <w:jc w:val="left"/>
        <w:rPr>
          <w:rFonts w:ascii="Times New Roman" w:hAnsi="Times New Roman"/>
          <w:spacing w:val="0"/>
          <w:sz w:val="20"/>
        </w:rPr>
      </w:pPr>
      <w:r>
        <w:rPr>
          <w:rFonts w:ascii="Times New Roman" w:hAnsi="Times New Roman"/>
          <w:spacing w:val="0"/>
          <w:sz w:val="20"/>
        </w:rPr>
        <w:t>unlimited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March 31, 2026 and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Share-based Compensation Plans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 </w:t>
      </w:r>
    </w:p>
    <w:p>
      <w:pPr>
        <w:pStyle w:val="TextBody"/>
        <w:bidi w:val="0"/>
        <w:spacing w:before="240" w:after="0"/>
        <w:jc w:val="left"/>
        <w:rPr>
          <w:rFonts w:ascii="Times New Roman" w:hAnsi="Times New Roman"/>
          <w:sz w:val="20"/>
        </w:rPr>
      </w:pPr>
      <w:r>
        <w:rPr>
          <w:rFonts w:ascii="Times New Roman" w:hAnsi="Times New Roman"/>
          <w:sz w:val="20"/>
        </w:rPr>
        <w:t xml:space="preserve">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240" w:after="0"/>
        <w:jc w:val="left"/>
        <w:rPr>
          <w:rFonts w:ascii="Times New Roman" w:hAnsi="Times New Roman"/>
          <w:sz w:val="20"/>
        </w:rPr>
      </w:pPr>
      <w:r>
        <w:rPr>
          <w:rFonts w:ascii="Times New Roman" w:hAnsi="Times New Roman"/>
          <w:sz w:val="20"/>
        </w:rPr>
        <w:t xml:space="preserve">share of Cyclerion options, regardless of which company employed them post-Separation. For employees that were ultimately employed by Cyclerion, unvested Ironwood options and RSUs were converted to unvested Cyclerion options and RSUs.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provides share-based compensation reflected in the Company’s condensed consolidated statements of operations and comprehensive loss for the three months ended March 31, 2026 and 2025 (in thousands): </w:t>
      </w:r>
    </w:p>
    <w:p>
      <w:pPr>
        <w:pStyle w:val="TextBody"/>
        <w:bidi w:val="0"/>
        <w:spacing w:before="0" w:after="0"/>
        <w:jc w:val="left"/>
        <w:rPr>
          <w:spacing w:val="0"/>
        </w:rPr>
      </w:pPr>
      <w:r>
        <w:rPr>
          <w:spacing w:val="0"/>
        </w:rPr>
        <w:t> </w:t>
      </w:r>
    </w:p>
    <w:tbl>
      <w:tblPr>
        <w:tblW w:w="4630" w:type="dxa"/>
        <w:jc w:val="left"/>
        <w:tblInd w:w="0" w:type="dxa"/>
        <w:tblLayout w:type="fixed"/>
        <w:tblCellMar>
          <w:top w:w="0" w:type="dxa"/>
          <w:left w:w="0" w:type="dxa"/>
          <w:bottom w:w="0" w:type="dxa"/>
          <w:right w:w="0" w:type="dxa"/>
        </w:tblCellMar>
      </w:tblPr>
      <w:tblGrid>
        <w:gridCol w:w="2225"/>
        <w:gridCol w:w="120"/>
        <w:gridCol w:w="253"/>
        <w:gridCol w:w="470"/>
        <w:gridCol w:w="108"/>
        <w:gridCol w:w="434"/>
        <w:gridCol w:w="253"/>
        <w:gridCol w:w="69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before="0" w:after="0"/>
              <w:jc w:val="center"/>
              <w:rPr>
                <w:b/>
                <w:spacing w:val="0"/>
              </w:rPr>
            </w:pPr>
            <w:r>
              <w:rPr>
                <w:b/>
                <w:spacing w:val="0"/>
              </w:rPr>
              <w:t>2026</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58</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right"/>
              <w:rPr/>
            </w:pPr>
            <w:r>
              <w:rPr/>
              <w:t>102</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58</w:t>
            </w:r>
          </w:p>
        </w:tc>
        <w:tc>
          <w:tcPr>
            <w:tcW w:w="108"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2"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under the Company’s equity plans generally have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 xml:space="preserve">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 summary of stock option activity for the three months ended March 31, 2026, is as follows: </w:t>
      </w:r>
    </w:p>
    <w:p>
      <w:pPr>
        <w:pStyle w:val="TextBody"/>
        <w:bidi w:val="0"/>
        <w:spacing w:before="0" w:after="0"/>
        <w:jc w:val="left"/>
        <w:rPr>
          <w:spacing w:val="0"/>
        </w:rPr>
      </w:pPr>
      <w:r>
        <w:rPr>
          <w:spacing w:val="0"/>
        </w:rPr>
        <w:t> </w:t>
      </w:r>
    </w:p>
    <w:tbl>
      <w:tblPr>
        <w:tblW w:w="8503" w:type="dxa"/>
        <w:jc w:val="left"/>
        <w:tblInd w:w="0" w:type="dxa"/>
        <w:tblLayout w:type="fixed"/>
        <w:tblCellMar>
          <w:top w:w="0" w:type="dxa"/>
          <w:left w:w="0" w:type="dxa"/>
          <w:bottom w:w="0" w:type="dxa"/>
          <w:right w:w="0" w:type="dxa"/>
        </w:tblCellMar>
      </w:tblPr>
      <w:tblGrid>
        <w:gridCol w:w="3080"/>
        <w:gridCol w:w="120"/>
        <w:gridCol w:w="74"/>
        <w:gridCol w:w="996"/>
        <w:gridCol w:w="155"/>
        <w:gridCol w:w="120"/>
        <w:gridCol w:w="169"/>
        <w:gridCol w:w="826"/>
        <w:gridCol w:w="60"/>
        <w:gridCol w:w="120"/>
        <w:gridCol w:w="220"/>
        <w:gridCol w:w="1179"/>
        <w:gridCol w:w="60"/>
        <w:gridCol w:w="120"/>
        <w:gridCol w:w="395"/>
        <w:gridCol w:w="734"/>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Number</w:t>
              <w:br/>
              <w:t>of 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Average</w:t>
              <w:br/>
              <w:t>Intrinsic</w:t>
              <w:br/>
              <w:t>Value (in</w:t>
              <w:br/>
              <w:t>thousands)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December 31, 2025</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297,762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Cancelled or forfeited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(17,355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203.65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as of March 31, 2026</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280,407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146.39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at March 31, 2026</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220,760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7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were no options exercised during the three months ended March 31, 2026 and 2025. As of March 31, 2026, the unrecognized share-based compensation expense, net of estimated forfeitures, related to all unvested time-based stock options is $0.1 million and the weighted average period over which that expense is expected to be recognized is 2.86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granted certain former employees performance-based options to purchase shares of common stock. These options are subject to performance-based milestone vesting. During the three months ended March 31, 2026 and 2025, there were no shares that vested as a result of performance milestone achievements. No share-based compensation expense related to these performance-based options was recognized during the three months ended March 31, 2026 and 2025,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RSA was granted during the three months ended March 31, 2026 and 2025. The fair value of all RSAs is based on the market value of the Company’s common stock on the date of grant. Compensation expense, including the effect of estimated forfeitures, is recognized over the applicable service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 summary of RSA activity for the three months ended March 31, 2026 is as follows:</w:t>
      </w:r>
    </w:p>
    <w:p>
      <w:pPr>
        <w:pStyle w:val="TextBody"/>
        <w:bidi w:val="0"/>
        <w:spacing w:before="0" w:after="0"/>
        <w:jc w:val="left"/>
        <w:rPr>
          <w:spacing w:val="0"/>
        </w:rPr>
      </w:pPr>
      <w:r>
        <w:rPr>
          <w:spacing w:val="0"/>
        </w:rPr>
        <w:t> </w:t>
      </w:r>
    </w:p>
    <w:tbl>
      <w:tblPr>
        <w:tblW w:w="6185" w:type="dxa"/>
        <w:jc w:val="left"/>
        <w:tblInd w:w="0" w:type="dxa"/>
        <w:tblLayout w:type="fixed"/>
        <w:tblCellMar>
          <w:top w:w="0" w:type="dxa"/>
          <w:left w:w="0" w:type="dxa"/>
          <w:bottom w:w="0" w:type="dxa"/>
          <w:right w:w="0" w:type="dxa"/>
        </w:tblCellMar>
      </w:tblPr>
      <w:tblGrid>
        <w:gridCol w:w="2840"/>
        <w:gridCol w:w="120"/>
        <w:gridCol w:w="67"/>
        <w:gridCol w:w="898"/>
        <w:gridCol w:w="155"/>
        <w:gridCol w:w="120"/>
        <w:gridCol w:w="461"/>
        <w:gridCol w:w="1449"/>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December 31, 2025</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104,078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(15,024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2.52</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as of March 31, 2026</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89,054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2.59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unrecognized share-based compensation expense, net of estimated forfeitures, related to all unvested RSAs is $0.2 million and the weighted average period over which that expense is expected to be recognized is 1.45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8.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common share is computed by dividing net loss by the weighted average number of common shares outstanding during the period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721"/>
        <w:gridCol w:w="120"/>
        <w:gridCol w:w="168"/>
        <w:gridCol w:w="763"/>
        <w:gridCol w:w="185"/>
        <w:gridCol w:w="144"/>
        <w:gridCol w:w="168"/>
        <w:gridCol w:w="763"/>
        <w:gridCol w:w="173"/>
      </w:tblGrid>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1"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173" w:type="dxa"/>
            <w:tcBorders/>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0"/>
              <w:jc w:val="center"/>
              <w:rPr>
                <w:b/>
                <w:spacing w:val="0"/>
              </w:rPr>
            </w:pPr>
            <w:r>
              <w:rPr>
                <w:b/>
                <w:spacing w:val="0"/>
              </w:rPr>
              <w:t>2026</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(in thousands)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(3,177</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763" w:type="dxa"/>
            <w:tcBorders/>
            <w:vAlign w:val="center"/>
          </w:tcPr>
          <w:p>
            <w:pPr>
              <w:pStyle w:val="TableContents"/>
              <w:bidi w:val="0"/>
              <w:spacing w:before="0" w:after="283"/>
              <w:jc w:val="right"/>
              <w:rPr/>
            </w:pPr>
            <w:r>
              <w:rPr/>
              <w:t>(1,429</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7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used in calculating net loss per share — basic and diluted (in thousands)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4,205</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2,556</w:t>
            </w:r>
          </w:p>
        </w:tc>
        <w:tc>
          <w:tcPr>
            <w:tcW w:w="173" w:type="dxa"/>
            <w:tcBorders/>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72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(0.76</w:t>
            </w:r>
          </w:p>
        </w:tc>
        <w:tc>
          <w:tcPr>
            <w:tcW w:w="185"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(0.56</w:t>
            </w:r>
          </w:p>
        </w:tc>
        <w:tc>
          <w:tcPr>
            <w:tcW w:w="173" w:type="dxa"/>
            <w:tcBorders/>
            <w:shd w:fill="CCEEFF" w:val="clear"/>
            <w:vAlign w:val="center"/>
          </w:tcPr>
          <w:p>
            <w:pPr>
              <w:pStyle w:val="TableContents"/>
              <w:bidi w:val="0"/>
              <w:spacing w:before="0" w:after="283"/>
              <w:jc w:val="left"/>
              <w:rPr/>
            </w:pPr>
            <w:r>
              <w:rPr/>
              <w:t>) </w:t>
            </w:r>
          </w:p>
        </w:tc>
      </w:tr>
      <w:tr>
        <w:trPr/>
        <w:tc>
          <w:tcPr>
            <w:tcW w:w="77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excludes shares of common stock related to Preferred Stock, stock options and RSAs from the calculation of diluted net loss per share since the inclusion of such shares would be anti-dilutive. The following table sets forth potential shares that were considered anti-dilutive for the three months ended March 31, 2026 and 2025: </w:t>
      </w:r>
    </w:p>
    <w:p>
      <w:pPr>
        <w:pStyle w:val="TextBody"/>
        <w:bidi w:val="0"/>
        <w:spacing w:before="0" w:after="0"/>
        <w:jc w:val="left"/>
        <w:rPr>
          <w:spacing w:val="0"/>
        </w:rPr>
      </w:pPr>
      <w:r>
        <w:rPr>
          <w:spacing w:val="0"/>
        </w:rPr>
        <w:t> </w:t>
      </w:r>
    </w:p>
    <w:tbl>
      <w:tblPr>
        <w:tblW w:w="3666" w:type="dxa"/>
        <w:jc w:val="left"/>
        <w:tblInd w:w="0" w:type="dxa"/>
        <w:tblLayout w:type="fixed"/>
        <w:tblCellMar>
          <w:top w:w="0" w:type="dxa"/>
          <w:left w:w="0" w:type="dxa"/>
          <w:bottom w:w="0" w:type="dxa"/>
          <w:right w:w="0" w:type="dxa"/>
        </w:tblCellMar>
      </w:tblPr>
      <w:tblGrid>
        <w:gridCol w:w="1265"/>
        <w:gridCol w:w="120"/>
        <w:gridCol w:w="69"/>
        <w:gridCol w:w="930"/>
        <w:gridCol w:w="69"/>
        <w:gridCol w:w="139"/>
        <w:gridCol w:w="69"/>
        <w:gridCol w:w="930"/>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0"/>
              <w:jc w:val="center"/>
              <w:rPr>
                <w:b/>
                <w:spacing w:val="0"/>
              </w:rPr>
            </w:pPr>
            <w:r>
              <w:rPr>
                <w:b/>
                <w:spacing w:val="0"/>
              </w:rPr>
              <w:t>Three Months Ended</w:t>
              <w:br/>
              <w:t>March 31,</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0"/>
              <w:jc w:val="center"/>
              <w:rPr>
                <w:b/>
                <w:spacing w:val="0"/>
              </w:rPr>
            </w:pPr>
            <w:r>
              <w:rPr>
                <w:b/>
                <w:spacing w:val="0"/>
              </w:rPr>
              <w:t>2026</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99"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351,037</w:t>
            </w:r>
          </w:p>
        </w:tc>
        <w:tc>
          <w:tcPr>
            <w:tcW w:w="6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351,037</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280,407</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329,458</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89,054</w:t>
            </w:r>
          </w:p>
        </w:tc>
        <w:tc>
          <w:tcPr>
            <w:tcW w:w="6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149,150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720,498</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829,645</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Option/License Agreement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Patent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 expense was recognized for the three months ended March 31, 2026 and 2025 related to the license.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Akebia License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3, 2021, the Company and Akebia entered into a License Agreement (the “Akebia License Agreement”) relating to the exclusive worldwide license by the Company to Akebia of its rights to the development, 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 </w:t>
      </w:r>
    </w:p>
    <w:p>
      <w:pPr>
        <w:pStyle w:val="TextBody"/>
        <w:bidi w:val="0"/>
        <w:spacing w:before="240" w:after="0"/>
        <w:jc w:val="left"/>
        <w:rPr>
          <w:rFonts w:ascii="Times New Roman" w:hAnsi="Times New Roman"/>
          <w:sz w:val="20"/>
        </w:rPr>
      </w:pPr>
      <w:r>
        <w:rPr>
          <w:rFonts w:ascii="Times New Roman" w:hAnsi="Times New Roman"/>
          <w:sz w:val="20"/>
        </w:rPr>
        <w:t xml:space="preserve">Akebia paid a $3.0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up-front</w:t>
      </w:r>
    </w:p>
    <w:p>
      <w:pPr>
        <w:pStyle w:val="TextBody"/>
        <w:bidi w:val="0"/>
        <w:spacing w:before="240" w:after="0"/>
        <w:jc w:val="left"/>
        <w:rPr>
          <w:rFonts w:ascii="Times New Roman" w:hAnsi="Times New Roman"/>
          <w:sz w:val="20"/>
        </w:rPr>
      </w:pPr>
      <w:r>
        <w:rPr>
          <w:rFonts w:ascii="Times New Roman" w:hAnsi="Times New Roman"/>
          <w:sz w:val="20"/>
        </w:rPr>
        <w:t xml:space="preserve">payment to the Company upon signing of the License Agreement. On December 13, 2024, the Company and Akebia entered into Amendment #1 to the License Agreement (the “2024 Amendment”) to the original License Agreement between the parties dated June 3, 2021.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to twenty percent of net sales. Cyclerion’s obligations to deliver certain drug products have also ceased.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related to sales-based milestone payments, including royalties, will be recognized when the related sales occur as these amounts have been determined to relate predominantly to the license. The Company 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re-evaluate</w:t>
      </w:r>
    </w:p>
    <w:p>
      <w:pPr>
        <w:pStyle w:val="TextBody"/>
        <w:bidi w:val="0"/>
        <w:spacing w:before="240" w:after="0"/>
        <w:jc w:val="left"/>
        <w:rPr>
          <w:rFonts w:ascii="Times New Roman" w:hAnsi="Times New Roman"/>
          <w:sz w:val="20"/>
        </w:rPr>
      </w:pPr>
      <w:r>
        <w:rPr>
          <w:rFonts w:ascii="Times New Roman" w:hAnsi="Times New Roman"/>
          <w:sz w:val="20"/>
        </w:rPr>
        <w:t xml:space="preserve">the probability of achievement of the milestones and any related constraints each reporting period.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Akebia Material Purchase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No revenue was recognized under the Purchase Agreement during three months ended March 31, 2026 and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recognized revenue of $0.1 million related to the extension fee payment and expense reimbursement for the three months ended March 31, 2025.</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Medsteer Collaboration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3, 2026, the Company and the Medsteer, SAS (“Medsteer”) entered into a Collaboration and Option Agreement (the “Collaboration Agreement”) pursuant to which Medsteer granted to the Company (i)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non-exclusive,</w:t>
      </w:r>
    </w:p>
    <w:p>
      <w:pPr>
        <w:pStyle w:val="TextBody"/>
        <w:bidi w:val="0"/>
        <w:spacing w:before="120" w:after="0"/>
        <w:jc w:val="left"/>
        <w:rPr>
          <w:rFonts w:ascii="Times New Roman" w:hAnsi="Times New Roman"/>
          <w:sz w:val="20"/>
        </w:rPr>
      </w:pPr>
      <w:r>
        <w:rPr>
          <w:rFonts w:ascii="Times New Roman" w:hAnsi="Times New Roman"/>
          <w:sz w:val="20"/>
        </w:rPr>
        <w:t xml:space="preserve">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multi-bed</w:t>
      </w:r>
    </w:p>
    <w:p>
      <w:pPr>
        <w:pStyle w:val="TextBody"/>
        <w:bidi w:val="0"/>
        <w:spacing w:before="120" w:after="0"/>
        <w:jc w:val="left"/>
        <w:rPr>
          <w:rFonts w:ascii="Times New Roman" w:hAnsi="Times New Roman"/>
          <w:sz w:val="20"/>
        </w:rPr>
      </w:pPr>
      <w:r>
        <w:rPr>
          <w:rFonts w:ascii="Times New Roman" w:hAnsi="Times New Roman"/>
          <w:sz w:val="20"/>
        </w:rPr>
        <w:t xml:space="preserve">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Under the terms of the Collaboration Agreement, the Company recognized $0.1 million research and development expense during the three months ended March 31, 2026, which is related to the upfront payment paid to Medsteer and other transaction costs.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on April 1, 2026, the Company entered into the Merger Agreement (which was subsequently amended on April 17, 2026) with Korsana, a privately held biotechnology company discovering and developing novel therapies to reduce the burden of neurodegenerative diseases, pursuant to which Korsana will become a wholly owned subsidiary of the Company and the Company will operate under the name Korsana Biosciences, Inc. following the merger. The Company anticipates that the merger will close in the third quarter of 2026, subject to certain closing conditions, along with the concurrent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Korsana pre-closing financing.</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current business of Korsana will become the primary business of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KORSANA BIOSCIENCES, INC.’S FINANCIAL STATEMENTS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9577"/>
        <w:gridCol w:w="120"/>
        <w:gridCol w:w="60"/>
        <w:gridCol w:w="372"/>
        <w:gridCol w:w="76"/>
      </w:tblGrid>
      <w:tr>
        <w:trPr/>
        <w:tc>
          <w:tcPr>
            <w:tcW w:w="9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fin111069_7">
              <w:r>
                <w:rPr>
                  <w:rStyle w:val="InternetLink"/>
                  <w:rFonts w:ascii="Times New Roman" w:hAnsi="Times New Roman"/>
                  <w:spacing w:val="0"/>
                  <w:sz w:val="20"/>
                </w:rPr>
                <w:t>Report of Independent Registered Public Accounting Firm (PCAOB ID# 00042)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F-43</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8">
              <w:r>
                <w:rPr>
                  <w:rStyle w:val="InternetLink"/>
                  <w:rFonts w:ascii="Times New Roman" w:hAnsi="Times New Roman"/>
                  <w:spacing w:val="0"/>
                  <w:sz w:val="20"/>
                </w:rPr>
                <w:t>Consolidated Balance Sheets as of December 31,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9">
              <w:r>
                <w:rPr>
                  <w:rStyle w:val="InternetLink"/>
                  <w:rFonts w:ascii="Times New Roman" w:hAnsi="Times New Roman"/>
                  <w:spacing w:val="0"/>
                  <w:sz w:val="20"/>
                </w:rPr>
                <w:t>Consolidated Statements of Operations and Comprehensive Loss for the Year Ended December 31, 2025 and for the period from November 8, 2024 (Inception)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F-46</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0">
              <w:r>
                <w:rPr>
                  <w:rStyle w:val="InternetLink"/>
                  <w:rFonts w:ascii="Times New Roman" w:hAnsi="Times New Roman"/>
                  <w:spacing w:val="0"/>
                  <w:sz w:val="20"/>
                </w:rPr>
                <w:t>Consolidated Statements of Convertible Preferred Stock and Stockholders’ (Deficit) Equity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1">
              <w:r>
                <w:rPr>
                  <w:rStyle w:val="InternetLink"/>
                  <w:rFonts w:ascii="Times New Roman" w:hAnsi="Times New Roman"/>
                  <w:spacing w:val="0"/>
                  <w:sz w:val="20"/>
                </w:rPr>
                <w:t>Consolidated Statements of Cash Flows for the Year Ended December 31, 2025 and for the period from November 8, 2024 (Inception) to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0"/>
              <w:jc w:val="left"/>
              <w:rPr/>
            </w:pPr>
            <w:hyperlink w:anchor="fin111069_12">
              <w:r>
                <w:rPr>
                  <w:rStyle w:val="InternetLink"/>
                  <w:rFonts w:ascii="Times New Roman" w:hAnsi="Times New Roman"/>
                  <w:spacing w:val="0"/>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right"/>
              <w:rPr>
                <w:spacing w:val="0"/>
              </w:rPr>
            </w:pPr>
            <w:r>
              <w:rPr>
                <w:spacing w:val="0"/>
              </w:rPr>
              <w:t>F-49</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Report of Independent Registered Public Accounting Firm</w:t>
      </w:r>
    </w:p>
    <w:p>
      <w:pPr>
        <w:pStyle w:val="TextBody"/>
        <w:bidi w:val="0"/>
        <w:spacing w:before="0" w:after="0"/>
        <w:jc w:val="center"/>
        <w:rPr>
          <w:spacing w:val="0"/>
        </w:rPr>
      </w:pPr>
      <w:r>
        <w:rPr>
          <w:spacing w:val="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To the Stockholders and the Board of Directors of Korsana Biosciences, Inc.</w:t>
      </w:r>
    </w:p>
    <w:p>
      <w:pPr>
        <w:pStyle w:val="TextBody"/>
        <w:bidi w:val="0"/>
        <w:spacing w:before="240" w:after="0"/>
        <w:jc w:val="left"/>
        <w:rPr>
          <w:spacing w:val="0"/>
        </w:rPr>
      </w:pPr>
      <w:r>
        <w:rPr>
          <w:spacing w:val="0"/>
        </w:rPr>
        <w: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Korsana Biosciences, Inc. (the Company) as of December 31, 2025 and 2024, the related consolidated statements of operations and comprehensive loss, convertible preferred stock and stockholders’ (deficit) equity and cash flows for the year ended December 31, 2025 and for the period from November 8, 2024 (inception) to December 31, 2024,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 ended December 31, 2025 and for the period from November 8, 2024 (inception) to December 31, 2024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0"/>
        <w:jc w:val="left"/>
        <w:rPr>
          <w:rFonts w:ascii="Times New Roman" w:hAnsi="Times New Roman"/>
          <w:spacing w:val="0"/>
          <w:sz w:val="20"/>
        </w:rPr>
      </w:pPr>
      <w:r>
        <w:rPr>
          <w:rFonts w:ascii="Times New Roman" w:hAnsi="Times New Roman"/>
          <w:spacing w:val="0"/>
          <w:sz w:val="20"/>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for the Antibody Discovery and Option Agreement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304"/>
        <w:gridCol w:w="120"/>
        <w:gridCol w:w="8781"/>
      </w:tblGrid>
      <w:tr>
        <w:trPr/>
        <w:tc>
          <w:tcPr>
            <w:tcW w:w="1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304"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120" w:type="dxa"/>
            <w:tcBorders/>
            <w:vAlign w:val="center"/>
          </w:tcPr>
          <w:p>
            <w:pPr>
              <w:pStyle w:val="TableContents"/>
              <w:bidi w:val="0"/>
              <w:spacing w:before="0" w:after="283"/>
              <w:jc w:val="left"/>
              <w:rPr/>
            </w:pPr>
            <w:r>
              <w:rPr/>
              <w:t>  </w:t>
            </w:r>
          </w:p>
        </w:tc>
        <w:tc>
          <w:tcPr>
            <w:tcW w:w="8781" w:type="dxa"/>
            <w:tcBorders/>
            <w:vAlign w:val="center"/>
          </w:tcPr>
          <w:p>
            <w:pPr>
              <w:pStyle w:val="TableContents"/>
              <w:bidi w:val="0"/>
              <w:spacing w:before="0" w:after="283"/>
              <w:jc w:val="left"/>
              <w:rPr/>
            </w:pPr>
            <w:r>
              <w:rPr/>
              <w:t>As described in Note 9 to the consolidated financial statements, during September 2025, the Company entered into an Antibody Discovery and Option Agreement (the “Paragon ADOA”) with Paragon and Parasa, both related parties, for certain research programs being developed by Paragon. The Company recorded expense of $31.3 million during the year ended December 31, 2025 for amounts incurred under the Paragon ADOA. The Company concluded that the arrangement represented the acquisition of in-process research and development assets with no alternative future use, resulting in the upfront consideration being expensed as</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60"/>
        <w:gridCol w:w="120"/>
        <w:gridCol w:w="832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2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costs upon execution of the agreement. All amounts paid as reimbursements to Paragon for ongoing development activities are recognized as research and development expenses as incurred. The Company also evaluated the classification of the warrants issued to Parasa and concluded that the warrants were equity classified.</w:t>
            </w:r>
          </w:p>
          <w:p>
            <w:pPr>
              <w:pStyle w:val="TableContents"/>
              <w:bidi w:val="0"/>
              <w:spacing w:before="0" w:after="0"/>
              <w:jc w:val="left"/>
              <w:rPr>
                <w:spacing w:val="0"/>
              </w:rPr>
            </w:pPr>
            <w:r>
              <w:rPr>
                <w:spacing w:val="0"/>
              </w:rPr>
              <w:t> </w:t>
            </w:r>
          </w:p>
          <w:p>
            <w:pPr>
              <w:pStyle w:val="TableContents"/>
              <w:bidi w:val="0"/>
              <w:spacing w:before="0" w:after="20"/>
              <w:jc w:val="left"/>
              <w:rPr>
                <w:rFonts w:ascii="Times New Roman" w:hAnsi="Times New Roman"/>
                <w:sz w:val="20"/>
              </w:rPr>
            </w:pPr>
            <w:r>
              <w:rPr>
                <w:rFonts w:ascii="Times New Roman" w:hAnsi="Times New Roman"/>
                <w:sz w:val="20"/>
              </w:rPr>
              <w:t xml:space="preserve">Auditing management’s evaluation of the recognition of acquired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in-process</w:t>
            </w:r>
          </w:p>
          <w:p>
            <w:pPr>
              <w:pStyle w:val="TableContents"/>
              <w:bidi w:val="0"/>
              <w:spacing w:before="0" w:after="20"/>
              <w:jc w:val="left"/>
              <w:rPr>
                <w:rFonts w:ascii="Times New Roman" w:hAnsi="Times New Roman"/>
                <w:sz w:val="20"/>
              </w:rPr>
            </w:pPr>
            <w:r>
              <w:rPr>
                <w:rFonts w:ascii="Times New Roman" w:hAnsi="Times New Roman"/>
                <w:sz w:val="20"/>
              </w:rPr>
              <w:t>research and development and the classification of warrants issued was especially challenging and required significant audit effort and judgment due to the complex assessment of provisions within the Paragon ADOA under authoritative guidance and the related party nature of the transaction.</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44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i/>
                <w:caps w:val="false"/>
                <w:smallCaps w:val="false"/>
                <w:spacing w:val="0"/>
              </w:rPr>
            </w:pPr>
            <w:r>
              <w:rPr>
                <w:i/>
                <w:caps w:val="false"/>
                <w:smallCaps w:val="false"/>
                <w:spacing w:val="0"/>
              </w:rPr>
              <w:t>How We Addressed the Matter in Our Audit</w:t>
            </w:r>
          </w:p>
        </w:tc>
        <w:tc>
          <w:tcPr>
            <w:tcW w:w="120" w:type="dxa"/>
            <w:tcBorders/>
            <w:vAlign w:val="center"/>
          </w:tcPr>
          <w:p>
            <w:pPr>
              <w:pStyle w:val="TableContents"/>
              <w:bidi w:val="0"/>
              <w:spacing w:before="0" w:after="283"/>
              <w:jc w:val="left"/>
              <w:rPr/>
            </w:pPr>
            <w:r>
              <w:rPr/>
              <w:t>  </w:t>
            </w:r>
          </w:p>
        </w:tc>
        <w:tc>
          <w:tcPr>
            <w:tcW w:w="8325" w:type="dxa"/>
            <w:tcBorders/>
            <w:vAlign w:val="center"/>
          </w:tcPr>
          <w:p>
            <w:pPr>
              <w:pStyle w:val="TableContents"/>
              <w:bidi w:val="0"/>
              <w:spacing w:before="0" w:after="283"/>
              <w:jc w:val="left"/>
              <w:rPr/>
            </w:pPr>
            <w:r>
              <w:rPr/>
              <w:t>To evaluate the Company’s accounting for the Paragon ADOA and warrants, our audit procedures included, among others, reading the agreements, discussing the contractual terms with management, and evaluating management’s technical accounting analysis for consistency with the agreement and applicable accounting guidance.</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Philadelphia, Pennsylvania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April 17,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965"/>
        <w:gridCol w:w="120"/>
        <w:gridCol w:w="202"/>
        <w:gridCol w:w="1164"/>
        <w:gridCol w:w="155"/>
        <w:gridCol w:w="60"/>
        <w:gridCol w:w="233"/>
        <w:gridCol w:w="1134"/>
        <w:gridCol w:w="172"/>
      </w:tblGrid>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0"/>
              <w:jc w:val="center"/>
              <w:rPr>
                <w:b/>
                <w:spacing w:val="0"/>
              </w:rPr>
            </w:pPr>
            <w:r>
              <w:rPr>
                <w:b/>
                <w:spacing w:val="0"/>
              </w:rPr>
              <w:t>December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0"/>
              <w:jc w:val="center"/>
              <w:rPr>
                <w:b/>
                <w:spacing w:val="0"/>
              </w:rPr>
            </w:pPr>
            <w:r>
              <w:rPr>
                <w:b/>
                <w:spacing w:val="0"/>
              </w:rPr>
              <w:t>December 31,</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0"/>
              <w:jc w:val="center"/>
              <w:rPr>
                <w:b/>
                <w:spacing w:val="0"/>
              </w:rPr>
            </w:pPr>
            <w:r>
              <w:rPr>
                <w:b/>
                <w:spacing w:val="0"/>
              </w:rPr>
              <w:t>2024</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10,108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154,596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10,108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154,596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10,108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Convertible Preferred Stock and 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68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12,313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12,489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78</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 term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Accrued other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13,027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78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10)</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Seed (formerly known as Series A) convertible preferred stock, $0.0001 par value; 20,000,000 shares authorized as of December 31, 2025 and 2024; 20,000,000 and 8,000,000 shares issued and outstanding as of December 31, 2025 and 2024, respectively; liquidation preference of $25,000 and $10,000 as of December 31, 2025 and 2024, respectively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24,964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9,964</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A convertible preferred stock, $0.0001 par value; 75,500,000 and no shares authorized as of December 31, 2025 and 2024, respectively; 75,500,000 and no shares issued and outstanding as of December 31, 2025 and December 31, 2024, respectively; liquidation preference of $151,000 and $0 as of December 31, 2025 and 2024, respectively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150,573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122,363,552 and 35,000,000 shares authorized as of December 31, 2025 and 2024, respectively; 6,000,000 and 5,000,000 shares issued and outstanding as of December 31, 2025 and 2024, respectively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1,761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153</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(35,730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(88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 equity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(33,968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66</w:t>
            </w:r>
          </w:p>
        </w:tc>
        <w:tc>
          <w:tcPr>
            <w:tcW w:w="172"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(deficit) equity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154,596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10,108</w:t>
            </w:r>
          </w:p>
        </w:tc>
        <w:tc>
          <w:tcPr>
            <w:tcW w:w="172"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9565" w:type="dxa"/>
        <w:jc w:val="left"/>
        <w:tblInd w:w="0" w:type="dxa"/>
        <w:tblLayout w:type="fixed"/>
        <w:tblCellMar>
          <w:top w:w="0" w:type="dxa"/>
          <w:left w:w="0" w:type="dxa"/>
          <w:bottom w:w="0" w:type="dxa"/>
          <w:right w:w="0" w:type="dxa"/>
        </w:tblCellMar>
      </w:tblPr>
      <w:tblGrid>
        <w:gridCol w:w="305"/>
        <w:gridCol w:w="9260"/>
      </w:tblGrid>
      <w:tr>
        <w:trPr/>
        <w:tc>
          <w:tcPr>
            <w:tcW w:w="305" w:type="dxa"/>
            <w:tcBorders/>
            <w:vAlign w:val="center"/>
          </w:tcPr>
          <w:p>
            <w:pPr>
              <w:pStyle w:val="TableContents"/>
              <w:bidi w:val="0"/>
              <w:spacing w:before="0" w:after="283"/>
              <w:jc w:val="left"/>
              <w:rPr/>
            </w:pPr>
            <w:r>
              <w:rPr/>
              <w:t>(1)</w:t>
            </w:r>
          </w:p>
        </w:tc>
        <w:tc>
          <w:tcPr>
            <w:tcW w:w="92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$10,565 as of December 31, 2025 and $0 as of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OPERATIONS AND COMPREHENSIVE LOSS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130"/>
        <w:gridCol w:w="120"/>
        <w:gridCol w:w="244"/>
        <w:gridCol w:w="1711"/>
        <w:gridCol w:w="155"/>
        <w:gridCol w:w="60"/>
        <w:gridCol w:w="326"/>
        <w:gridCol w:w="2289"/>
        <w:gridCol w:w="170"/>
      </w:tblGrid>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gridSpan w:val="2"/>
            <w:tcBorders/>
            <w:vAlign w:val="center"/>
          </w:tcPr>
          <w:p>
            <w:pPr>
              <w:pStyle w:val="TableContents"/>
              <w:bidi w:val="0"/>
              <w:spacing w:before="0" w:after="0"/>
              <w:jc w:val="center"/>
              <w:rPr>
                <w:b/>
                <w:spacing w:val="0"/>
              </w:rPr>
            </w:pPr>
            <w:r>
              <w:rPr>
                <w:b/>
                <w:spacing w:val="0"/>
              </w:rPr>
              <w:t>Period from November 8,</w:t>
              <w:br/>
              <w:t>2024 (Inception) to</w:t>
              <w:br/>
              <w:t>December 31, 2024</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228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32,785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4,506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37,291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289" w:type="dxa"/>
            <w:tcBorders/>
            <w:vAlign w:val="center"/>
          </w:tcPr>
          <w:p>
            <w:pPr>
              <w:pStyle w:val="TableContents"/>
              <w:bidi w:val="0"/>
              <w:spacing w:before="0" w:after="283"/>
              <w:jc w:val="right"/>
              <w:rPr/>
            </w:pPr>
            <w:r>
              <w:rPr/>
              <w:t>109</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(37,291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1,649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1,649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2289"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2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(12.20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t>
            </w:r>
          </w:p>
        </w:tc>
        <w:tc>
          <w:tcPr>
            <w:tcW w:w="2289" w:type="dxa"/>
            <w:tcBorders/>
            <w:vAlign w:val="center"/>
          </w:tcPr>
          <w:p>
            <w:pPr>
              <w:pStyle w:val="TableContents"/>
              <w:bidi w:val="0"/>
              <w:spacing w:before="0" w:after="283"/>
              <w:jc w:val="right"/>
              <w:rPr/>
            </w:pPr>
            <w:r>
              <w:rPr/>
              <w:t>(0.06</w:t>
            </w:r>
          </w:p>
        </w:tc>
        <w:tc>
          <w:tcPr>
            <w:tcW w:w="170" w:type="dxa"/>
            <w:tcBorders/>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2,920,548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2289" w:type="dxa"/>
            <w:tcBorders/>
            <w:shd w:fill="CCEEFF" w:val="clear"/>
            <w:vAlign w:val="center"/>
          </w:tcPr>
          <w:p>
            <w:pPr>
              <w:pStyle w:val="TableContents"/>
              <w:bidi w:val="0"/>
              <w:spacing w:before="0" w:after="283"/>
              <w:jc w:val="right"/>
              <w:rPr/>
            </w:pPr>
            <w:r>
              <w:rPr/>
              <w:t>1,509,434</w:t>
            </w:r>
          </w:p>
        </w:tc>
        <w:tc>
          <w:tcPr>
            <w:tcW w:w="170"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2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$31,248 for the year ended December 31, 2025 and $0 for the period from November 8, 2024 (inception) to December 31, 2024 (see Note 12).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$1,203 for the year ended December 31, 2025 and $0 for the period from November 8, 2024 (inception) to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CONVERTIBLE PREFERRED STOCK AND STOCKHOLDERS’ (DEFICIT) EQUITY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1170" w:type="dxa"/>
        <w:jc w:val="left"/>
        <w:tblInd w:w="0" w:type="dxa"/>
        <w:tblLayout w:type="fixed"/>
        <w:tblCellMar>
          <w:top w:w="0" w:type="dxa"/>
          <w:left w:w="0" w:type="dxa"/>
          <w:bottom w:w="0" w:type="dxa"/>
          <w:right w:w="0" w:type="dxa"/>
        </w:tblCellMar>
      </w:tblPr>
      <w:tblGrid>
        <w:gridCol w:w="1010"/>
        <w:gridCol w:w="60"/>
        <w:gridCol w:w="60"/>
        <w:gridCol w:w="1100"/>
        <w:gridCol w:w="60"/>
        <w:gridCol w:w="60"/>
        <w:gridCol w:w="140"/>
        <w:gridCol w:w="800"/>
        <w:gridCol w:w="60"/>
        <w:gridCol w:w="60"/>
        <w:gridCol w:w="60"/>
        <w:gridCol w:w="60"/>
        <w:gridCol w:w="60"/>
        <w:gridCol w:w="60"/>
        <w:gridCol w:w="60"/>
        <w:gridCol w:w="980"/>
        <w:gridCol w:w="60"/>
        <w:gridCol w:w="60"/>
        <w:gridCol w:w="301"/>
        <w:gridCol w:w="559"/>
        <w:gridCol w:w="60"/>
        <w:gridCol w:w="60"/>
        <w:gridCol w:w="313"/>
        <w:gridCol w:w="1252"/>
        <w:gridCol w:w="60"/>
        <w:gridCol w:w="60"/>
        <w:gridCol w:w="214"/>
        <w:gridCol w:w="1156"/>
        <w:gridCol w:w="155"/>
        <w:gridCol w:w="60"/>
        <w:gridCol w:w="303"/>
        <w:gridCol w:w="1637"/>
        <w:gridCol w:w="17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0"/>
              <w:jc w:val="center"/>
              <w:rPr>
                <w:b/>
                <w:spacing w:val="0"/>
              </w:rPr>
            </w:pPr>
            <w:r>
              <w:rPr>
                <w:b/>
                <w:spacing w:val="0"/>
              </w:rPr>
              <w:t>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40" w:type="dxa"/>
            <w:gridSpan w:val="2"/>
            <w:vMerge w:val="restart"/>
            <w:tcBorders/>
            <w:vAlign w:val="center"/>
          </w:tcPr>
          <w:p>
            <w:pPr>
              <w:pStyle w:val="TableContents"/>
              <w:bidi w:val="0"/>
              <w:spacing w:before="0" w:after="0"/>
              <w:jc w:val="center"/>
              <w:rPr>
                <w:b/>
                <w:spacing w:val="0"/>
              </w:rPr>
            </w:pPr>
            <w:r>
              <w:rPr>
                <w:b/>
                <w:spacing w:val="0"/>
              </w:rPr>
              <w:t>Total 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 Equity</w:t>
            </w:r>
          </w:p>
        </w:tc>
        <w:tc>
          <w:tcPr>
            <w:tcW w:w="170" w:type="dxa"/>
            <w:vMerge w:val="restart"/>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1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November 8, 2024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restricted 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100</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Seed (formerly known as Series A) convertible preferred stock. net of issuance costs of $35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Seed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Series A convertible preferred stock, net of issuance costs of $427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792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792</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Grant of the Parasa warrant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816</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(35,642</w:t>
            </w:r>
          </w:p>
        </w:tc>
        <w:tc>
          <w:tcPr>
            <w:tcW w:w="17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(35,730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(33,968</w:t>
            </w:r>
          </w:p>
        </w:tc>
        <w:tc>
          <w:tcPr>
            <w:tcW w:w="170"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790"/>
        <w:gridCol w:w="120"/>
        <w:gridCol w:w="291"/>
        <w:gridCol w:w="1664"/>
        <w:gridCol w:w="155"/>
        <w:gridCol w:w="60"/>
        <w:gridCol w:w="333"/>
        <w:gridCol w:w="1622"/>
        <w:gridCol w:w="170"/>
      </w:tblGrid>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Period from</w:t>
              <w:br/>
              <w:t>November 8, 2014</w:t>
              <w:br/>
              <w:t>(Inception) to</w:t>
              <w:br/>
              <w:t>December 31, 2024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w:t>
            </w:r>
          </w:p>
        </w:tc>
        <w:tc>
          <w:tcPr>
            <w:tcW w:w="1664"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283"/>
              <w:jc w:val="right"/>
              <w:rPr/>
            </w:pPr>
            <w:r>
              <w:rPr/>
              <w:t>(88</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66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68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11,981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(22,406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restricted stock awards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860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100</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Series Seed convertible preferred stock, net of issuance costs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9,964</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Series A convertible preferred stock, net of issuance costs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150,573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166,433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10,064</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increase in cash and cash equivalents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144,027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10,108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$10,565 for the year ended December 31, 2025 and $0 for the period from November 8, 2024 (inception) to December 31, 2024 (see Note 12).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4330" w:type="dxa"/>
        <w:jc w:val="left"/>
        <w:tblInd w:w="0" w:type="dxa"/>
        <w:tblLayout w:type="fixed"/>
        <w:tblCellMar>
          <w:top w:w="0" w:type="dxa"/>
          <w:left w:w="0" w:type="dxa"/>
          <w:bottom w:w="0" w:type="dxa"/>
          <w:right w:w="0" w:type="dxa"/>
        </w:tblCellMar>
      </w:tblPr>
      <w:tblGrid>
        <w:gridCol w:w="215"/>
        <w:gridCol w:w="4115"/>
      </w:tblGrid>
      <w:tr>
        <w:trPr/>
        <w:tc>
          <w:tcPr>
            <w:tcW w:w="215" w:type="dxa"/>
            <w:tcBorders/>
            <w:vAlign w:val="center"/>
          </w:tcPr>
          <w:p>
            <w:pPr>
              <w:pStyle w:val="TableContents"/>
              <w:bidi w:val="0"/>
              <w:spacing w:before="0" w:after="0"/>
              <w:jc w:val="left"/>
              <w:rPr>
                <w:b/>
                <w:spacing w:val="0"/>
              </w:rPr>
            </w:pPr>
            <w:r>
              <w:rPr>
                <w:b/>
                <w:spacing w:val="0"/>
              </w:rPr>
              <w:t>1.</w:t>
            </w:r>
          </w:p>
        </w:tc>
        <w:tc>
          <w:tcPr>
            <w:tcW w:w="41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Nature of the Business and Basis of Presentation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As of December 31, 2025, the Company operated as a virtual company and did not maintain a corporate headquarters or other significant facilities. Korsana was formed to develop therapies built on Therapeutic Targeting (THETA</w:t>
      </w:r>
    </w:p>
    <w:p>
      <w:pPr>
        <w:pStyle w:val="TextBody"/>
        <w:bidi w:val="0"/>
        <w:spacing w:before="120" w:after="0"/>
        <w:jc w:val="left"/>
        <w:rPr>
          <w:rFonts w:ascii="Times New Roman" w:hAnsi="Times New Roman"/>
          <w:sz w:val="12"/>
        </w:rPr>
      </w:pPr>
      <w:r>
        <w:rPr>
          <w:rFonts w:ascii="Times New Roman" w:hAnsi="Times New Roman"/>
          <w:sz w:val="12"/>
        </w:rPr>
        <w:t>TM</w:t>
      </w:r>
    </w:p>
    <w:p>
      <w:pPr>
        <w:pStyle w:val="TextBody"/>
        <w:bidi w:val="0"/>
        <w:spacing w:before="120" w:after="0"/>
        <w:jc w:val="left"/>
        <w:rPr>
          <w:rFonts w:ascii="Times New Roman" w:hAnsi="Times New Roman"/>
          <w:sz w:val="20"/>
        </w:rPr>
      </w:pPr>
      <w:r>
        <w:rPr>
          <w:rFonts w:ascii="Times New Roman" w:hAnsi="Times New Roman"/>
          <w:sz w:val="20"/>
        </w:rPr>
        <w:t xml:space="preserve">), a next generation blood-brain barrier (BBB) platform, with an initial focus on neurodegenerative disorders, including its lead product candidate, </w:t>
      </w:r>
    </w:p>
    <w:p>
      <w:pPr>
        <w:pStyle w:val="TextBody"/>
        <w:bidi w:val="0"/>
        <w:spacing w:before="120" w:after="0"/>
        <w:jc w:val="left"/>
        <w:rPr>
          <w:rFonts w:ascii="Times New Roman" w:hAnsi="Times New Roman"/>
          <w:sz w:val="20"/>
        </w:rPr>
      </w:pPr>
      <w:r>
        <w:rPr>
          <w:rFonts w:ascii="Times New Roman" w:hAnsi="Times New Roman"/>
          <w:sz w:val="20"/>
        </w:rPr>
        <w:t>KRSA-028,</w:t>
      </w:r>
    </w:p>
    <w:p>
      <w:pPr>
        <w:pStyle w:val="TextBody"/>
        <w:bidi w:val="0"/>
        <w:spacing w:before="120" w:after="0"/>
        <w:jc w:val="left"/>
        <w:rPr>
          <w:rFonts w:ascii="Times New Roman" w:hAnsi="Times New Roman"/>
          <w:sz w:val="20"/>
        </w:rPr>
      </w:pPr>
      <w:r>
        <w:rPr>
          <w:rFonts w:ascii="Times New Roman" w:hAnsi="Times New Roman"/>
          <w:sz w:val="20"/>
        </w:rPr>
        <w:t>an anti-amyloid beta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pPr>
      <w:r>
        <w:rPr/>
        <w:t>”</w:t>
      </w:r>
      <w:r>
        <w:rPr>
          <w:rFonts w:ascii="Times New Roman" w:hAnsi="Times New Roman"/>
          <w:sz w:val="20"/>
        </w:rPr>
        <w:t>) antibody that combines the proprietary Therapeutic Targeting (“THETA</w:t>
      </w:r>
    </w:p>
    <w:p>
      <w:pPr>
        <w:pStyle w:val="TextBody"/>
        <w:bidi w:val="0"/>
        <w:spacing w:before="120" w:after="0"/>
        <w:jc w:val="left"/>
        <w:rPr/>
      </w:pPr>
      <w:r>
        <w:rPr/>
        <w:t>™</w:t>
      </w:r>
    </w:p>
    <w:p>
      <w:pPr>
        <w:pStyle w:val="TextBody"/>
        <w:bidi w:val="0"/>
        <w:spacing w:before="120" w:after="0"/>
        <w:jc w:val="left"/>
        <w:rPr/>
      </w:pPr>
      <w:r>
        <w:rPr/>
        <w:t>”</w:t>
      </w:r>
      <w:r>
        <w:rPr>
          <w:rFonts w:ascii="Times New Roman" w:hAnsi="Times New Roman"/>
          <w:sz w:val="20"/>
        </w:rPr>
        <w:t xml:space="preserve">) platform informed by clinical and regulatory learnings from other </w:t>
      </w:r>
    </w:p>
    <w:p>
      <w:pPr>
        <w:pStyle w:val="TextBody"/>
        <w:bidi w:val="0"/>
        <w:spacing w:before="120" w:after="0"/>
        <w:jc w:val="left"/>
        <w:rPr>
          <w:rFonts w:ascii="Times New Roman" w:hAnsi="Times New Roman"/>
          <w:sz w:val="20"/>
        </w:rPr>
      </w:pPr>
      <w:r>
        <w:rPr>
          <w:rFonts w:ascii="Times New Roman" w:hAnsi="Times New Roman"/>
          <w:sz w:val="20"/>
        </w:rPr>
        <w:t>anti-A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products that have achieved regulatory approval or are in late-stage clinical trials.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will be automatically converted solely into the right to receive a number of shares of Cyclerion common stock equal to the Exchange Ratio as defined in the Merger Agreement, (ii) each then-outstanding share of Korsana Series Seed preferred stock will be converted into the right to receive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number of shares of Cyclerion Series B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0" w:after="0"/>
        <w:jc w:val="left"/>
        <w:rPr>
          <w:rFonts w:ascii="Times New Roman" w:hAnsi="Times New Roman"/>
          <w:sz w:val="20"/>
        </w:rPr>
      </w:pPr>
      <w:r>
        <w:rPr>
          <w:rFonts w:ascii="Times New Roman" w:hAnsi="Times New Roman"/>
          <w:sz w:val="20"/>
        </w:rPr>
        <w:t xml:space="preserve">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Korsana common stock that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Cyclerion common stock, subject to adjustment as set forth in the form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(v) each then-outstanding option to purchase Korsana common stock will be assumed by Cyclerion and will be converted into an option to purchase shares of Cyclerion common stock, adjusted for the Exchange Ratio, (vi) each then-outstanding warrant to purchase Korsana common stock will be assumed by Cyclerion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Korsana common stock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Cyclerion common stock, subject to adjustment as set forth in the Merger Agreement and the form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at an estimated purchase price of $2.3534 per share and $2.3533 per warrant, for an aggregate purchase price of $380.0 million in a private placement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Shares of the Company’s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the Company’s common stock issued pursuant to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shares of Cyclerion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consolidated financial statements and accompanying notes have been prepared in accordance with accounting principles generally accepted in the United States of America (“U.S. GAAP”).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whether there are certain conditions and events, considered in the aggregate, that raise substantial doubt about the Company’s ability to continue as a going concern within twelve months of the date that the consolidated financial statements are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generated any revenue from product sales or other sources and has incurred significant operating losses and negative cash flows from operations since inception. The Company has incurred net losses of $35.6 million and $0.1 million during the year ended December 31, 2025 and for the period from November 8, 2024 (inception) to December 31, 2024, respectively. As of December 31, 2025 and 2024, the Company had an accumulated deficit of $35.7 million and $0.1 million, respectively. As of December 31, 2025, the Company had $154.1 million in cash and cash equivalents.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consolidated financial statements are available to be issued. </w:t>
      </w:r>
    </w:p>
    <w:p>
      <w:pPr>
        <w:pStyle w:val="TextBody"/>
        <w:bidi w:val="0"/>
        <w:spacing w:before="0" w:after="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December 2025, the Company formed Korsana Securities Corporation, which is a wholly owned subsidiary based in the United States, to hold the Company’s marketable securities. All intercompany balances and transactions have been eliminated in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 Company’s consolidated financial statements in conformity with U.S. GAAP requires management to make estimates, assumptions, and judgements that affect the reported amounts of assets and liabilities and the disclosure of contingent assets and liabilities at the date of the consolidated financial statements and the reported amounts of expenses during the reporting periods. Significant estimates and assumptions reflected within these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operates and manages its business as a single operating and reporting segment for the purposes of assessing performance and making operating decisions. The Company’s chief executive officer, who is the chief operating decision maker (the “CODM”), reviews the Company’s financial information for purposes of evaluating financial performance and allocating resources (see Note 13).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Concentrations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expose the Company to concentrations of credit risk primarily consist of cash and cash equivalents. The Company maintains its cash balances at an accredited financial institution in amounts that, at times, may exceed federally insured limits. However, the Company has not experienced any losses on its deposits of cash.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dependent on third-party organizations to research, develop, manufacture, and process its potential product candidates for its development programs.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9).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purchased with an original maturity of three months or less at the time of initial purchase to be cash equivalents. The cash equivalents were comprised of an investment in a money market fund. Interest income associated with the cash equivalents is recorded as other income in the consolidated statements of operations and comprehensive loss.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pacing w:val="0"/>
        </w:rPr>
      </w:pPr>
      <w:r>
        <w:rPr>
          <w:spacing w:val="0"/>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1 — Quoted prices in active markets that are identical assets or liabilities.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cash equivalents are carried at fair value, determined according to the fair value hierarchy described above (see Note 3). The carrying values of the Company’s prepaid expenses and other current assets, accounts payable and accrued expenses approximate their fair values due to their relatively short maturity periods.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Classification of Convertible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classified the Series Seed convertible preferred stock and Series A convertible preferred stock (together the “Convertible Preferred Stock”) outside of stockholders’ deficit on the Company’s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consolidated balance sheet because the holders of such stock have certain liquidation rights in the event of a deemed liquidation event that, in certain situations, is not solely within the control of the Company and would require the redemption of the then-outstanding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Convertible Preferred Stock is not redeemable, except in the event of deemed liquidation (see Note 5).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Contract Costs Accruals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records the costs associated with research studies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contract manufacturing organizations (“CMOs”), and the Company’s related party Paragon (see Note 9).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accrues for expenses resulting from obligations under its Antibody Discovery and Option Agreement (the “Paragon ADOA”) and Platform Option Agreement (the “Paragon POA”) by and among the Company, Paragon and Parasa Holding LLC (“Parasa”), an entity formed by Paragon as a vehicle to hold equity in the Company, and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outside service provider, the payments will be recorded as a prepaid asset which will be expensed as the contracted services are performed. Changes in these estimates that result in material changes to the Company’s accruals could materially affect the Company’s results of operations. As of December 31, 2025 and 2024, the Company has not experienced any material deviations between accrued and actual research and development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costs are expensed as incurred. Research and development costs include amounts reimbursed to Paragon under the Paragon ADOA (see Note 9), salaries and bonuses, stock-based compensation, employee benefits, and external costs of vendors and consultants engaged to conduct research and development activities.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Nonrefundable advance payments for goods or services to be received in the future for use in research and development activities are expensed as the related goods are delivered or the services are performed, or when it is no longer expected that the goods will be delivered, or the services rendered.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General and administrative expenses consist primarily of salaries and bonuses, stock-based compensation, employee benefits, finance and administration costs, and professional fees.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Commitments and Contingencies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may be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 The Company does not accrue for contingent losses that, in its judgment, are considered to be reasonably possible, but not probable; however, it discloses the range of reasonably possible losses. As of December 31, 2025 and 2024, no liabilities were recorded for loss contingencies (see Note 10).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classifies stock-based compensation expense in its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grants stock options and restricted stock awards (“RSAs”)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with service-based vesting conditions is recognized in the same manner as if the Company had paid cash in exchange for the goods or services. Forfeitures are accounted for as they occur.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has RSAs that are subject to performance-based vesting conditions relating to the achievement of a specified amount of Series A convertible preferred stock financing. Accruals of compensation cost for an award with a performance condition shall be based on the probable outcome of that performance condition.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measures all stock-based awards granted to employees, directors,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based on the fair value of the awards on the date of grant using the Black-Scholes option-pricing model.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values of restricted stock awards and options are based on the fair value of the Company’s common stock on the date of grant. The Company’s common stock valuations were prepared using a recent transactions method, including an option pricing method (“OPM”). Under this method, the Company used the observed transaction price from a recent preferred stock financing and solved for the total equity value that results in that preferred stock price, using an OPM that allocates value across the Company’s capital structure based on the rights and preferences of each equity class. The resulting total equity value was then allocated to the common stock and preferred stock based on their respective economic rights, resulting in an estimated fair value of the Company’s common stock as of the valuation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assumptions underlying these valuations represented management’s best estimate, which involved inherent uncertainties and the application of management’s judgment. As a result, if the Company had used significantly different assumptions or estimates, the fair value of common stock and stock-based compensation expense could have been materially different.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Attributable to Common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when computing net loss per share attributable to the Company’s common stockholders as the Company has issued shares that meet the definition of participating securities.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determines net loss per share for each class of common and participating securities according to dividends declared or accumulated and participation rights in undistributed earnings. </w:t>
      </w:r>
    </w:p>
    <w:p>
      <w:pPr>
        <w:pStyle w:val="TextBody"/>
        <w:bidi w:val="0"/>
        <w:spacing w:before="240" w:after="0"/>
        <w:jc w:val="left"/>
        <w:rPr>
          <w:rFonts w:ascii="Times New Roman" w:hAnsi="Times New Roman"/>
          <w:sz w:val="20"/>
        </w:rPr>
      </w:pPr>
      <w:r>
        <w:rPr>
          <w:rFonts w:ascii="Times New Roman" w:hAnsi="Times New Roman"/>
          <w:sz w:val="20"/>
        </w:rPr>
        <w:t xml:space="preserve">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requires loss available to common stockholders for the period to be allocated between common and participating securities based upon their respective rights to share in the undistributed earnings as if all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Company’s common stockholders. There is no allocation required under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during periods of loss since the participating securities do not have a contractual obligation to share in the losses of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Basic net loss per share attributable to common stockholders is computed by dividing the net loss attributable to the Company’s common stockholders by the weighted average number of common shares outstanding for the period, excluding potentially dilutive common shares.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by the weighted average number of common shares outstanding for the period, including potentially dilutive securities. For purposes of this calculation, the Company’s outstanding warrants, outstanding Convertible Preferred Stock, stock options to purchase common stock, and unvested RSAs are considered potentially dilutive common shares.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generated a net loss for the period presented.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uncertainty in income taxes recognized in the consolidated financial statements by applying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two-step</w:t>
      </w:r>
    </w:p>
    <w:p>
      <w:pPr>
        <w:pStyle w:val="TextBody"/>
        <w:bidi w:val="0"/>
        <w:spacing w:before="240" w:after="0"/>
        <w:jc w:val="left"/>
        <w:rPr>
          <w:rFonts w:ascii="Times New Roman" w:hAnsi="Times New Roman"/>
          <w:sz w:val="20"/>
        </w:rPr>
      </w:pPr>
      <w:r>
        <w:rPr>
          <w:rFonts w:ascii="Times New Roman" w:hAnsi="Times New Roman"/>
          <w:sz w:val="20"/>
        </w:rPr>
        <w:t xml:space="preserve">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and/or penalties related to unrecorded tax benefits in income tax expense as they arise.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Income Statement-Reporting Comprehensive Income-Expense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The amendments in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 public entities to disclose specified information about certain costs and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the Company’s annual reporting period beginning after December 15, 2026 and interim reporting periods beginning after December 27, 2027, with early adoption permitted. The Company is currently evaluating the impact of this standard on its consolidated financial statements. </w:t>
      </w:r>
    </w:p>
    <w:p>
      <w:pPr>
        <w:pStyle w:val="TextBody"/>
        <w:bidi w:val="0"/>
        <w:spacing w:before="0" w:after="0"/>
        <w:jc w:val="left"/>
        <w:rPr>
          <w:spacing w:val="0"/>
        </w:rPr>
      </w:pPr>
      <w:r>
        <w:rPr>
          <w:spacing w:val="0"/>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0"/>
              <w:jc w:val="left"/>
              <w:rPr>
                <w:b/>
                <w:spacing w:val="0"/>
              </w:rPr>
            </w:pPr>
            <w:r>
              <w:rPr>
                <w:b/>
                <w:spacing w:val="0"/>
              </w:rPr>
              <w:t>3.</w:t>
            </w:r>
          </w:p>
        </w:tc>
        <w:tc>
          <w:tcPr>
            <w:tcW w:w="22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Measurements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present the Company’s fair value hierarchy for financial assets and liabilities measured (in thousands): </w:t>
      </w:r>
    </w:p>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equivalents consist of money market funds, which were valued by the Company based on quoted market prices, which represent a Level 1 measurement within the fair value hierarchy. There were no transfers between Level 1, Level 2, or Level 3 during the year ended December 31, 2025. The Company did not have any financial assets or liabilities that were determined to be Level 1, Level 2, or Level 3 measurements within the fair value hierarchy as of December 31, 2024. </w:t>
      </w:r>
    </w:p>
    <w:p>
      <w:pPr>
        <w:pStyle w:val="TextBody"/>
        <w:bidi w:val="0"/>
        <w:spacing w:before="0" w:after="0"/>
        <w:jc w:val="left"/>
        <w:rPr>
          <w:spacing w:val="0"/>
        </w:rPr>
      </w:pPr>
      <w:r>
        <w:rPr>
          <w:spacing w:val="0"/>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0"/>
              <w:jc w:val="left"/>
              <w:rPr>
                <w:b/>
                <w:spacing w:val="0"/>
              </w:rPr>
            </w:pPr>
            <w:r>
              <w:rPr>
                <w:b/>
                <w:spacing w:val="0"/>
              </w:rPr>
              <w:t>4.</w:t>
            </w:r>
          </w:p>
        </w:tc>
        <w:tc>
          <w:tcPr>
            <w:tcW w:w="4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975" w:type="dxa"/>
        <w:jc w:val="left"/>
        <w:tblInd w:w="0" w:type="dxa"/>
        <w:tblLayout w:type="fixed"/>
        <w:tblCellMar>
          <w:top w:w="0" w:type="dxa"/>
          <w:left w:w="0" w:type="dxa"/>
          <w:bottom w:w="0" w:type="dxa"/>
          <w:right w:w="0" w:type="dxa"/>
        </w:tblCellMar>
      </w:tblPr>
      <w:tblGrid>
        <w:gridCol w:w="3770"/>
        <w:gridCol w:w="120"/>
        <w:gridCol w:w="241"/>
        <w:gridCol w:w="1174"/>
        <w:gridCol w:w="60"/>
        <w:gridCol w:w="120"/>
        <w:gridCol w:w="495"/>
        <w:gridCol w:w="920"/>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10,784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professional and consulting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employee compensation and benefits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expenses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455" w:type="dxa"/>
        <w:jc w:val="left"/>
        <w:tblInd w:w="0" w:type="dxa"/>
        <w:tblLayout w:type="fixed"/>
        <w:tblCellMar>
          <w:top w:w="0" w:type="dxa"/>
          <w:left w:w="0" w:type="dxa"/>
          <w:bottom w:w="0" w:type="dxa"/>
          <w:right w:w="0" w:type="dxa"/>
        </w:tblCellMar>
      </w:tblPr>
      <w:tblGrid>
        <w:gridCol w:w="305"/>
        <w:gridCol w:w="8150"/>
      </w:tblGrid>
      <w:tr>
        <w:trPr/>
        <w:tc>
          <w:tcPr>
            <w:tcW w:w="305" w:type="dxa"/>
            <w:tcBorders/>
            <w:vAlign w:val="center"/>
          </w:tcPr>
          <w:p>
            <w:pPr>
              <w:pStyle w:val="TableContents"/>
              <w:bidi w:val="0"/>
              <w:spacing w:before="0" w:after="283"/>
              <w:jc w:val="left"/>
              <w:rPr/>
            </w:pPr>
            <w:r>
              <w:rPr/>
              <w:t>(1)</w:t>
            </w:r>
          </w:p>
        </w:tc>
        <w:tc>
          <w:tcPr>
            <w:tcW w:w="81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$10,333 as of December 31, 2025 and $0 as of December 31, 2024.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(2)</w:t>
            </w:r>
          </w:p>
        </w:tc>
        <w:tc>
          <w:tcPr>
            <w:tcW w:w="78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$232 as of December 31, 2025 and $0 as of December 31, 2024. </w:t>
            </w:r>
          </w:p>
        </w:tc>
      </w:tr>
    </w:tbl>
    <w:p>
      <w:pPr>
        <w:pStyle w:val="TextBody"/>
        <w:bidi w:val="0"/>
        <w:spacing w:before="0" w:after="0"/>
        <w:jc w:val="left"/>
        <w:rPr>
          <w:spacing w:val="0"/>
        </w:rPr>
      </w:pPr>
      <w:r>
        <w:rPr>
          <w:spacing w:val="0"/>
        </w:rPr>
        <w:t> </w:t>
      </w:r>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0"/>
              <w:jc w:val="left"/>
              <w:rPr>
                <w:b/>
                <w:spacing w:val="0"/>
              </w:rPr>
            </w:pPr>
            <w:r>
              <w:rPr>
                <w:b/>
                <w:spacing w:val="0"/>
              </w:rPr>
              <w:t>5.</w:t>
            </w:r>
          </w:p>
        </w:tc>
        <w:tc>
          <w:tcPr>
            <w:tcW w:w="24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Co-Investment</w:t>
      </w:r>
    </w:p>
    <w:p>
      <w:pPr>
        <w:pStyle w:val="TextBody"/>
        <w:bidi w:val="0"/>
        <w:spacing w:before="120" w:after="0"/>
        <w:jc w:val="left"/>
        <w:rPr>
          <w:rFonts w:ascii="Times New Roman" w:hAnsi="Times New Roman"/>
          <w:sz w:val="20"/>
        </w:rPr>
      </w:pPr>
      <w:r>
        <w:rPr>
          <w:rFonts w:ascii="Times New Roman" w:hAnsi="Times New Roman"/>
          <w:sz w:val="20"/>
        </w:rPr>
        <w:t xml:space="preserve">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four directors of the Company. The holders of record of the shares of Series A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December 31, 2025 and 2024, each outstanding share of Convertible Preferred Stock was convertible into common stock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and for the period November 8, 2024 (inception) through December 31, 2024, no dividends had been declared or paid by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Convertible Preferred Stock does not have redemption rights, except for the contingent redemption upon the occurrence of a Deemed Liquidation Event. </w:t>
      </w:r>
    </w:p>
    <w:p>
      <w:pPr>
        <w:pStyle w:val="TextBody"/>
        <w:bidi w:val="0"/>
        <w:spacing w:before="0" w:after="0"/>
        <w:jc w:val="left"/>
        <w:rPr>
          <w:spacing w:val="0"/>
        </w:rPr>
      </w:pPr>
      <w:r>
        <w:rPr>
          <w:spacing w:val="0"/>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0"/>
              <w:jc w:val="left"/>
              <w:rPr>
                <w:b/>
                <w:spacing w:val="0"/>
              </w:rPr>
            </w:pPr>
            <w:r>
              <w:rPr>
                <w:b/>
                <w:spacing w:val="0"/>
              </w:rPr>
              <w:t>6.</w:t>
            </w:r>
          </w:p>
        </w:tc>
        <w:tc>
          <w:tcPr>
            <w:tcW w:w="13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Common Stock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2025 and 2024, the Company has the authority to issue a total of 122,363,552 and 35,000,000 shares of common stock, respectively, at a par value of $0.0001 per share. As of December 31, 2025 and 2024, the Company had 6,000,000 and 5,000,000 shares of common stock, respectively, issued and outstanding in connection with RSAs.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there are 105,358,748 and 8,000,000 shares of common stock reserved for issuance for the potential conversion of shares of Convertible Preferred Stock into common stock and the exercise of outstanding stock options and warrants to common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December 31, 2025 and 2024, the Company had common stock reserved for future issuance as follows: </w:t>
      </w:r>
    </w:p>
    <w:p>
      <w:pPr>
        <w:pStyle w:val="TextBody"/>
        <w:bidi w:val="0"/>
        <w:spacing w:before="0" w:after="0"/>
        <w:jc w:val="left"/>
        <w:rPr>
          <w:spacing w:val="0"/>
        </w:rPr>
      </w:pPr>
      <w:r>
        <w:rPr>
          <w:spacing w:val="0"/>
        </w:rPr>
        <w:t> </w:t>
      </w:r>
    </w:p>
    <w:tbl>
      <w:tblPr>
        <w:tblW w:w="9555" w:type="dxa"/>
        <w:jc w:val="left"/>
        <w:tblInd w:w="0" w:type="dxa"/>
        <w:tblLayout w:type="fixed"/>
        <w:tblCellMar>
          <w:top w:w="0" w:type="dxa"/>
          <w:left w:w="0" w:type="dxa"/>
          <w:bottom w:w="0" w:type="dxa"/>
          <w:right w:w="0" w:type="dxa"/>
        </w:tblCellMar>
      </w:tblPr>
      <w:tblGrid>
        <w:gridCol w:w="6350"/>
        <w:gridCol w:w="120"/>
        <w:gridCol w:w="66"/>
        <w:gridCol w:w="1349"/>
        <w:gridCol w:w="60"/>
        <w:gridCol w:w="120"/>
        <w:gridCol w:w="81"/>
        <w:gridCol w:w="1334"/>
        <w:gridCol w:w="75"/>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Seed Preferred Stock</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A Preferred Stock</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exercise of warrants under the Parasa Warrant Obligation</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1,102,561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stock options</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shares of common stock reserved</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105,358,748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590" w:type="dxa"/>
        <w:jc w:val="left"/>
        <w:tblInd w:w="0" w:type="dxa"/>
        <w:tblLayout w:type="fixed"/>
        <w:tblCellMar>
          <w:top w:w="0" w:type="dxa"/>
          <w:left w:w="0" w:type="dxa"/>
          <w:bottom w:w="0" w:type="dxa"/>
          <w:right w:w="0" w:type="dxa"/>
        </w:tblCellMar>
      </w:tblPr>
      <w:tblGrid>
        <w:gridCol w:w="215"/>
        <w:gridCol w:w="2375"/>
      </w:tblGrid>
      <w:tr>
        <w:trPr/>
        <w:tc>
          <w:tcPr>
            <w:tcW w:w="215" w:type="dxa"/>
            <w:tcBorders/>
            <w:vAlign w:val="center"/>
          </w:tcPr>
          <w:p>
            <w:pPr>
              <w:pStyle w:val="TableContents"/>
              <w:bidi w:val="0"/>
              <w:spacing w:before="0" w:after="0"/>
              <w:jc w:val="left"/>
              <w:rPr>
                <w:b/>
                <w:spacing w:val="0"/>
              </w:rPr>
            </w:pPr>
            <w:r>
              <w:rPr>
                <w:b/>
                <w:spacing w:val="0"/>
              </w:rPr>
              <w:t>7.</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2025 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December 31, 2025, the total number of shares of common stock reserved for issuance under the 2025 Plan was 20,584,336 shares, with 10,828,149 shares of common stock available for future grants.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Valuation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each stock option grant is estimated on the grant date using the Black-Scholes option- 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weighted-average assumptions used in calculating the fair value of the awards for the year ended December 31, 2025: </w:t>
      </w:r>
    </w:p>
    <w:p>
      <w:pPr>
        <w:pStyle w:val="TextBody"/>
        <w:bidi w:val="0"/>
        <w:spacing w:before="0" w:after="0"/>
        <w:jc w:val="left"/>
        <w:rPr>
          <w:spacing w:val="0"/>
        </w:rPr>
      </w:pPr>
      <w:r>
        <w:rPr>
          <w:spacing w:val="0"/>
        </w:rPr>
        <w:t> </w:t>
      </w:r>
    </w:p>
    <w:tbl>
      <w:tblPr>
        <w:tblW w:w="4770" w:type="dxa"/>
        <w:jc w:val="left"/>
        <w:tblInd w:w="0" w:type="dxa"/>
        <w:tblLayout w:type="fixed"/>
        <w:tblCellMar>
          <w:top w:w="0" w:type="dxa"/>
          <w:left w:w="0" w:type="dxa"/>
          <w:bottom w:w="0" w:type="dxa"/>
          <w:right w:w="0" w:type="dxa"/>
        </w:tblCellMar>
      </w:tblPr>
      <w:tblGrid>
        <w:gridCol w:w="2000"/>
        <w:gridCol w:w="120"/>
        <w:gridCol w:w="283"/>
        <w:gridCol w:w="2077"/>
        <w:gridCol w:w="29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2"/>
            <w:tcBorders/>
            <w:vAlign w:val="center"/>
          </w:tcPr>
          <w:p>
            <w:pPr>
              <w:pStyle w:val="TableContents"/>
              <w:bidi w:val="0"/>
              <w:spacing w:before="0" w:after="0"/>
              <w:jc w:val="center"/>
              <w:rPr>
                <w:b/>
                <w:spacing w:val="0"/>
              </w:rPr>
            </w:pPr>
            <w:r>
              <w:rPr>
                <w:b/>
                <w:spacing w:val="0"/>
              </w:rPr>
              <w:t>Year Ended December</w:t>
              <w:br/>
              <w:t>31, 2025</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2077"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right"/>
              <w:rPr/>
            </w:pPr>
            <w:r>
              <w:rPr/>
              <w:t>87.1</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2077" w:type="dxa"/>
            <w:tcBorders/>
            <w:shd w:fill="CCEEFF" w:val="clear"/>
            <w:vAlign w:val="center"/>
          </w:tcPr>
          <w:p>
            <w:pPr>
              <w:pStyle w:val="TableContents"/>
              <w:bidi w:val="0"/>
              <w:spacing w:before="0" w:after="283"/>
              <w:jc w:val="right"/>
              <w:rPr/>
            </w:pPr>
            <w:r>
              <w:rPr/>
              <w:t>3.7</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2077"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for the year ended December 31, 2025: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95"/>
        <w:gridCol w:w="120"/>
        <w:gridCol w:w="114"/>
        <w:gridCol w:w="1871"/>
        <w:gridCol w:w="60"/>
        <w:gridCol w:w="120"/>
        <w:gridCol w:w="461"/>
        <w:gridCol w:w="1449"/>
        <w:gridCol w:w="60"/>
        <w:gridCol w:w="120"/>
        <w:gridCol w:w="301"/>
        <w:gridCol w:w="1609"/>
        <w:gridCol w:w="60"/>
        <w:gridCol w:w="120"/>
        <w:gridCol w:w="374"/>
        <w:gridCol w:w="696"/>
        <w:gridCol w:w="75"/>
      </w:tblGrid>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0"/>
              <w:jc w:val="center"/>
              <w:rPr>
                <w:b/>
                <w:spacing w:val="0"/>
              </w:rPr>
            </w:pPr>
            <w:r>
              <w:rPr>
                <w:b/>
                <w:spacing w:val="0"/>
              </w:rPr>
              <w:t>Number of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2024</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8,756,187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December 31, 2025</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871"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right"/>
              <w:rPr/>
            </w:pPr>
            <w:r>
              <w:rPr/>
              <w:t>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December 31, 2025</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871" w:type="dxa"/>
            <w:tcBorders/>
            <w:shd w:fill="CCEEFF" w:val="clear"/>
            <w:vAlign w:val="center"/>
          </w:tcPr>
          <w:p>
            <w:pPr>
              <w:pStyle w:val="TableContents"/>
              <w:bidi w:val="0"/>
              <w:spacing w:before="0" w:after="283"/>
              <w:jc w:val="right"/>
              <w:rPr/>
            </w:pPr>
            <w:r>
              <w:rPr/>
              <w:t>67,886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grant-date fair value of stock options granted for the year ended December 31, 2025 was $0.64. For the year ended December 31, 2025, there was no intrinsic value related to outstanding options.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period from November 8, 2024 (inception) to December 31,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27, 2025, the Company issued and sold 1,000,000 RSAs to the Company’s chief executive officer, a venture partner at Fairmount during the year ended December 31, 2025, in exchange for executive services and such issuance was determined to be a related party transaction (see Note 12).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December 31, 2025, $0.3 million and $0.5 million, respectively, was recorded in accrued expenses and other current liabilities and accrued other liabilities, noncurrent on the Company’s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RSA activity for the year ended December 31, 2025: </w:t>
      </w:r>
    </w:p>
    <w:p>
      <w:pPr>
        <w:pStyle w:val="TextBody"/>
        <w:bidi w:val="0"/>
        <w:spacing w:before="0" w:after="0"/>
        <w:jc w:val="left"/>
        <w:rPr>
          <w:spacing w:val="0"/>
        </w:rPr>
      </w:pPr>
      <w:r>
        <w:rPr>
          <w:spacing w:val="0"/>
        </w:rPr>
        <w:t> </w:t>
      </w:r>
    </w:p>
    <w:tbl>
      <w:tblPr>
        <w:tblW w:w="8090" w:type="dxa"/>
        <w:jc w:val="left"/>
        <w:tblInd w:w="0" w:type="dxa"/>
        <w:tblLayout w:type="fixed"/>
        <w:tblCellMar>
          <w:top w:w="0" w:type="dxa"/>
          <w:left w:w="0" w:type="dxa"/>
          <w:bottom w:w="0" w:type="dxa"/>
          <w:right w:w="0" w:type="dxa"/>
        </w:tblCellMar>
      </w:tblPr>
      <w:tblGrid>
        <w:gridCol w:w="3515"/>
        <w:gridCol w:w="120"/>
        <w:gridCol w:w="95"/>
        <w:gridCol w:w="1680"/>
        <w:gridCol w:w="155"/>
        <w:gridCol w:w="120"/>
        <w:gridCol w:w="562"/>
        <w:gridCol w:w="1768"/>
        <w:gridCol w:w="7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0"/>
              <w:jc w:val="center"/>
              <w:rPr>
                <w:b/>
                <w:spacing w:val="0"/>
              </w:rPr>
            </w:pPr>
            <w:r>
              <w:rPr>
                <w:b/>
                <w:spacing w:val="0"/>
              </w:rPr>
              <w:t>Number of RSAs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0" w:type="dxa"/>
            <w:gridSpan w:val="2"/>
            <w:tcBorders/>
            <w:vAlign w:val="center"/>
          </w:tcPr>
          <w:p>
            <w:pPr>
              <w:pStyle w:val="TableContents"/>
              <w:bidi w:val="0"/>
              <w:spacing w:before="0" w:after="0"/>
              <w:jc w:val="center"/>
              <w:rPr>
                <w:b/>
                <w:spacing w:val="0"/>
              </w:rPr>
            </w:pPr>
            <w:r>
              <w:rPr>
                <w:b/>
                <w:spacing w:val="0"/>
              </w:rPr>
              <w:t>Weighted Average</w:t>
              <w:br/>
              <w:t>Grant Date Fair Value</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2024</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3,000,000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1,000,000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0.57</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(3,000,000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p>
        </w:tc>
        <w:tc>
          <w:tcPr>
            <w:tcW w:w="1768"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17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2025</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1,000,000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w:t>
            </w:r>
          </w:p>
        </w:tc>
        <w:tc>
          <w:tcPr>
            <w:tcW w:w="1768"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 ended December 31, 2025 and for the period from November 8, 2024 (inception) to December 31, 2024, the Company recorded stock-based compensation expense of $0.2 million and $0.1 million, respectively, related to the RSAs in the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Parasa Warrant Obligation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September 2025, the Company entered into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underlying shares on the grant date as determined by the Board of Directors (the “Parasa Warrant Obligation”). If the term with respect to all research programs ends prior to the end of a calendar year, the warrant for such calendar year shall be </w:t>
      </w:r>
    </w:p>
    <w:p>
      <w:pPr>
        <w:pStyle w:val="TextBody"/>
        <w:bidi w:val="0"/>
        <w:spacing w:before="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0" w:after="0"/>
        <w:jc w:val="left"/>
        <w:rPr>
          <w:rFonts w:ascii="Times New Roman" w:hAnsi="Times New Roman"/>
          <w:sz w:val="20"/>
        </w:rPr>
      </w:pPr>
      <w:r>
        <w:rPr>
          <w:rFonts w:ascii="Times New Roman" w:hAnsi="Times New Roman"/>
          <w:sz w:val="20"/>
        </w:rPr>
        <w:t xml:space="preserve">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year ended December 31, 2025, $0.8 million was recognized as stock-based compensation expense related to the 2025 Parasa Warrant Obligation within research and development expense in the Company’s consolidated statement of operations and comprehensive loss. On December 31, 2025, the fair value of the warrant obligation of $0.8 million was reclassified from accrued expenses to stockholders’ equity on the consolidated balance sheet when the Company settled the 2025 Parasa Warrant Obligation by issuing Parasa a warrant to purchase 1,102,561 shares of Company Common Stock at an exercise price of $0.86 per share. The warrant has a term of 10 years, is fully vested, and is exercisable in part or full at any time during the term of the warrant. As of December 31, 2025, the warrant issued under the 2025 Parasa Warrant Obligation is outstanding and unexercised.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assumptions used in calculating the fair value of the warrant: </w:t>
      </w:r>
    </w:p>
    <w:p>
      <w:pPr>
        <w:pStyle w:val="TextBody"/>
        <w:bidi w:val="0"/>
        <w:spacing w:before="0" w:after="0"/>
        <w:jc w:val="left"/>
        <w:rPr>
          <w:spacing w:val="0"/>
        </w:rPr>
      </w:pPr>
      <w:r>
        <w:rPr>
          <w:spacing w:val="0"/>
        </w:rPr>
        <w:t> </w:t>
      </w:r>
    </w:p>
    <w:tbl>
      <w:tblPr>
        <w:tblW w:w="4155" w:type="dxa"/>
        <w:jc w:val="left"/>
        <w:tblInd w:w="0" w:type="dxa"/>
        <w:tblLayout w:type="fixed"/>
        <w:tblCellMar>
          <w:top w:w="0" w:type="dxa"/>
          <w:left w:w="0" w:type="dxa"/>
          <w:bottom w:w="0" w:type="dxa"/>
          <w:right w:w="0" w:type="dxa"/>
        </w:tblCellMar>
      </w:tblPr>
      <w:tblGrid>
        <w:gridCol w:w="1790"/>
        <w:gridCol w:w="120"/>
        <w:gridCol w:w="234"/>
        <w:gridCol w:w="1721"/>
        <w:gridCol w:w="29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(years)</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87.1</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classification of the Company’s stock-based compensation expense in the consolidated statements of operations and comprehensive loss (in thousands): </w:t>
      </w:r>
    </w:p>
    <w:p>
      <w:pPr>
        <w:pStyle w:val="TextBody"/>
        <w:bidi w:val="0"/>
        <w:spacing w:before="0" w:after="0"/>
        <w:jc w:val="left"/>
        <w:rPr>
          <w:spacing w:val="0"/>
        </w:rPr>
      </w:pPr>
      <w:r>
        <w:rPr>
          <w:spacing w:val="0"/>
        </w:rPr>
        <w:t> </w:t>
      </w:r>
    </w:p>
    <w:tbl>
      <w:tblPr>
        <w:tblW w:w="6930" w:type="dxa"/>
        <w:jc w:val="left"/>
        <w:tblInd w:w="0" w:type="dxa"/>
        <w:tblLayout w:type="fixed"/>
        <w:tblCellMar>
          <w:top w:w="0" w:type="dxa"/>
          <w:left w:w="0" w:type="dxa"/>
          <w:bottom w:w="0" w:type="dxa"/>
          <w:right w:w="0" w:type="dxa"/>
        </w:tblCellMar>
      </w:tblPr>
      <w:tblGrid>
        <w:gridCol w:w="2225"/>
        <w:gridCol w:w="120"/>
        <w:gridCol w:w="391"/>
        <w:gridCol w:w="1564"/>
        <w:gridCol w:w="60"/>
        <w:gridCol w:w="120"/>
        <w:gridCol w:w="831"/>
        <w:gridCol w:w="1544"/>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2"/>
            <w:tcBorders/>
            <w:vAlign w:val="center"/>
          </w:tcPr>
          <w:p>
            <w:pPr>
              <w:pStyle w:val="TableContents"/>
              <w:bidi w:val="0"/>
              <w:spacing w:before="0" w:after="0"/>
              <w:jc w:val="center"/>
              <w:rPr>
                <w:b/>
                <w:spacing w:val="0"/>
              </w:rPr>
            </w:pPr>
            <w:r>
              <w:rPr>
                <w:b/>
                <w:spacing w:val="0"/>
              </w:rPr>
              <w:t>Period from November</w:t>
            </w:r>
          </w:p>
          <w:p>
            <w:pPr>
              <w:pStyle w:val="TableContents"/>
              <w:bidi w:val="0"/>
              <w:spacing w:before="0" w:after="0"/>
              <w:jc w:val="center"/>
              <w:rPr/>
            </w:pPr>
            <w:r>
              <w:rPr/>
            </w:r>
          </w:p>
          <w:p>
            <w:pPr>
              <w:pStyle w:val="TableContents"/>
              <w:bidi w:val="0"/>
              <w:spacing w:before="0" w:after="0"/>
              <w:jc w:val="center"/>
              <w:rPr>
                <w:b/>
                <w:spacing w:val="0"/>
              </w:rPr>
            </w:pPr>
            <w:r>
              <w:rPr>
                <w:b/>
                <w:spacing w:val="0"/>
              </w:rPr>
              <w:t>8, 2024 (Inception) to</w:t>
              <w:br/>
              <w:t>December 31, 2024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1,608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total unrecognized compensation cost related to the unvested stock options was $4.9 million, which is expected to be recognized over a weighted average period of approximately 3.5 years. As of December 31, 2025, total unrecognized compensation cost related to the unvested RSAs was $0.5 million to be recognized over a weighted average period of approximately 3.4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award types of the Company’s stock-based compensation expense in the consolidated statements of operations and comprehensive loss (in thousands): </w:t>
      </w:r>
    </w:p>
    <w:p>
      <w:pPr>
        <w:pStyle w:val="TextBody"/>
        <w:bidi w:val="0"/>
        <w:spacing w:before="0" w:after="0"/>
        <w:jc w:val="left"/>
        <w:rPr>
          <w:spacing w:val="0"/>
        </w:rPr>
      </w:pPr>
      <w:r>
        <w:rPr>
          <w:spacing w:val="0"/>
        </w:rPr>
        <w:t> </w:t>
      </w:r>
    </w:p>
    <w:tbl>
      <w:tblPr>
        <w:tblW w:w="6870" w:type="dxa"/>
        <w:jc w:val="left"/>
        <w:tblInd w:w="0" w:type="dxa"/>
        <w:tblLayout w:type="fixed"/>
        <w:tblCellMar>
          <w:top w:w="0" w:type="dxa"/>
          <w:left w:w="0" w:type="dxa"/>
          <w:bottom w:w="0" w:type="dxa"/>
          <w:right w:w="0" w:type="dxa"/>
        </w:tblCellMar>
      </w:tblPr>
      <w:tblGrid>
        <w:gridCol w:w="2165"/>
        <w:gridCol w:w="120"/>
        <w:gridCol w:w="391"/>
        <w:gridCol w:w="1564"/>
        <w:gridCol w:w="60"/>
        <w:gridCol w:w="120"/>
        <w:gridCol w:w="831"/>
        <w:gridCol w:w="1544"/>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5" w:type="dxa"/>
            <w:gridSpan w:val="2"/>
            <w:tcBorders/>
            <w:vAlign w:val="center"/>
          </w:tcPr>
          <w:p>
            <w:pPr>
              <w:pStyle w:val="TableContents"/>
              <w:bidi w:val="0"/>
              <w:spacing w:before="0" w:after="0"/>
              <w:jc w:val="center"/>
              <w:rPr>
                <w:b/>
                <w:spacing w:val="0"/>
              </w:rPr>
            </w:pPr>
            <w:r>
              <w:rPr>
                <w:b/>
                <w:spacing w:val="0"/>
              </w:rPr>
              <w:t>Period from November</w:t>
            </w:r>
          </w:p>
          <w:p>
            <w:pPr>
              <w:pStyle w:val="TableContents"/>
              <w:bidi w:val="0"/>
              <w:spacing w:before="0" w:after="0"/>
              <w:jc w:val="center"/>
              <w:rPr/>
            </w:pPr>
            <w:r>
              <w:rPr/>
            </w:r>
          </w:p>
          <w:p>
            <w:pPr>
              <w:pStyle w:val="TableContents"/>
              <w:bidi w:val="0"/>
              <w:spacing w:before="0" w:after="0"/>
              <w:jc w:val="center"/>
              <w:rPr>
                <w:b/>
                <w:spacing w:val="0"/>
              </w:rPr>
            </w:pPr>
            <w:r>
              <w:rPr>
                <w:b/>
                <w:spacing w:val="0"/>
              </w:rPr>
              <w:t>8, 2024 (Inception) to</w:t>
              <w:br/>
              <w:t>December 31, 2024</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w:t>
            </w:r>
          </w:p>
        </w:tc>
        <w:tc>
          <w:tcPr>
            <w:tcW w:w="1544" w:type="dxa"/>
            <w:tcBorders/>
            <w:shd w:fill="CCEEFF" w:val="clear"/>
            <w:vAlign w:val="center"/>
          </w:tcPr>
          <w:p>
            <w:pPr>
              <w:pStyle w:val="TableContents"/>
              <w:bidi w:val="0"/>
              <w:spacing w:before="0" w:after="283"/>
              <w:jc w:val="right"/>
              <w:rPr/>
            </w:pPr>
            <w:r>
              <w:rPr/>
              <w:t>54</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 Warrant Obligation</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1,608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w:t>
            </w:r>
          </w:p>
        </w:tc>
        <w:tc>
          <w:tcPr>
            <w:tcW w:w="1544"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480" w:type="dxa"/>
        <w:jc w:val="left"/>
        <w:tblInd w:w="0" w:type="dxa"/>
        <w:tblLayout w:type="fixed"/>
        <w:tblCellMar>
          <w:top w:w="0" w:type="dxa"/>
          <w:left w:w="0" w:type="dxa"/>
          <w:bottom w:w="0" w:type="dxa"/>
          <w:right w:w="0" w:type="dxa"/>
        </w:tblCellMar>
      </w:tblPr>
      <w:tblGrid>
        <w:gridCol w:w="215"/>
        <w:gridCol w:w="1265"/>
      </w:tblGrid>
      <w:tr>
        <w:trPr/>
        <w:tc>
          <w:tcPr>
            <w:tcW w:w="215" w:type="dxa"/>
            <w:tcBorders/>
            <w:vAlign w:val="center"/>
          </w:tcPr>
          <w:p>
            <w:pPr>
              <w:pStyle w:val="TableContents"/>
              <w:bidi w:val="0"/>
              <w:spacing w:before="0" w:after="0"/>
              <w:jc w:val="left"/>
              <w:rPr>
                <w:b/>
                <w:spacing w:val="0"/>
              </w:rPr>
            </w:pPr>
            <w:r>
              <w:rPr>
                <w:b/>
                <w:spacing w:val="0"/>
              </w:rPr>
              <w:t>8.</w:t>
            </w:r>
          </w:p>
        </w:tc>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domestic and foreign components of the Company’s loss before income taxes were as follows (in thousands): </w:t>
      </w:r>
    </w:p>
    <w:p>
      <w:pPr>
        <w:pStyle w:val="TextBody"/>
        <w:bidi w:val="0"/>
        <w:spacing w:before="0" w:after="0"/>
        <w:jc w:val="left"/>
        <w:rPr>
          <w:spacing w:val="0"/>
        </w:rPr>
      </w:pPr>
      <w:r>
        <w:rPr>
          <w:spacing w:val="0"/>
        </w:rPr>
        <w:t> </w:t>
      </w:r>
    </w:p>
    <w:tbl>
      <w:tblPr>
        <w:tblW w:w="5050" w:type="dxa"/>
        <w:jc w:val="left"/>
        <w:tblInd w:w="0" w:type="dxa"/>
        <w:tblLayout w:type="fixed"/>
        <w:tblCellMar>
          <w:top w:w="0" w:type="dxa"/>
          <w:left w:w="0" w:type="dxa"/>
          <w:bottom w:w="0" w:type="dxa"/>
          <w:right w:w="0" w:type="dxa"/>
        </w:tblCellMar>
      </w:tblPr>
      <w:tblGrid>
        <w:gridCol w:w="665"/>
        <w:gridCol w:w="120"/>
        <w:gridCol w:w="305"/>
        <w:gridCol w:w="1650"/>
        <w:gridCol w:w="155"/>
        <w:gridCol w:w="120"/>
        <w:gridCol w:w="549"/>
        <w:gridCol w:w="1316"/>
        <w:gridCol w:w="170"/>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50" w:type="dxa"/>
            <w:tcBorders/>
            <w:shd w:fill="CCEEFF" w:val="clear"/>
            <w:vAlign w:val="center"/>
          </w:tcPr>
          <w:p>
            <w:pPr>
              <w:pStyle w:val="TableContents"/>
              <w:bidi w:val="0"/>
              <w:spacing w:before="0" w:after="283"/>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is a reconciliation of the U.S. federal statutory rate of 21% to the Company’s effective rate for the year ended December 31, 2025: </w:t>
      </w:r>
    </w:p>
    <w:p>
      <w:pPr>
        <w:pStyle w:val="TextBody"/>
        <w:bidi w:val="0"/>
        <w:spacing w:before="0" w:after="0"/>
        <w:jc w:val="left"/>
        <w:rPr>
          <w:spacing w:val="0"/>
        </w:rPr>
      </w:pPr>
      <w:r>
        <w:rPr>
          <w:spacing w:val="0"/>
        </w:rPr>
        <w:t> </w:t>
      </w:r>
    </w:p>
    <w:tbl>
      <w:tblPr>
        <w:tblW w:w="9600" w:type="dxa"/>
        <w:jc w:val="left"/>
        <w:tblInd w:w="0" w:type="dxa"/>
        <w:tblLayout w:type="fixed"/>
        <w:tblCellMar>
          <w:top w:w="0" w:type="dxa"/>
          <w:left w:w="0" w:type="dxa"/>
          <w:bottom w:w="0" w:type="dxa"/>
          <w:right w:w="0" w:type="dxa"/>
        </w:tblCellMar>
      </w:tblPr>
      <w:tblGrid>
        <w:gridCol w:w="5930"/>
        <w:gridCol w:w="120"/>
        <w:gridCol w:w="280"/>
        <w:gridCol w:w="1273"/>
        <w:gridCol w:w="310"/>
        <w:gridCol w:w="240"/>
        <w:gridCol w:w="120"/>
        <w:gridCol w:w="1037"/>
        <w:gridCol w:w="29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0" w:type="dxa"/>
            <w:gridSpan w:val="6"/>
            <w:tcBorders/>
            <w:vAlign w:val="center"/>
          </w:tcPr>
          <w:p>
            <w:pPr>
              <w:pStyle w:val="TableContents"/>
              <w:bidi w:val="0"/>
              <w:spacing w:before="0" w:after="0"/>
              <w:jc w:val="center"/>
              <w:rPr>
                <w:b/>
                <w:spacing w:val="0"/>
              </w:rPr>
            </w:pPr>
            <w:r>
              <w:rPr>
                <w:b/>
                <w:spacing w:val="0"/>
              </w:rPr>
              <w:t>Year Ended December 31, 2025</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Federal Statutory Tax Rate</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(7,485</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and Local Income Tax, Net of Federal (National) Income Tax Effect</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Tax Effects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Changes in Tax Laws or Rates Enacted in the Current Period</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Cross-Border Tax Laws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R&amp;D Credit</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(463</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valuation allowances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7,901</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Nontaxable or Nondeductible Items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273"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037"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Permanent Adjustments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47</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Unrecognized Tax Benefits</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Adjustments</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For the period from November 8, 2024 (Inception) to December 31, 2024, the effective income tax rate differs from the statutory federal income tax rate as follows: </w:t>
      </w:r>
    </w:p>
    <w:p>
      <w:pPr>
        <w:pStyle w:val="TextBody"/>
        <w:bidi w:val="0"/>
        <w:spacing w:before="0" w:after="0"/>
        <w:jc w:val="left"/>
        <w:rPr>
          <w:spacing w:val="0"/>
        </w:rPr>
      </w:pPr>
      <w:r>
        <w:rPr>
          <w:spacing w:val="0"/>
        </w:rPr>
        <w:t> </w:t>
      </w:r>
    </w:p>
    <w:tbl>
      <w:tblPr>
        <w:tblW w:w="5670" w:type="dxa"/>
        <w:jc w:val="left"/>
        <w:tblInd w:w="0" w:type="dxa"/>
        <w:tblLayout w:type="fixed"/>
        <w:tblCellMar>
          <w:top w:w="0" w:type="dxa"/>
          <w:left w:w="0" w:type="dxa"/>
          <w:bottom w:w="0" w:type="dxa"/>
          <w:right w:w="0" w:type="dxa"/>
        </w:tblCellMar>
      </w:tblPr>
      <w:tblGrid>
        <w:gridCol w:w="3395"/>
        <w:gridCol w:w="120"/>
        <w:gridCol w:w="194"/>
        <w:gridCol w:w="1671"/>
        <w:gridCol w:w="290"/>
      </w:tblGrid>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State income taxes, net of federal benefits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(10.2</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Permanent differences</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(12.9</w:t>
            </w:r>
          </w:p>
        </w:tc>
        <w:tc>
          <w:tcPr>
            <w:tcW w:w="29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Effective income tax rate</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years ended December 31, 2025 and 2024, the Company recorded no income tax benefits for the net operating losses incurred or for the research and development tax credits generated in each year, due to its uncertainty of realizing a benefit from those items. All of the Company’s operating losses since inception have been generated in the United States.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Components of the Company’s deferred tax assets consisted of the following (in thousands): </w:t>
      </w:r>
    </w:p>
    <w:p>
      <w:pPr>
        <w:pStyle w:val="TextBody"/>
        <w:bidi w:val="0"/>
        <w:spacing w:before="0" w:after="0"/>
        <w:jc w:val="left"/>
        <w:rPr>
          <w:spacing w:val="0"/>
        </w:rPr>
      </w:pPr>
      <w:r>
        <w:rPr>
          <w:spacing w:val="0"/>
        </w:rPr>
        <w:t> </w:t>
      </w:r>
    </w:p>
    <w:tbl>
      <w:tblPr>
        <w:tblW w:w="7705" w:type="dxa"/>
        <w:jc w:val="left"/>
        <w:tblInd w:w="0" w:type="dxa"/>
        <w:tblLayout w:type="fixed"/>
        <w:tblCellMar>
          <w:top w:w="0" w:type="dxa"/>
          <w:left w:w="0" w:type="dxa"/>
          <w:bottom w:w="0" w:type="dxa"/>
          <w:right w:w="0" w:type="dxa"/>
        </w:tblCellMar>
      </w:tblPr>
      <w:tblGrid>
        <w:gridCol w:w="3230"/>
        <w:gridCol w:w="120"/>
        <w:gridCol w:w="305"/>
        <w:gridCol w:w="1650"/>
        <w:gridCol w:w="155"/>
        <w:gridCol w:w="120"/>
        <w:gridCol w:w="684"/>
        <w:gridCol w:w="1271"/>
        <w:gridCol w:w="170"/>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165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sz w:val="4"/>
                <w:szCs w:val="4"/>
              </w:rPr>
            </w:pPr>
            <w:r>
              <w:rPr>
                <w:sz w:val="4"/>
                <w:szCs w:val="4"/>
              </w:rPr>
            </w:r>
          </w:p>
        </w:tc>
        <w:tc>
          <w:tcPr>
            <w:tcW w:w="1271"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8,277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937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Accruals and Reserves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&amp; Experimental Expenditures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Based Compensation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368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License Fees</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526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650" w:type="dxa"/>
            <w:tcBorders/>
            <w:vAlign w:val="center"/>
          </w:tcPr>
          <w:p>
            <w:pPr>
              <w:pStyle w:val="TableContents"/>
              <w:bidi w:val="0"/>
              <w:spacing w:before="0" w:after="283"/>
              <w:jc w:val="right"/>
              <w:rPr/>
            </w:pPr>
            <w:r>
              <w:rPr/>
              <w:t>10,252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(10,252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6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w:t>
            </w:r>
          </w:p>
        </w:tc>
        <w:tc>
          <w:tcPr>
            <w:tcW w:w="12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had federal net operating loss carryforwards of $31.5 million and less than $0.1 million, respectively, which may be available to offset future taxable income. The federal net operating losses carryforward indefinitely, but may only be used to offset 80% of annual taxable income. As of December 31, 2025 and 2024, the Company had state net operating loss carryforwards of $26.2 million and less than $0.1 million, respectively. The state net operating losses expire beginning in 2044.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also had federal research and development tax credit carryforwards of $0.5 million and $0, respectively, which may be available to offset future tax liabilities. As of December 31, 2025 and 2024, the Company had state research and development tax credit carryforwards of $0.6 million and $0, respectively. The federal tax credit carryforwards expire beginning in 2045 while the state tax credits carryforwards expire beginning in 2040.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Utilization of the U.S. federal and state net operating loss carryforwards and research and development tax credit carryforwards may be subject to a substantial annual limitation under Sections 382 and 383 of the Internal Revenue Code of 1986 (“IRC”),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If the Company has experienced a change of control, as defined by Section 382, at any time since inception, utilization of the net operating loss carryforwards, research and development tax credit carryforwards, or the federal orphan drug credits would be subject to an annual limitation under Section 382. Any limitation may result in expiration of a portion of the net operating loss carryforwards, research and development tax credit carryforwards, or the federal orphan drug credits before utilization.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the realizability of the deferred tax assets. As of December 31, 2025 and 2024, based on the Company’s historical operating losses, the Company has concluded that it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240" w:after="0"/>
        <w:jc w:val="left"/>
        <w:rPr>
          <w:rFonts w:ascii="Times New Roman" w:hAnsi="Times New Roman"/>
          <w:sz w:val="20"/>
        </w:rPr>
      </w:pPr>
      <w:r>
        <w:rPr>
          <w:rFonts w:ascii="Times New Roman" w:hAnsi="Times New Roman"/>
          <w:sz w:val="20"/>
        </w:rPr>
        <w:t xml:space="preserve">that the benefit of its deferred tax assets will not be realized. Accordingly, the Company has provided a full valuation allowance for the deferred tax assets as of December 31, 2025 and 2024. The valuation allowance for deferred tax assets as of December 31, 2025 and 2024 was $10.3 million and less than $0.1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valuation allowance increased by $10.3 million and less than $0.1 million during the years ended December 31, 2025 and 2024, respectively. The change during the year ended December 31, 2025 was primarily due to the increase in the capitalized research and experimental expenditures, research and development tax credit and net operating loss carryforwards.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the Company had no accrued interest or penalties related to unrecorded tax benefits. The Company did not have any uncertain tax positions as of December 31, 2025 and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files income tax returns as prescribed by the tax laws of the jurisdictions in which it operates. In the normal course of business, the Company is subject to examination by federal and state jurisdictions, where applicable. The federal and state income tax returns are generally subject to tax examinations for the tax years ended December 31, 2024 through present.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 </w:t>
      </w:r>
    </w:p>
    <w:p>
      <w:pPr>
        <w:pStyle w:val="TextBody"/>
        <w:bidi w:val="0"/>
        <w:spacing w:before="0" w:after="0"/>
        <w:jc w:val="left"/>
        <w:rPr>
          <w:spacing w:val="0"/>
        </w:rPr>
      </w:pPr>
      <w:r>
        <w:rPr>
          <w:spacing w:val="0"/>
        </w:rPr>
        <w:t> </w:t>
      </w:r>
    </w:p>
    <w:tbl>
      <w:tblPr>
        <w:tblW w:w="4675" w:type="dxa"/>
        <w:jc w:val="left"/>
        <w:tblInd w:w="0" w:type="dxa"/>
        <w:tblLayout w:type="fixed"/>
        <w:tblCellMar>
          <w:top w:w="0" w:type="dxa"/>
          <w:left w:w="0" w:type="dxa"/>
          <w:bottom w:w="0" w:type="dxa"/>
          <w:right w:w="0" w:type="dxa"/>
        </w:tblCellMar>
      </w:tblPr>
      <w:tblGrid>
        <w:gridCol w:w="215"/>
        <w:gridCol w:w="4460"/>
      </w:tblGrid>
      <w:tr>
        <w:trPr/>
        <w:tc>
          <w:tcPr>
            <w:tcW w:w="215" w:type="dxa"/>
            <w:tcBorders/>
            <w:vAlign w:val="center"/>
          </w:tcPr>
          <w:p>
            <w:pPr>
              <w:pStyle w:val="TableContents"/>
              <w:bidi w:val="0"/>
              <w:spacing w:before="0" w:after="0"/>
              <w:jc w:val="left"/>
              <w:rPr>
                <w:b/>
                <w:spacing w:val="0"/>
              </w:rPr>
            </w:pPr>
            <w:r>
              <w:rPr>
                <w:b/>
                <w:spacing w:val="0"/>
              </w:rPr>
              <w:t>9.</w:t>
            </w:r>
          </w:p>
        </w:tc>
        <w:tc>
          <w:tcPr>
            <w:tcW w:w="44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Paragon Antibody Discovery and Option Agreement</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into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and TfR1 (together the “A</w:t>
      </w:r>
    </w:p>
    <w:p>
      <w:pPr>
        <w:pStyle w:val="TextBody"/>
        <w:bidi w:val="0"/>
        <w:spacing w:before="120" w:after="0"/>
        <w:jc w:val="left"/>
        <w:rPr>
          <w:rFonts w:ascii="SYMBOL" w:hAnsi="SYMBOL"/>
          <w:sz w:val="20"/>
        </w:rPr>
      </w:pPr>
      <w:r>
        <w:rPr>
          <w:rFonts w:ascii="SYMBOL" w:hAnsi="SYMBOL"/>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program”), and one undisclosed research program 003, with the ability to add additional programs by mutual agreement. The Company’s lead product candidate, KRSA-028, was developed from program 002.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Paragon ADOA, Korsana has the exclusive option (each, an “ADOA Option”),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Program-by-Program</w:t>
      </w:r>
    </w:p>
    <w:p>
      <w:pPr>
        <w:pStyle w:val="TextBody"/>
        <w:bidi w:val="0"/>
        <w:spacing w:before="0" w:after="0"/>
        <w:jc w:val="left"/>
        <w:rPr>
          <w:rFonts w:ascii="Times New Roman" w:hAnsi="Times New Roman"/>
          <w:sz w:val="20"/>
        </w:rPr>
      </w:pPr>
      <w:r>
        <w:rPr>
          <w:rFonts w:ascii="Times New Roman" w:hAnsi="Times New Roman"/>
          <w:sz w:val="20"/>
        </w:rPr>
        <w:t xml:space="preserve">basis, to enter into a separate agreement with Paragon consistent with a set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pre-negotiated</w:t>
      </w:r>
    </w:p>
    <w:p>
      <w:pPr>
        <w:pStyle w:val="TextBody"/>
        <w:bidi w:val="0"/>
        <w:spacing w:before="0" w:after="0"/>
        <w:jc w:val="left"/>
        <w:rPr>
          <w:rFonts w:ascii="Times New Roman" w:hAnsi="Times New Roman"/>
          <w:sz w:val="20"/>
        </w:rPr>
      </w:pPr>
      <w:r>
        <w:rPr>
          <w:rFonts w:ascii="Times New Roman" w:hAnsi="Times New Roman"/>
          <w:sz w:val="20"/>
        </w:rPr>
        <w:t xml:space="preserve">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0" w:after="0"/>
        <w:jc w:val="left"/>
        <w:rPr>
          <w:rFonts w:ascii="Times New Roman" w:hAnsi="Times New Roman"/>
          <w:sz w:val="20"/>
        </w:rPr>
      </w:pPr>
      <w:r>
        <w:rPr>
          <w:rFonts w:ascii="Times New Roman" w:hAnsi="Times New Roman"/>
          <w:sz w:val="20"/>
        </w:rPr>
        <w:t xml:space="preserve">single-digits beginning on the first commercial sale of each developed product. From time to time, the Company can choose to add additional targets by mutual agreement with Paragon.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design, modeling, synthesis, evaluation, and other mutually agreed activities (each, a “Research Plan”), which activities may include performing preclinical studies. Korsana is required to pay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nonrefundable,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non-creditable</w:t>
      </w:r>
    </w:p>
    <w:p>
      <w:pPr>
        <w:pStyle w:val="TextBody"/>
        <w:bidi w:val="0"/>
        <w:spacing w:before="240" w:after="0"/>
        <w:jc w:val="left"/>
        <w:rPr>
          <w:rFonts w:ascii="Times New Roman" w:hAnsi="Times New Roman"/>
          <w:sz w:val="20"/>
        </w:rPr>
      </w:pPr>
      <w:r>
        <w:rPr>
          <w:rFonts w:ascii="Times New Roman" w:hAnsi="Times New Roman"/>
          <w:sz w:val="20"/>
        </w:rPr>
        <w:t xml:space="preserve">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by-Research</w:t>
      </w:r>
    </w:p>
    <w:p>
      <w:pPr>
        <w:pStyle w:val="TextBody"/>
        <w:bidi w:val="0"/>
        <w:spacing w:before="240" w:after="0"/>
        <w:jc w:val="left"/>
        <w:rPr>
          <w:rFonts w:ascii="Times New Roman" w:hAnsi="Times New Roman"/>
          <w:sz w:val="20"/>
        </w:rPr>
      </w:pPr>
      <w:r>
        <w:rPr>
          <w:rFonts w:ascii="Times New Roman" w:hAnsi="Times New Roman"/>
          <w:sz w:val="20"/>
        </w:rPr>
        <w:t xml:space="preserve">Program basis until the later of: (i) the end of the Option Period for such Research Program, as applicable, if such ADOA Option is not exercised by the Company; (ii) if the Company exercises its ADOA Option with respect to a Research Program, but the parties are unable to finalize and execute a License Agreement within 30 days, the expiration of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and (ii) the other party’s bankruptcy.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Any License Agreement entered into with respect to a given Research Program shall contain the same milestone payment obligations as the Paragon ADOA, provided that any milestone set in the Paragon ADOA that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product-by-product</w:t>
      </w:r>
    </w:p>
    <w:p>
      <w:pPr>
        <w:pStyle w:val="TextBody"/>
        <w:bidi w:val="0"/>
        <w:spacing w:before="0" w:after="0"/>
        <w:jc w:val="left"/>
        <w:rPr>
          <w:rFonts w:ascii="Times New Roman" w:hAnsi="Times New Roman"/>
          <w:sz w:val="20"/>
        </w:rPr>
      </w:pPr>
      <w:r>
        <w:rPr>
          <w:rFonts w:ascii="Times New Roman" w:hAnsi="Times New Roman"/>
          <w:sz w:val="20"/>
        </w:rPr>
        <w:t xml:space="preserve">and country- </w:t>
      </w:r>
    </w:p>
    <w:p>
      <w:pPr>
        <w:pStyle w:val="TextBody"/>
        <w:bidi w:val="0"/>
        <w:spacing w:before="0" w:after="0"/>
        <w:jc w:val="left"/>
        <w:rPr>
          <w:rFonts w:ascii="Times New Roman" w:hAnsi="Times New Roman"/>
          <w:spacing w:val="0"/>
          <w:sz w:val="20"/>
        </w:rPr>
      </w:pPr>
      <w:r>
        <w:rPr>
          <w:rFonts w:ascii="Times New Roman" w:hAnsi="Times New Roman"/>
          <w:spacing w:val="0"/>
          <w:sz w:val="20"/>
        </w:rPr>
        <w:t>by-country</w:t>
      </w:r>
    </w:p>
    <w:p>
      <w:pPr>
        <w:pStyle w:val="TextBody"/>
        <w:bidi w:val="0"/>
        <w:spacing w:before="0" w:after="0"/>
        <w:jc w:val="left"/>
        <w:rPr>
          <w:rFonts w:ascii="Times New Roman" w:hAnsi="Times New Roman"/>
          <w:sz w:val="20"/>
        </w:rPr>
      </w:pPr>
      <w:r>
        <w:rPr>
          <w:rFonts w:ascii="Times New Roman" w:hAnsi="Times New Roman"/>
          <w:sz w:val="20"/>
        </w:rPr>
        <w:t xml:space="preserve">basis upon the later of the expiration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last-to-expire</w:t>
      </w:r>
    </w:p>
    <w:p>
      <w:pPr>
        <w:pStyle w:val="TextBody"/>
        <w:bidi w:val="0"/>
        <w:spacing w:before="0" w:after="0"/>
        <w:jc w:val="left"/>
        <w:rPr>
          <w:rFonts w:ascii="Times New Roman" w:hAnsi="Times New Roman"/>
          <w:sz w:val="20"/>
        </w:rPr>
      </w:pPr>
      <w:r>
        <w:rPr>
          <w:rFonts w:ascii="Times New Roman" w:hAnsi="Times New Roman"/>
          <w:sz w:val="20"/>
        </w:rPr>
        <w:t xml:space="preserve">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Korsana will grant Parasa warrants on each of December 31, 2025 and December 31, 2026,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with no alternative future use. The Paragon ADOA did not qualify as a business combination because substantially all of the fair value of the assets acquired was concentrated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which represent a group of similar identifiable assets. All of the upfront consideration paid by Korsana was allocated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acquired and was immediately expensed as part of research and development expenses on the consolidated statement of operations and comprehensive loss. The research initiation fees represent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cost on a research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w:t>
      </w:r>
    </w:p>
    <w:p>
      <w:pPr>
        <w:pStyle w:val="TextBody"/>
        <w:bidi w:val="0"/>
        <w:spacing w:before="240" w:after="0"/>
        <w:jc w:val="left"/>
        <w:rPr>
          <w:rFonts w:ascii="Times New Roman" w:hAnsi="Times New Roman"/>
          <w:sz w:val="20"/>
        </w:rPr>
      </w:pPr>
      <w:r>
        <w:rPr>
          <w:rFonts w:ascii="Times New Roman" w:hAnsi="Times New Roman"/>
          <w:sz w:val="20"/>
        </w:rPr>
        <w:t xml:space="preserve">research program basis for accessing research services or resources with benefits that are expected to be consumed in the near term, therefore the amounts paid are expensed as part of research and development costs immediately. Amounts paid as reimbursements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on-going</w:t>
      </w:r>
    </w:p>
    <w:p>
      <w:pPr>
        <w:pStyle w:val="TextBody"/>
        <w:bidi w:val="0"/>
        <w:spacing w:before="240" w:after="0"/>
        <w:jc w:val="left"/>
        <w:rPr>
          <w:rFonts w:ascii="Times New Roman" w:hAnsi="Times New Roman"/>
          <w:sz w:val="20"/>
        </w:rPr>
      </w:pPr>
      <w:r>
        <w:rPr>
          <w:rFonts w:ascii="Times New Roman" w:hAnsi="Times New Roman"/>
          <w:sz w:val="20"/>
        </w:rPr>
        <w:t xml:space="preserve">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the Company recorded expense of $31.3 million during the year ended December 31, 2025 for amounts owed to Paragon across all Research Programs, including $18.8 million of upfront payments made to cover the cost of development work completed by Paragon prior to the effective date and $2.0 million of Research Initiation Fees. A total of $30.3 million was recognized as research and development expense and $1.0 million was recognized as general and administrative expense in the Company’s consolidated statements of operations and comprehensive loss during the year ended December 31, 2025. An amount of $10.6 million was unpaid by Korsana at December 31, 2025 and is included in related party accrued expenses and other current liabilities within the Company’s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Platform 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w:t>
      </w:r>
    </w:p>
    <w:p>
      <w:pPr>
        <w:pStyle w:val="TextBody"/>
        <w:bidi w:val="0"/>
        <w:spacing w:before="240" w:after="0"/>
        <w:jc w:val="left"/>
        <w:rPr>
          <w:rFonts w:ascii="Times New Roman" w:hAnsi="Times New Roman"/>
          <w:sz w:val="20"/>
        </w:rPr>
      </w:pPr>
      <w:r>
        <w:rPr>
          <w:rFonts w:ascii="Times New Roman" w:hAnsi="Times New Roman"/>
          <w:sz w:val="20"/>
        </w:rPr>
        <w:t>one-time</w:t>
      </w:r>
    </w:p>
    <w:p>
      <w:pPr>
        <w:pStyle w:val="TextBody"/>
        <w:bidi w:val="0"/>
        <w:spacing w:before="240" w:after="0"/>
        <w:jc w:val="left"/>
        <w:rPr>
          <w:rFonts w:ascii="Times New Roman" w:hAnsi="Times New Roman"/>
          <w:sz w:val="20"/>
        </w:rPr>
      </w:pPr>
      <w:r>
        <w:rPr>
          <w:rFonts w:ascii="Times New Roman" w:hAnsi="Times New Roman"/>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$5.0 million for the license option exercise fee. Under any POA License, Korsana would be required to make </w:t>
      </w:r>
    </w:p>
    <w:p>
      <w:pPr>
        <w:pStyle w:val="TextBody"/>
        <w:bidi w:val="0"/>
        <w:spacing w:before="240" w:after="0"/>
        <w:jc w:val="left"/>
        <w:rPr>
          <w:rFonts w:ascii="Times New Roman" w:hAnsi="Times New Roman"/>
          <w:sz w:val="20"/>
        </w:rPr>
      </w:pPr>
      <w:r>
        <w:rPr>
          <w:rFonts w:ascii="Times New Roman" w:hAnsi="Times New Roman"/>
          <w:sz w:val="20"/>
        </w:rPr>
        <w:t>one-time,</w:t>
      </w:r>
    </w:p>
    <w:p>
      <w:pPr>
        <w:pStyle w:val="TextBody"/>
        <w:bidi w:val="0"/>
        <w:spacing w:before="240" w:after="0"/>
        <w:jc w:val="left"/>
        <w:rPr>
          <w:rFonts w:ascii="Times New Roman" w:hAnsi="Times New Roman"/>
          <w:sz w:val="20"/>
        </w:rPr>
      </w:pPr>
      <w:r>
        <w:rPr>
          <w:rFonts w:ascii="Times New Roman" w:hAnsi="Times New Roman"/>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$41.0 million per product, reduced by 50% for independently developed products directed to the same target combination, and tiered royalty payments in the low to </w:t>
      </w:r>
    </w:p>
    <w:p>
      <w:pPr>
        <w:pStyle w:val="TextBody"/>
        <w:bidi w:val="0"/>
        <w:spacing w:before="240" w:after="0"/>
        <w:jc w:val="left"/>
        <w:rPr>
          <w:rFonts w:ascii="Times New Roman" w:hAnsi="Times New Roman"/>
          <w:sz w:val="20"/>
        </w:rPr>
      </w:pPr>
      <w:r>
        <w:rPr>
          <w:rFonts w:ascii="Times New Roman" w:hAnsi="Times New Roman"/>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percentage range based on annual net sales, subject to certain reductions. These payments are intended to fund the research to be performed by Paragon and Parasa under either an Antibody Discovery and Option Agreement or License Agreement. As of December 31, 2025, the Company has not exercised its option and no amounts were expensed related to the Paragon POA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0" w:after="0"/>
        <w:jc w:val="left"/>
        <w:rPr>
          <w:spacing w:val="0"/>
        </w:rPr>
      </w:pPr>
      <w:r>
        <w:rPr>
          <w:spacing w:val="0"/>
        </w:rPr>
        <w:t> </w:t>
      </w:r>
    </w:p>
    <w:tbl>
      <w:tblPr>
        <w:tblW w:w="3190" w:type="dxa"/>
        <w:jc w:val="left"/>
        <w:tblInd w:w="0" w:type="dxa"/>
        <w:tblLayout w:type="fixed"/>
        <w:tblCellMar>
          <w:top w:w="0" w:type="dxa"/>
          <w:left w:w="0" w:type="dxa"/>
          <w:bottom w:w="0" w:type="dxa"/>
          <w:right w:w="0" w:type="dxa"/>
        </w:tblCellMar>
      </w:tblPr>
      <w:tblGrid>
        <w:gridCol w:w="335"/>
        <w:gridCol w:w="2855"/>
      </w:tblGrid>
      <w:tr>
        <w:trPr/>
        <w:tc>
          <w:tcPr>
            <w:tcW w:w="335" w:type="dxa"/>
            <w:tcBorders/>
            <w:vAlign w:val="center"/>
          </w:tcPr>
          <w:p>
            <w:pPr>
              <w:pStyle w:val="TableContents"/>
              <w:bidi w:val="0"/>
              <w:spacing w:before="0" w:after="0"/>
              <w:jc w:val="left"/>
              <w:rPr>
                <w:b/>
                <w:spacing w:val="0"/>
              </w:rPr>
            </w:pPr>
            <w:r>
              <w:rPr>
                <w:b/>
                <w:spacing w:val="0"/>
              </w:rPr>
              <w:t>10.</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basis. Matching contributions to the 401(k) Plan may be made at the discretion of management. For the year ended December 31, 2025 and for the period from November 8, 2024 (inception) to December 31, 2024, the Company has not recorded any expense related to 401(k) Plan match contributions.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and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and 2024, the Company was not a party to any material legal proceedings or claims. </w:t>
      </w:r>
    </w:p>
    <w:p>
      <w:pPr>
        <w:pStyle w:val="TextBody"/>
        <w:bidi w:val="0"/>
        <w:spacing w:before="0" w:after="0"/>
        <w:jc w:val="left"/>
        <w:rPr>
          <w:spacing w:val="0"/>
        </w:rPr>
      </w:pPr>
      <w:r>
        <w:rPr>
          <w:spacing w:val="0"/>
        </w:rPr>
        <w:t> </w:t>
      </w:r>
    </w:p>
    <w:tbl>
      <w:tblPr>
        <w:tblW w:w="2005" w:type="dxa"/>
        <w:jc w:val="left"/>
        <w:tblInd w:w="0" w:type="dxa"/>
        <w:tblLayout w:type="fixed"/>
        <w:tblCellMar>
          <w:top w:w="0" w:type="dxa"/>
          <w:left w:w="0" w:type="dxa"/>
          <w:bottom w:w="0" w:type="dxa"/>
          <w:right w:w="0" w:type="dxa"/>
        </w:tblCellMar>
      </w:tblPr>
      <w:tblGrid>
        <w:gridCol w:w="335"/>
        <w:gridCol w:w="1670"/>
      </w:tblGrid>
      <w:tr>
        <w:trPr/>
        <w:tc>
          <w:tcPr>
            <w:tcW w:w="335" w:type="dxa"/>
            <w:tcBorders/>
            <w:vAlign w:val="center"/>
          </w:tcPr>
          <w:p>
            <w:pPr>
              <w:pStyle w:val="TableContents"/>
              <w:bidi w:val="0"/>
              <w:spacing w:before="0" w:after="0"/>
              <w:jc w:val="left"/>
              <w:rPr>
                <w:b/>
                <w:spacing w:val="0"/>
              </w:rPr>
            </w:pPr>
            <w:r>
              <w:rPr>
                <w:b/>
                <w:spacing w:val="0"/>
              </w:rPr>
              <w:t>11.</w:t>
            </w:r>
          </w:p>
        </w:tc>
        <w:tc>
          <w:tcPr>
            <w:tcW w:w="16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Net Loss per Share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(in thousands, except share and per share amounts): </w:t>
      </w:r>
    </w:p>
    <w:p>
      <w:pPr>
        <w:pStyle w:val="TextBody"/>
        <w:bidi w:val="0"/>
        <w:spacing w:before="0" w:after="0"/>
        <w:jc w:val="left"/>
        <w:rPr>
          <w:spacing w:val="0"/>
        </w:rPr>
      </w:pPr>
      <w:r>
        <w:rPr>
          <w:spacing w:val="0"/>
        </w:rPr>
        <w:t> </w:t>
      </w:r>
    </w:p>
    <w:tbl>
      <w:tblPr>
        <w:tblW w:w="9700" w:type="dxa"/>
        <w:jc w:val="left"/>
        <w:tblInd w:w="0" w:type="dxa"/>
        <w:tblLayout w:type="fixed"/>
        <w:tblCellMar>
          <w:top w:w="0" w:type="dxa"/>
          <w:left w:w="0" w:type="dxa"/>
          <w:bottom w:w="0" w:type="dxa"/>
          <w:right w:w="0" w:type="dxa"/>
        </w:tblCellMar>
      </w:tblPr>
      <w:tblGrid>
        <w:gridCol w:w="5315"/>
        <w:gridCol w:w="120"/>
        <w:gridCol w:w="244"/>
        <w:gridCol w:w="1711"/>
        <w:gridCol w:w="155"/>
        <w:gridCol w:w="120"/>
        <w:gridCol w:w="233"/>
        <w:gridCol w:w="1632"/>
        <w:gridCol w:w="170"/>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6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711" w:type="dxa"/>
            <w:tcBorders/>
            <w:vAlign w:val="center"/>
          </w:tcPr>
          <w:p>
            <w:pPr>
              <w:pStyle w:val="TableContents"/>
              <w:bidi w:val="0"/>
              <w:spacing w:before="0" w:after="283"/>
              <w:jc w:val="right"/>
              <w:rPr/>
            </w:pPr>
            <w:r>
              <w:rPr/>
              <w:t>(35,642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w:t>
            </w:r>
          </w:p>
        </w:tc>
        <w:tc>
          <w:tcPr>
            <w:tcW w:w="1632" w:type="dxa"/>
            <w:tcBorders/>
            <w:vAlign w:val="center"/>
          </w:tcPr>
          <w:p>
            <w:pPr>
              <w:pStyle w:val="TableContents"/>
              <w:bidi w:val="0"/>
              <w:spacing w:before="0" w:after="283"/>
              <w:jc w:val="right"/>
              <w:rPr/>
            </w:pPr>
            <w:r>
              <w:rPr/>
              <w:t>(88</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sz w:val="4"/>
                <w:szCs w:val="4"/>
              </w:rPr>
            </w:pPr>
            <w:r>
              <w:rPr>
                <w:sz w:val="4"/>
                <w:szCs w:val="4"/>
              </w:rPr>
            </w:r>
          </w:p>
        </w:tc>
        <w:tc>
          <w:tcPr>
            <w:tcW w:w="16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2,920,548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right"/>
              <w:rPr/>
            </w:pPr>
            <w:r>
              <w:rPr/>
              <w:t>1,509,434</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1" w:type="dxa"/>
            <w:tcBorders/>
            <w:shd w:fill="CCEEFF" w:val="clear"/>
            <w:vAlign w:val="center"/>
          </w:tcPr>
          <w:p>
            <w:pPr>
              <w:pStyle w:val="TableContents"/>
              <w:bidi w:val="0"/>
              <w:spacing w:before="0" w:after="283"/>
              <w:jc w:val="right"/>
              <w:rPr/>
            </w:pPr>
            <w:r>
              <w:rPr/>
              <w:t>(12.20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632" w:type="dxa"/>
            <w:tcBorders/>
            <w:shd w:fill="CCEEFF" w:val="clear"/>
            <w:vAlign w:val="center"/>
          </w:tcPr>
          <w:p>
            <w:pPr>
              <w:pStyle w:val="TableContents"/>
              <w:bidi w:val="0"/>
              <w:spacing w:before="0" w:after="283"/>
              <w:jc w:val="right"/>
              <w:rPr/>
            </w:pPr>
            <w:r>
              <w:rPr/>
              <w:t>(0.06</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spacing w:val="0"/>
        </w:rPr>
      </w:pPr>
      <w:r>
        <w:rPr>
          <w:spacing w:val="0"/>
        </w:rPr>
        <w:t> </w:t>
      </w:r>
    </w:p>
    <w:tbl>
      <w:tblPr>
        <w:tblW w:w="9075" w:type="dxa"/>
        <w:jc w:val="left"/>
        <w:tblInd w:w="0" w:type="dxa"/>
        <w:tblLayout w:type="fixed"/>
        <w:tblCellMar>
          <w:top w:w="0" w:type="dxa"/>
          <w:left w:w="0" w:type="dxa"/>
          <w:bottom w:w="0" w:type="dxa"/>
          <w:right w:w="0" w:type="dxa"/>
        </w:tblCellMar>
      </w:tblPr>
      <w:tblGrid>
        <w:gridCol w:w="4880"/>
        <w:gridCol w:w="120"/>
        <w:gridCol w:w="91"/>
        <w:gridCol w:w="1864"/>
        <w:gridCol w:w="60"/>
        <w:gridCol w:w="120"/>
        <w:gridCol w:w="96"/>
        <w:gridCol w:w="1769"/>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Year Ended</w:t>
              <w:br/>
              <w:t>December 31,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Period from</w:t>
              <w:br/>
              <w:t>November 8, 2024</w:t>
              <w:br/>
              <w:t>(Inception) to</w:t>
              <w:br/>
              <w:t>December 31,</w:t>
              <w:br/>
              <w:t>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right"/>
              <w:rPr/>
            </w:pPr>
            <w:r>
              <w:rPr/>
              <w:t>8,756,187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3,000,000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warrant to Parasa</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right"/>
              <w:rPr/>
            </w:pPr>
            <w:r>
              <w:rPr/>
              <w:t>1,102,561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864" w:type="dxa"/>
            <w:tcBorders/>
            <w:shd w:fill="CCEEFF" w:val="clear"/>
            <w:vAlign w:val="center"/>
          </w:tcPr>
          <w:p>
            <w:pPr>
              <w:pStyle w:val="TableContents"/>
              <w:bidi w:val="0"/>
              <w:spacing w:before="0" w:after="283"/>
              <w:jc w:val="right"/>
              <w:rPr/>
            </w:pPr>
            <w:r>
              <w:rPr/>
              <w:t>106,358,748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11,000,000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0"/>
              <w:jc w:val="left"/>
              <w:rPr>
                <w:b/>
                <w:spacing w:val="0"/>
              </w:rPr>
            </w:pPr>
            <w:r>
              <w:rPr>
                <w:b/>
                <w:spacing w:val="0"/>
              </w:rPr>
              <w:t>12.</w:t>
            </w:r>
          </w:p>
        </w:tc>
        <w:tc>
          <w:tcPr>
            <w:tcW w:w="24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Fairmount, Venrock, Paragon, and Parasa have been identified as related parties of Korsana and have engaged in material transactions with the Company. The ownership of outstanding shares of stock of Korsana, assuming the conversion of preferred stock into common stock, is as follows: </w:t>
      </w:r>
    </w:p>
    <w:p>
      <w:pPr>
        <w:pStyle w:val="TextBody"/>
        <w:bidi w:val="0"/>
        <w:spacing w:before="0" w:after="0"/>
        <w:jc w:val="left"/>
        <w:rPr>
          <w:spacing w:val="0"/>
        </w:rPr>
      </w:pPr>
      <w:r>
        <w:rPr>
          <w:spacing w:val="0"/>
        </w:rPr>
        <w:t> </w:t>
      </w:r>
    </w:p>
    <w:tbl>
      <w:tblPr>
        <w:tblW w:w="5530" w:type="dxa"/>
        <w:jc w:val="left"/>
        <w:tblInd w:w="0" w:type="dxa"/>
        <w:tblLayout w:type="fixed"/>
        <w:tblCellMar>
          <w:top w:w="0" w:type="dxa"/>
          <w:left w:w="0" w:type="dxa"/>
          <w:bottom w:w="0" w:type="dxa"/>
          <w:right w:w="0" w:type="dxa"/>
        </w:tblCellMar>
      </w:tblPr>
      <w:tblGrid>
        <w:gridCol w:w="875"/>
        <w:gridCol w:w="120"/>
        <w:gridCol w:w="366"/>
        <w:gridCol w:w="1589"/>
        <w:gridCol w:w="275"/>
        <w:gridCol w:w="60"/>
        <w:gridCol w:w="366"/>
        <w:gridCol w:w="1589"/>
        <w:gridCol w:w="290"/>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0"/>
              <w:jc w:val="center"/>
              <w:rPr>
                <w:b/>
                <w:spacing w:val="0"/>
              </w:rPr>
            </w:pPr>
            <w:r>
              <w:rPr>
                <w:b/>
                <w:spacing w:val="0"/>
              </w:rPr>
              <w:t>December 31, 2024</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Fairmount</w:t>
            </w:r>
          </w:p>
        </w:tc>
        <w:tc>
          <w:tcPr>
            <w:tcW w:w="12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31</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Venrock</w:t>
            </w:r>
          </w:p>
        </w:tc>
        <w:tc>
          <w:tcPr>
            <w:tcW w:w="12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Paragon</w:t>
            </w:r>
          </w:p>
        </w:tc>
        <w:tc>
          <w:tcPr>
            <w:tcW w:w="12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589" w:type="dxa"/>
            <w:tcBorders/>
            <w:shd w:fill="CCEEFF" w:val="cle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w:t>
            </w:r>
          </w:p>
        </w:tc>
        <w:tc>
          <w:tcPr>
            <w:tcW w:w="12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pPr>
            <w:r>
              <w:rPr/>
              <w:t>19</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Fairmount currently has two representatives appointed to Korsana’s Board of Directors. Fairmount appointed Paragon’s board of directors and has the contractual right to approve the appointment of any executive officers of Paragon. Parasa is an entity formed by Paragon as a vehicle to hold equity in Korsana in order to share profits with certain employees of Paragon. Additionally, Venrock has two representatives appointed to Korsana’s Board of Directors. The Company entered into significant related party transactions with Fairmount, Paragon and Parasa during 2024 and 2025 related to the issuance of Convertible Preferred Stock to Fairmount (see Note 5), the issuance of RSAs and warrants to Paragon and Parasa (see Note 7), the issuance of RSAs to the Company’s chief executive officer who was a venture partner at Fairmount as of December 31, 2025 (see Note 7), and the Paragon ADOA and Paragon POA (see Note 9) transactions. Other than the issuance of Convertible Preferred Stock in 2024 and 2025 (see Note 5), the Company did not have any other significant related party transactions with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as of December 31, 2025, there were five investors who participated in the Series A convertible preferred stock raise in September 2025 – an investor who owns 9.9%, an investor with two separate funds who collectively owns 9.6%, an investor with two separate funds who collectively owns 7.9%, and two investors who each own 7.4% of outstanding shares of common stock in the Company, assuming the conversion of preferred stock into common stock. Other than the issuance of Convertible Preferred Stock in 2025, the Company did not have any other significant related party transactions with these investors. </w:t>
      </w:r>
    </w:p>
    <w:p>
      <w:pPr>
        <w:pStyle w:val="TextBody"/>
        <w:bidi w:val="0"/>
        <w:spacing w:before="0" w:after="0"/>
        <w:jc w:val="left"/>
        <w:rPr>
          <w:spacing w:val="0"/>
        </w:rPr>
      </w:pPr>
      <w:r>
        <w:rPr>
          <w:spacing w:val="0"/>
        </w:rPr>
        <w:t> </w:t>
      </w:r>
    </w:p>
    <w:tbl>
      <w:tblPr>
        <w:tblW w:w="2035" w:type="dxa"/>
        <w:jc w:val="left"/>
        <w:tblInd w:w="0" w:type="dxa"/>
        <w:tblLayout w:type="fixed"/>
        <w:tblCellMar>
          <w:top w:w="0" w:type="dxa"/>
          <w:left w:w="0" w:type="dxa"/>
          <w:bottom w:w="0" w:type="dxa"/>
          <w:right w:w="0" w:type="dxa"/>
        </w:tblCellMar>
      </w:tblPr>
      <w:tblGrid>
        <w:gridCol w:w="335"/>
        <w:gridCol w:w="1700"/>
      </w:tblGrid>
      <w:tr>
        <w:trPr/>
        <w:tc>
          <w:tcPr>
            <w:tcW w:w="335" w:type="dxa"/>
            <w:tcBorders/>
            <w:vAlign w:val="center"/>
          </w:tcPr>
          <w:p>
            <w:pPr>
              <w:pStyle w:val="TableContents"/>
              <w:bidi w:val="0"/>
              <w:spacing w:before="0" w:after="0"/>
              <w:jc w:val="left"/>
              <w:rPr>
                <w:b/>
                <w:spacing w:val="0"/>
              </w:rPr>
            </w:pPr>
            <w:r>
              <w:rPr>
                <w:b/>
                <w:spacing w:val="0"/>
              </w:rPr>
              <w:t>13.</w:t>
            </w:r>
          </w:p>
        </w:tc>
        <w:tc>
          <w:tcPr>
            <w:tcW w:w="17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Reporting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table below is a summary of the segment loss, including significant segment expenses that are reviewed by the CODM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25"/>
        <w:gridCol w:w="120"/>
        <w:gridCol w:w="395"/>
        <w:gridCol w:w="1965"/>
        <w:gridCol w:w="155"/>
        <w:gridCol w:w="120"/>
        <w:gridCol w:w="770"/>
        <w:gridCol w:w="1845"/>
        <w:gridCol w:w="110"/>
      </w:tblGrid>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0" w:type="dxa"/>
            <w:gridSpan w:val="2"/>
            <w:tcBorders/>
            <w:vAlign w:val="center"/>
          </w:tcPr>
          <w:p>
            <w:pPr>
              <w:pStyle w:val="TableContents"/>
              <w:bidi w:val="0"/>
              <w:spacing w:before="0" w:after="0"/>
              <w:jc w:val="center"/>
              <w:rPr>
                <w:b/>
                <w:spacing w:val="0"/>
              </w:rPr>
            </w:pPr>
            <w:r>
              <w:rPr>
                <w:b/>
                <w:spacing w:val="0"/>
              </w:rPr>
              <w:t>Year Ended December</w:t>
              <w:br/>
              <w:t>31, 2025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5" w:type="dxa"/>
            <w:gridSpan w:val="2"/>
            <w:tcBorders/>
            <w:vAlign w:val="center"/>
          </w:tcPr>
          <w:p>
            <w:pPr>
              <w:pStyle w:val="TableContents"/>
              <w:bidi w:val="0"/>
              <w:spacing w:before="0" w:after="0"/>
              <w:jc w:val="center"/>
              <w:rPr>
                <w:b/>
                <w:spacing w:val="0"/>
              </w:rPr>
            </w:pPr>
            <w:r>
              <w:rPr>
                <w:b/>
                <w:spacing w:val="0"/>
              </w:rPr>
              <w:t>Period from November 8,</w:t>
              <w:br/>
              <w:t>2024 (Inception) to</w:t>
              <w:br/>
              <w:t>December 31, 2024</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84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4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p>
            <w:pPr>
              <w:pStyle w:val="TableContents"/>
              <w:bidi w:val="0"/>
              <w:spacing w:before="0" w:after="0"/>
              <w:jc w:val="left"/>
              <w:rPr>
                <w:rFonts w:ascii="SYMBOL" w:hAnsi="SYMBOL"/>
                <w:spacing w:val="0"/>
                <w:sz w:val="20"/>
              </w:rPr>
            </w:pPr>
            <w:r>
              <w:rPr>
                <w:rFonts w:ascii="SYMBOL" w:hAnsi="SYMBOL"/>
                <w:spacing w:val="0"/>
                <w:sz w:val="20"/>
              </w:rPr>
              <w:t>b</w:t>
            </w:r>
          </w:p>
          <w:p>
            <w:pPr>
              <w:pStyle w:val="TableContents"/>
              <w:bidi w:val="0"/>
              <w:spacing w:before="0" w:after="0"/>
              <w:jc w:val="left"/>
              <w:rPr>
                <w:rFonts w:ascii="Times New Roman" w:hAnsi="Times New Roman"/>
                <w:sz w:val="20"/>
              </w:rPr>
            </w:pPr>
            <w:r>
              <w:rPr>
                <w:rFonts w:ascii="Times New Roman" w:hAnsi="Times New Roman"/>
                <w:sz w:val="20"/>
              </w:rPr>
              <w:t xml:space="preserve">program research and development costs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27,003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pPr>
            <w:r>
              <w:rPr/>
              <w:t>$</w:t>
            </w:r>
          </w:p>
        </w:tc>
        <w:tc>
          <w:tcPr>
            <w:tcW w:w="184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Second undisclosed program 003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4,062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personnel costs (including stock-based compensation)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1,274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personnel costs (including stock-based compensation)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(3)</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1,557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56</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general and administrative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(4)</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3,232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53</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(5)</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0"/>
              <w:jc w:val="right"/>
              <w:rPr/>
            </w:pPr>
            <w:r>
              <w:rPr/>
              <w:t>163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965" w:type="dxa"/>
            <w:tcBorders/>
            <w:vAlign w:val="center"/>
          </w:tcPr>
          <w:p>
            <w:pPr>
              <w:pStyle w:val="TableContents"/>
              <w:bidi w:val="0"/>
              <w:spacing w:before="0" w:after="0"/>
              <w:jc w:val="right"/>
              <w:rPr/>
            </w:pPr>
            <w:r>
              <w:rPr/>
              <w:t>( 1,649</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0"/>
              <w:jc w:val="right"/>
              <w:rPr/>
            </w:pPr>
            <w:r>
              <w:rPr/>
              <w:t>(21</w:t>
            </w:r>
          </w:p>
        </w:tc>
        <w:tc>
          <w:tcPr>
            <w:tcW w:w="110" w:type="dxa"/>
            <w:tcBorders/>
            <w:vAlign w:val="center"/>
          </w:tcPr>
          <w:p>
            <w:pPr>
              <w:pStyle w:val="TableContents"/>
              <w:bidi w:val="0"/>
              <w:spacing w:before="0" w:after="0"/>
              <w:jc w:val="left"/>
              <w:rPr/>
            </w:pPr>
            <w:r>
              <w:rPr/>
              <w:t>)</w:t>
            </w:r>
          </w:p>
        </w:tc>
      </w:tr>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47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0"/>
              <w:jc w:val="left"/>
              <w:rPr/>
            </w:pPr>
            <w:r>
              <w:rPr/>
              <w:t>$</w:t>
            </w:r>
          </w:p>
        </w:tc>
        <w:tc>
          <w:tcPr>
            <w:tcW w:w="1965" w:type="dxa"/>
            <w:tcBorders/>
            <w:shd w:fill="CCEEFF" w:val="clear"/>
            <w:vAlign w:val="center"/>
          </w:tcPr>
          <w:p>
            <w:pPr>
              <w:pStyle w:val="TableContents"/>
              <w:bidi w:val="0"/>
              <w:spacing w:before="0" w:after="0"/>
              <w:jc w:val="right"/>
              <w:rPr/>
            </w:pPr>
            <w:r>
              <w:rPr/>
              <w:t>35,642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0"/>
              <w:jc w:val="left"/>
              <w:rPr/>
            </w:pPr>
            <w:r>
              <w:rPr/>
              <w:t>$</w:t>
            </w:r>
          </w:p>
        </w:tc>
        <w:tc>
          <w:tcPr>
            <w:tcW w:w="1845" w:type="dxa"/>
            <w:tcBorders/>
            <w:shd w:fill="CCEEFF" w:val="clear"/>
            <w:vAlign w:val="center"/>
          </w:tcPr>
          <w:p>
            <w:pPr>
              <w:pStyle w:val="TableContents"/>
              <w:bidi w:val="0"/>
              <w:spacing w:before="0" w:after="0"/>
              <w:jc w:val="right"/>
              <w:rPr/>
            </w:pPr>
            <w:r>
              <w:rPr/>
              <w:t>88</w:t>
            </w:r>
          </w:p>
        </w:tc>
        <w:tc>
          <w:tcPr>
            <w:tcW w:w="110" w:type="dxa"/>
            <w:tcBorders/>
            <w:shd w:fill="CCEEFF" w:val="clear"/>
            <w:vAlign w:val="center"/>
          </w:tcPr>
          <w:p>
            <w:pPr>
              <w:pStyle w:val="TableContents"/>
              <w:bidi w:val="0"/>
              <w:spacing w:before="0" w:after="283"/>
              <w:jc w:val="left"/>
              <w:rPr/>
            </w:pPr>
            <w:r>
              <w:rPr/>
              <w:t> </w:t>
            </w:r>
          </w:p>
        </w:tc>
      </w:tr>
      <w:tr>
        <w:trPr/>
        <w:tc>
          <w:tcPr>
            <w:tcW w:w="4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$26,411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$3,936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$862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w:t>
            </w:r>
          </w:p>
        </w:tc>
        <w:tc>
          <w:tcPr>
            <w:tcW w:w="9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$1,203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$39 for the year ended December 31, 2025 and $0 for the period from November 8, 2024 (inception) to December 31, 2024. </w:t>
            </w:r>
          </w:p>
        </w:tc>
      </w:tr>
    </w:tbl>
    <w:p>
      <w:pPr>
        <w:pStyle w:val="TextBody"/>
        <w:bidi w:val="0"/>
        <w:spacing w:before="0" w:after="0"/>
        <w:jc w:val="left"/>
        <w:rPr>
          <w:spacing w:val="0"/>
        </w:rPr>
      </w:pPr>
      <w:r>
        <w:rPr>
          <w:spacing w:val="0"/>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0"/>
              <w:jc w:val="left"/>
              <w:rPr>
                <w:b/>
                <w:spacing w:val="0"/>
              </w:rPr>
            </w:pPr>
            <w:r>
              <w:rPr>
                <w:b/>
                <w:spacing w:val="0"/>
              </w:rPr>
              <w:t>14.</w:t>
            </w:r>
          </w:p>
        </w:tc>
        <w:tc>
          <w:tcPr>
            <w:tcW w:w="16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events and transactions occurring subsequent to December 31, 2025 through April 17, 2026, the date at which the consolidated financial statements are available to be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March 19, 2026, the Company exercised its ADOA Option with respect to Research Program 002, and is currently negotiating the related License Agreement. The Company made a $5.0 million milestone payment to Paragon in March 2026 related to the nomination of KRSA-028 as the development candidate for Research Program 002.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12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April 3, 2026, the Company entered into an Antibody Oligo Conjugate Research Letter Agreement with Paragon Laboratories, Inc. to initiate a Research Program focused on the development of antibody oligonucleotide conjugates directed to a selected target. The Paragon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At this time, the Company has not exercised either Option related to the Paragon Research Letter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366"/>
        <w:gridCol w:w="60"/>
        <w:gridCol w:w="151"/>
        <w:gridCol w:w="872"/>
        <w:gridCol w:w="155"/>
        <w:gridCol w:w="60"/>
        <w:gridCol w:w="202"/>
        <w:gridCol w:w="1166"/>
        <w:gridCol w:w="173"/>
      </w:tblGrid>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0"/>
              <w:jc w:val="center"/>
              <w:rPr>
                <w:b/>
                <w:spacing w:val="0"/>
              </w:rPr>
            </w:pPr>
            <w:r>
              <w:rPr>
                <w:b/>
                <w:spacing w:val="0"/>
              </w:rPr>
              <w:t>March 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0"/>
              <w:jc w:val="center"/>
              <w:rPr>
                <w:b/>
                <w:spacing w:val="0"/>
              </w:rPr>
            </w:pPr>
            <w:r>
              <w:rPr>
                <w:b/>
                <w:spacing w:val="0"/>
              </w:rPr>
              <w:t>December 31,</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8" w:type="dxa"/>
            <w:gridSpan w:val="2"/>
            <w:tcBorders/>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134,162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154,135</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461</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135,109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154,596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872" w:type="dxa"/>
            <w:tcBorders/>
            <w:vAlign w:val="center"/>
          </w:tcPr>
          <w:p>
            <w:pPr>
              <w:pStyle w:val="TableContents"/>
              <w:bidi w:val="0"/>
              <w:spacing w:before="0" w:after="283"/>
              <w:jc w:val="right"/>
              <w:rPr/>
            </w:pPr>
            <w:r>
              <w:rPr/>
              <w:t>137,698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154,596</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176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expenses and other current liabilities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7,398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12,313</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Warrant liability, related party</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12,489</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 term liabilities:</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Accrued other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538</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9,187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13,027</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Seed (formerly known as Series A) convertible preferred stock, $0.0001 par value; 20,000,000 shares authorized as of March 31, 2026 and December 31, 2025; 20,000,000 shares issued and outstanding as of March 31, 2026 and December 31, 2025; liquidation preference of $25,000 as of March 31, 2026 and December 31, 2025</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24,964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24,964</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A convertible preferred stock, $0.0001 par value; 75,500,000 shares authorized as of March 31, 2026 and December 31, 2025; 75,500,000 shares issued and outstanding as of March 31, 2026 and December 31, 2025; liquidation preference of $151,000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150,573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150,573</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122,363,552 shares authorized as of March 31, 2026 and December 31, 2025; 6,000,000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2,213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1,761</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(49,240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(35,730</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(47,026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(33,968</w:t>
            </w:r>
          </w:p>
        </w:tc>
        <w:tc>
          <w:tcPr>
            <w:tcW w:w="173" w:type="dxa"/>
            <w:tcBorders/>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36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137,698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154,596</w:t>
            </w:r>
          </w:p>
        </w:tc>
        <w:tc>
          <w:tcPr>
            <w:tcW w:w="173" w:type="dxa"/>
            <w:tcBorders/>
            <w:shd w:fill="CCEEFF" w:val="clear"/>
            <w:vAlign w:val="center"/>
          </w:tcPr>
          <w:p>
            <w:pPr>
              <w:pStyle w:val="TableContents"/>
              <w:bidi w:val="0"/>
              <w:spacing w:before="0" w:after="283"/>
              <w:jc w:val="left"/>
              <w:rPr/>
            </w:pPr>
            <w:r>
              <w:rPr/>
              <w:t> </w:t>
            </w:r>
          </w:p>
        </w:tc>
      </w:tr>
      <w:tr>
        <w:trPr/>
        <w:tc>
          <w:tcPr>
            <w:tcW w:w="73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9640" w:type="dxa"/>
        <w:jc w:val="left"/>
        <w:tblInd w:w="0" w:type="dxa"/>
        <w:tblLayout w:type="fixed"/>
        <w:tblCellMar>
          <w:top w:w="0" w:type="dxa"/>
          <w:left w:w="0" w:type="dxa"/>
          <w:bottom w:w="0" w:type="dxa"/>
          <w:right w:w="0" w:type="dxa"/>
        </w:tblCellMar>
      </w:tblPr>
      <w:tblGrid>
        <w:gridCol w:w="305"/>
        <w:gridCol w:w="9335"/>
      </w:tblGrid>
      <w:tr>
        <w:trPr/>
        <w:tc>
          <w:tcPr>
            <w:tcW w:w="305" w:type="dxa"/>
            <w:tcBorders/>
            <w:vAlign w:val="center"/>
          </w:tcPr>
          <w:p>
            <w:pPr>
              <w:pStyle w:val="TableContents"/>
              <w:bidi w:val="0"/>
              <w:spacing w:before="0" w:after="283"/>
              <w:jc w:val="left"/>
              <w:rPr/>
            </w:pPr>
            <w:r>
              <w:rPr/>
              <w:t>(1)</w:t>
            </w:r>
          </w:p>
        </w:tc>
        <w:tc>
          <w:tcPr>
            <w:tcW w:w="93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$3,582 as of March 31, 2026 and $10,565 as of December 31, 2025 (see Note 13). </w:t>
            </w:r>
          </w:p>
        </w:tc>
      </w:tr>
    </w:tbl>
    <w:p>
      <w:pPr>
        <w:pStyle w:val="TextBody"/>
        <w:bidi w:val="0"/>
        <w:spacing w:before="12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9685" w:type="dxa"/>
        <w:jc w:val="left"/>
        <w:tblInd w:w="0" w:type="dxa"/>
        <w:tblLayout w:type="fixed"/>
        <w:tblCellMar>
          <w:top w:w="0" w:type="dxa"/>
          <w:left w:w="0" w:type="dxa"/>
          <w:bottom w:w="0" w:type="dxa"/>
          <w:right w:w="0" w:type="dxa"/>
        </w:tblCellMar>
      </w:tblPr>
      <w:tblGrid>
        <w:gridCol w:w="5960"/>
        <w:gridCol w:w="120"/>
        <w:gridCol w:w="201"/>
        <w:gridCol w:w="1409"/>
        <w:gridCol w:w="155"/>
        <w:gridCol w:w="60"/>
        <w:gridCol w:w="201"/>
        <w:gridCol w:w="1409"/>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2025</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4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14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14,760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143</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(14,760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(143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income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09"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and comprehensive loss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w:t>
            </w:r>
          </w:p>
        </w:tc>
        <w:tc>
          <w:tcPr>
            <w:tcW w:w="1409" w:type="dxa"/>
            <w:tcBorders/>
            <w:vAlign w:val="center"/>
          </w:tcPr>
          <w:p>
            <w:pPr>
              <w:pStyle w:val="TableContents"/>
              <w:bidi w:val="0"/>
              <w:spacing w:before="0" w:after="283"/>
              <w:jc w:val="right"/>
              <w:rPr/>
            </w:pPr>
            <w:r>
              <w:rPr/>
              <w:t>(0.04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5,000,000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right"/>
              <w:rPr/>
            </w:pPr>
            <w:r>
              <w:rPr/>
              <w:t>2,000,000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$8,790 and $23 for the three months ended March 31, 2026 and March 31, 2025, respectively (see Note 13).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96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CONVERTIBLE PREFERRED STOCK AND STOCKHOLDERS’ (DEFICIT)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1110" w:type="dxa"/>
        <w:jc w:val="left"/>
        <w:tblInd w:w="0" w:type="dxa"/>
        <w:tblLayout w:type="fixed"/>
        <w:tblCellMar>
          <w:top w:w="0" w:type="dxa"/>
          <w:left w:w="0" w:type="dxa"/>
          <w:bottom w:w="0" w:type="dxa"/>
          <w:right w:w="0" w:type="dxa"/>
        </w:tblCellMar>
      </w:tblPr>
      <w:tblGrid>
        <w:gridCol w:w="1190"/>
        <w:gridCol w:w="60"/>
        <w:gridCol w:w="60"/>
        <w:gridCol w:w="1100"/>
        <w:gridCol w:w="60"/>
        <w:gridCol w:w="60"/>
        <w:gridCol w:w="140"/>
        <w:gridCol w:w="800"/>
        <w:gridCol w:w="60"/>
        <w:gridCol w:w="60"/>
        <w:gridCol w:w="60"/>
        <w:gridCol w:w="980"/>
        <w:gridCol w:w="60"/>
        <w:gridCol w:w="60"/>
        <w:gridCol w:w="301"/>
        <w:gridCol w:w="559"/>
        <w:gridCol w:w="60"/>
        <w:gridCol w:w="60"/>
        <w:gridCol w:w="313"/>
        <w:gridCol w:w="1252"/>
        <w:gridCol w:w="60"/>
        <w:gridCol w:w="60"/>
        <w:gridCol w:w="214"/>
        <w:gridCol w:w="1156"/>
        <w:gridCol w:w="155"/>
        <w:gridCol w:w="60"/>
        <w:gridCol w:w="303"/>
        <w:gridCol w:w="1637"/>
        <w:gridCol w:w="17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0"/>
              <w:jc w:val="center"/>
              <w:rPr>
                <w:b/>
                <w:spacing w:val="0"/>
              </w:rPr>
            </w:pPr>
            <w:r>
              <w:rPr>
                <w:b/>
                <w:spacing w:val="0"/>
              </w:rPr>
              <w:t>Convertible</w:t>
              <w:br/>
              <w:t>Preferred Stock</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40" w:type="dxa"/>
            <w:gridSpan w:val="2"/>
            <w:vMerge w:val="restart"/>
            <w:tcBorders/>
            <w:vAlign w:val="center"/>
          </w:tcPr>
          <w:p>
            <w:pPr>
              <w:pStyle w:val="TableContents"/>
              <w:bidi w:val="0"/>
              <w:spacing w:before="0" w:after="0"/>
              <w:jc w:val="center"/>
              <w:rPr>
                <w:b/>
                <w:spacing w:val="0"/>
              </w:rPr>
            </w:pPr>
            <w:r>
              <w:rPr>
                <w:b/>
                <w:spacing w:val="0"/>
              </w:rPr>
              <w:t>Total 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 Equity</w:t>
            </w:r>
          </w:p>
        </w:tc>
        <w:tc>
          <w:tcPr>
            <w:tcW w:w="170" w:type="dxa"/>
            <w:vMerge w:val="restart"/>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66</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1,761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(35,730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(33,968</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37" w:type="dxa"/>
            <w:tcBorders/>
            <w:vAlign w:val="center"/>
          </w:tcPr>
          <w:p>
            <w:pPr>
              <w:pStyle w:val="TableContents"/>
              <w:bidi w:val="0"/>
              <w:spacing w:before="0" w:after="283"/>
              <w:jc w:val="right"/>
              <w:rPr/>
            </w:pPr>
            <w:r>
              <w:rPr/>
              <w:t>452</w:t>
            </w:r>
          </w:p>
        </w:tc>
        <w:tc>
          <w:tcPr>
            <w:tcW w:w="17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(13,510</w:t>
            </w:r>
          </w:p>
        </w:tc>
        <w:tc>
          <w:tcPr>
            <w:tcW w:w="17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Balances as of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175,537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2,213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(49,240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637" w:type="dxa"/>
            <w:tcBorders/>
            <w:vAlign w:val="center"/>
          </w:tcPr>
          <w:p>
            <w:pPr>
              <w:pStyle w:val="TableContents"/>
              <w:bidi w:val="0"/>
              <w:spacing w:before="0" w:after="283"/>
              <w:jc w:val="right"/>
              <w:rPr/>
            </w:pPr>
            <w:r>
              <w:rPr/>
              <w:t>(47,026</w:t>
            </w:r>
          </w:p>
        </w:tc>
        <w:tc>
          <w:tcPr>
            <w:tcW w:w="17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9670" w:type="dxa"/>
        <w:jc w:val="left"/>
        <w:tblInd w:w="0" w:type="dxa"/>
        <w:tblLayout w:type="fixed"/>
        <w:tblCellMar>
          <w:top w:w="0" w:type="dxa"/>
          <w:left w:w="0" w:type="dxa"/>
          <w:bottom w:w="0" w:type="dxa"/>
          <w:right w:w="0" w:type="dxa"/>
        </w:tblCellMar>
      </w:tblPr>
      <w:tblGrid>
        <w:gridCol w:w="5945"/>
        <w:gridCol w:w="120"/>
        <w:gridCol w:w="239"/>
        <w:gridCol w:w="1371"/>
        <w:gridCol w:w="155"/>
        <w:gridCol w:w="60"/>
        <w:gridCol w:w="274"/>
        <w:gridCol w:w="1336"/>
        <w:gridCol w:w="170"/>
      </w:tblGrid>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br/>
              <w:t>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br/>
              <w:t>March 31, 2025</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(13,510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660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194</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expenses and other liabilities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(5,965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(19,477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deferred offering costs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decrease in cash, cash equivalents, and restricted cash</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(19,877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beginning of period</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154,135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10,108</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end of period</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134,258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10,067</w:t>
            </w:r>
          </w:p>
        </w:tc>
        <w:tc>
          <w:tcPr>
            <w:tcW w:w="17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offering costs included in accrued expenses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1" w:type="dxa"/>
            <w:tcBorders/>
            <w:vAlign w:val="center"/>
          </w:tcPr>
          <w:p>
            <w:pPr>
              <w:pStyle w:val="TableContents"/>
              <w:bidi w:val="0"/>
              <w:spacing w:before="0" w:after="283"/>
              <w:jc w:val="right"/>
              <w:rPr/>
            </w:pPr>
            <w:r>
              <w:rPr/>
              <w:t>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liability arising from obtaining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1,097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change in related party amount of $(6,983) and $0 for the three months ended March 31, 2026 and March 31, 2025, respectively (see Note 13). </w:t>
            </w:r>
          </w:p>
        </w:tc>
      </w:tr>
    </w:tbl>
    <w:p>
      <w:pPr>
        <w:pStyle w:val="TextBody"/>
        <w:bidi w:val="0"/>
        <w:spacing w:before="0" w:after="0"/>
        <w:jc w:val="left"/>
        <w:rPr>
          <w:spacing w:val="0"/>
        </w:rPr>
      </w:pPr>
      <w:r>
        <w:rPr>
          <w:spacing w:val="0"/>
        </w:rPr>
        <w:t> </w:t>
      </w:r>
    </w:p>
    <w:p>
      <w:pPr>
        <w:pStyle w:val="TextBody"/>
        <w:bidi w:val="0"/>
        <w:spacing w:before="0" w:after="0"/>
        <w:jc w:val="left"/>
        <w:rPr>
          <w:spacing w:val="0"/>
        </w:rPr>
      </w:pPr>
      <w:r>
        <w:rPr>
          <w:spacing w:val="0"/>
        </w:rPr>
        <w:t> </w:t>
      </w:r>
    </w:p>
    <w:p>
      <w:pPr>
        <w:pStyle w:val="TextBody"/>
        <w:bidi w:val="0"/>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the Business and Basis of Presentation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Background and Basis of Presentation </w:t>
      </w:r>
    </w:p>
    <w:p>
      <w:pPr>
        <w:pStyle w:val="TextBody"/>
        <w:bidi w:val="0"/>
        <w:spacing w:before="120" w:after="0"/>
        <w:jc w:val="left"/>
        <w:rPr>
          <w:rFonts w:ascii="Times New Roman" w:hAnsi="Times New Roman"/>
          <w:sz w:val="20"/>
        </w:rPr>
      </w:pPr>
      <w:r>
        <w:rPr>
          <w:rFonts w:ascii="Times New Roman" w:hAnsi="Times New Roman"/>
          <w:sz w:val="20"/>
        </w:rPr>
        <w:t>Korsana Biosciences, Inc. and subsidiary (“Korsana” or the “Company”) is a biotechnology company that was established and incorporated under the laws of the state of Delaware on November 8, 2024. Korsana was founded and launched to research and develop antibody candidates licensed from Paragon Therapeutics, Inc. (“Paragon”), an antibody discovery engine founded by Fairmount Funds Management LLC (“Fairmount”). The Company historically operated as a virtual company and did not maintain a corporate headquarters or other significant facilities. As of March 31, 2026, the Company entered into an operating lease agreement for office space located in Waltham, Massachusetts. Korsana was formed to develop therapies built on Therapeutic Targeting (THETA</w:t>
      </w:r>
    </w:p>
    <w:p>
      <w:pPr>
        <w:pStyle w:val="TextBody"/>
        <w:bidi w:val="0"/>
        <w:spacing w:before="120" w:after="0"/>
        <w:jc w:val="left"/>
        <w:rPr>
          <w:rFonts w:ascii="Times New Roman" w:hAnsi="Times New Roman"/>
          <w:sz w:val="12"/>
        </w:rPr>
      </w:pPr>
      <w:r>
        <w:rPr>
          <w:rFonts w:ascii="Times New Roman" w:hAnsi="Times New Roman"/>
          <w:sz w:val="12"/>
        </w:rPr>
        <w:t>TM</w:t>
      </w:r>
    </w:p>
    <w:p>
      <w:pPr>
        <w:pStyle w:val="TextBody"/>
        <w:bidi w:val="0"/>
        <w:spacing w:before="120" w:after="0"/>
        <w:jc w:val="left"/>
        <w:rPr>
          <w:rFonts w:ascii="Times New Roman" w:hAnsi="Times New Roman"/>
          <w:sz w:val="20"/>
        </w:rPr>
      </w:pPr>
      <w:r>
        <w:rPr>
          <w:rFonts w:ascii="Times New Roman" w:hAnsi="Times New Roman"/>
          <w:sz w:val="20"/>
        </w:rPr>
        <w:t xml:space="preserve">), a next generation blood-brain barrier (BBB) platform, with an initial focus on neurodegenerative disorders, including its lead product candidate,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120" w:after="0"/>
        <w:jc w:val="left"/>
        <w:rPr>
          <w:rFonts w:ascii="Times New Roman" w:hAnsi="Times New Roman"/>
          <w:sz w:val="20"/>
        </w:rPr>
      </w:pPr>
      <w:r>
        <w:rPr>
          <w:rFonts w:ascii="Times New Roman" w:hAnsi="Times New Roman"/>
          <w:sz w:val="20"/>
        </w:rPr>
        <w:t>an anti-amyloid beta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pPr>
      <w:r>
        <w:rPr/>
        <w:t>”</w:t>
      </w:r>
      <w:r>
        <w:rPr>
          <w:rFonts w:ascii="Times New Roman" w:hAnsi="Times New Roman"/>
          <w:sz w:val="20"/>
        </w:rPr>
        <w:t>) antibody that combines the proprietary Therapeutic Targeting (“THETA</w:t>
      </w:r>
    </w:p>
    <w:p>
      <w:pPr>
        <w:pStyle w:val="TextBody"/>
        <w:bidi w:val="0"/>
        <w:spacing w:before="120" w:after="0"/>
        <w:jc w:val="left"/>
        <w:rPr/>
      </w:pPr>
      <w:r>
        <w:rPr/>
        <w:t>™</w:t>
      </w:r>
    </w:p>
    <w:p>
      <w:pPr>
        <w:pStyle w:val="TextBody"/>
        <w:bidi w:val="0"/>
        <w:spacing w:before="120" w:after="0"/>
        <w:jc w:val="left"/>
        <w:rPr/>
      </w:pPr>
      <w:r>
        <w:rPr/>
        <w:t>”</w:t>
      </w:r>
      <w:r>
        <w:rPr>
          <w:rFonts w:ascii="Times New Roman" w:hAnsi="Times New Roman"/>
          <w:sz w:val="20"/>
        </w:rPr>
        <w:t xml:space="preserve">) platform with well-validated aspects from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anti-A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products that have achieved regulatory approval or are in late-stage clinical trials.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risks and uncertainties common to early-stage companies in the biopharmaceutical industry, including, but not limited to, the ability to complete preclinical and clinical trials, the ability to obtain regulatory approval for product candidates, development by competitors of new technological innovations, dependence on key personnel, the ability to attract and retain qualified employees, reliance on third-party organizations, protection of proprietary technology, compliance with government regulations, product liability, uncertainty of market acceptance of products and the ability to raise additional capital to fund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potential product candidates will require approval from the U.S. Federal Food and Drug Administration or comparable foreign authorities prior to the commencement of commercial sales. There can be no assurance that the Company’s potential product candidates will receive all the required approvals. In addition, there can be no assurance that the Company’s potential product candidates, if approved, will be accepted in the marketplace, that any future product candidates can be developed or manufactured at an acceptable cost and with appropriate performance characteristics, or that such product candidates will be successfully marketed, if at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1, 2026, the Company entered into an Agreement and Plan of Merger with Cyclerion Therapeutics Inc. (“Cyclerion”) and Cariboos Merger Sub Corp and Cariboos Merger Sub II, LLC, both wholly owned subsidiaries of Cyclerion, which agreement was subsequently amended on April 17, 2026 (as amended, the “Merger Agreement”), pursuant to which, and subject to the satisfaction or waiver of the conditions set forth in the Merger Agreement, Cariboos Merger Sub Corp will merge with and into Korsana, with Korsana continuing as a wholly owned subsidiary of Cyclerion and the surviving corporation (the “First Merger”). Immediately following the First Merger and as part of the same overall transaction, Korsana will merge with and into Cariboos Merger Sub II, LLC (the “Second Merger” and, together with the First Merger, the “Merger”), with Cariboos Merger Sub II, LLC being the surviving entity of the Second Merger. In connection with the Merger, Cariboos Merger Sub II, LLC will change its corporate name to “Korsana Biopharma Operating Company, LLC” and Cyclerion will change its name to “Korsana Biosciences, Inc.” The combined company will be led by the Company’s management team and will remain focused on discovering and developing novel therapies designed to reduce the burden of neurodegenerative diseases, starting with Alzheimer’s disease.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(i) each then-outstanding share of Korsana common stock (including shares of Korsana common stock issued in connection with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described below) will be automatically converted solely into the right to receive a number of shares of Cyclerion common stock equal to the Exchange Ratio as defined in the Merger Agreement, (ii) each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then-outstanding share of Korsana Series Seed preferred stock will be converted into the right to receive a number of shares of Cyclerion Series B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0" w:after="0"/>
        <w:jc w:val="left"/>
        <w:rPr>
          <w:rFonts w:ascii="Times New Roman" w:hAnsi="Times New Roman"/>
          <w:sz w:val="20"/>
        </w:rPr>
      </w:pPr>
      <w:r>
        <w:rPr>
          <w:rFonts w:ascii="Times New Roman" w:hAnsi="Times New Roman"/>
          <w:sz w:val="20"/>
        </w:rPr>
        <w:t xml:space="preserve">Preferred Stock, which are each convertible into 1,000 shares of Cyclerion common stock, equal to the Exchange Ratio divided by 1,000, (iii) each-then-outstanding share of Korsana Series A preferred stock will be automatically converted into the right to receive to a number of shares of Cyclerion common stock equal to the Exchange Ratio, as well a right to receive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Korsana common stock that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Cyclerion common stock, subject to adjustment as set forth in the form of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(v) each then-outstanding option to purchase Korsana common stock will be assumed by Cyclerion and will be converted into an option to purchase shares of Cyclerion common stock, adjusted for the Exchange Ratio, (vi) each then- outstanding warrant to purchase Korsana common stock will be assumed by Cylcerion and will be converted into a warrant to purchase shares of Cyclerion common stock, subject to adjustment as set forth in the Merger Agreement, (vii) each then-outstanding share of Korsana restricted stock will be assumed by Cyclerion, subject to adjustment as set forth in the Merger Agreement, (viii) each then-outstanding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Korsana common stock will be converted into a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to purchase shares of Cyclerion common stock, subject to adjustment as set forth in the Merger Agreement and the form of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April 1, 2026, Korsana and Cyclerion entered into Subscription Agreements with certain institutional and accredited investors, pursuant to which such investors have agreed, subject to the terms and conditions of such agreements, to purchase immediately prior to the consummation of the Merger, shares of Korsana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at an estimated purchase price of $2.3534 per share and $2.3533 per warrant, for an aggregate purchase price of $380.0 million in a private placement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Shares of the Company’s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shares of the Company’s common stock issued pursuant to the Korsana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shares of Cyclerion common stock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share of Cyclerion common stock in accordance with the Exchange Ratio at the effective time of the close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Cyclerion’s stockholders, (2) approval by the Company’s stockholders, (3) Nasdaq’s approval of the listing application to be submitted in connection with the Merger, and (4) the effectiveness of Cyclerion’s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S-4.</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and accompanying notes have been prepared in accordance with accounting principles generally accepted in the United States of America (“U.S. GAAP”).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audited financial statements. 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 The condensed consolidated financial statements include the financial statements of the Company and its wholly owned subsidiary, Korsana Securities Corporation. All significant intercompany accounts and transactions have been eliminated in the preparation of the accompanying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whether there are certain conditions and events, considered in the aggregate, that raise substantial doubt about the Company’s ability to continue as a going concern within twelve months of the date that the condensed consolidated financial statements are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These efforts require significant amounts of additional capital, adequate personnel, and infrastructure. Even if the Company’s development efforts are successful, it is uncertain when, if ever, the Company will realize significant revenue from product sales. If the Company obtains regulatory approval for any of its potential product candidates and starts to generate revenue, it expects to incur significant expenses related to developing its internal commercialization capability to support product sales, marketing, and distribution. As a result, the Company will need substantial additional funding to support its operations. Until such time as the Company can generate significant revenue from product sales, if ever, the Company expects to finance its operating activities through a combination of equity offerings and debt financings. Adequate funding may not be available to the Company on acceptable terms, or at all. If the Company is unable to obtain additional funding, the Company will assess its capital resources and may be required to delay, reduce the scope of or eliminate some or all of its planned operations, which may have a material adverse effect on the Company’s business, financial condition, results of operations and ability to operate as a going concern. The financial statements do not include any adjustments that may result if the Company is not able to continue as a going concern.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not generated any revenue from product sales or other sources and has incurred significant operating losses and negative cash flows from operations since inception. The Company has incurred net losses of $13.5 million and $0.1 million during the three months ended March 31, 2026 and March 31, 2025, respectively. As of March 31, 2026, the Company had an accumulated deficit of $49.2 million. As of March 31, 2026, the Company had $134.2 million in cash and cash equivalents.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management expects that the existing cash and cash equivalents that were primarily raised from Series Seed and Series A convertible preferred stock financings (see Note 5) will be sufficient to fund the Company’s operating plans for at least twelve months from the date these condensed consolidated financial statements are available to be issued.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Note 2 to its audited financial statements as of and for the year ended December 31, 2025 and as of December 31, 2024 and for the period from November 8, 2024 (inception) to December 31, 2024 and the related notes disclosed elsewhere in this definitive proxy statement/prospectus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S-4.</w:t>
      </w:r>
    </w:p>
    <w:p>
      <w:pPr>
        <w:pStyle w:val="TextBody"/>
        <w:bidi w:val="0"/>
        <w:spacing w:before="120" w:after="0"/>
        <w:jc w:val="left"/>
        <w:rPr>
          <w:rFonts w:ascii="Times New Roman" w:hAnsi="Times New Roman"/>
          <w:sz w:val="20"/>
        </w:rPr>
      </w:pPr>
      <w:r>
        <w:rPr>
          <w:rFonts w:ascii="Times New Roman" w:hAnsi="Times New Roman"/>
          <w:sz w:val="20"/>
        </w:rPr>
        <w:t xml:space="preserve">Since the date of those financial statements, there have been no changes to the Company’s significant accounting policies except as noted below.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represents the Company’s cash, cash equivalents, and restricted cash (in thousands): </w:t>
      </w:r>
    </w:p>
    <w:p>
      <w:pPr>
        <w:pStyle w:val="TextBody"/>
        <w:bidi w:val="0"/>
        <w:spacing w:before="0" w:after="0"/>
        <w:jc w:val="left"/>
        <w:rPr>
          <w:spacing w:val="0"/>
        </w:rPr>
      </w:pPr>
      <w:r>
        <w:rPr>
          <w:spacing w:val="0"/>
        </w:rPr>
        <w:t> </w:t>
      </w:r>
    </w:p>
    <w:tbl>
      <w:tblPr>
        <w:tblW w:w="7500" w:type="dxa"/>
        <w:jc w:val="left"/>
        <w:tblInd w:w="0" w:type="dxa"/>
        <w:tblLayout w:type="fixed"/>
        <w:tblCellMar>
          <w:top w:w="0" w:type="dxa"/>
          <w:left w:w="0" w:type="dxa"/>
          <w:bottom w:w="0" w:type="dxa"/>
          <w:right w:w="0" w:type="dxa"/>
        </w:tblCellMar>
      </w:tblPr>
      <w:tblGrid>
        <w:gridCol w:w="3905"/>
        <w:gridCol w:w="120"/>
        <w:gridCol w:w="239"/>
        <w:gridCol w:w="1371"/>
        <w:gridCol w:w="60"/>
        <w:gridCol w:w="120"/>
        <w:gridCol w:w="274"/>
        <w:gridCol w:w="1336"/>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2025</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134,162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10,067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1" w:type="dxa"/>
            <w:tcBorders/>
            <w:shd w:fill="CCEEFF" w:val="clear"/>
            <w:vAlign w:val="center"/>
          </w:tcPr>
          <w:p>
            <w:pPr>
              <w:pStyle w:val="TableContents"/>
              <w:bidi w:val="0"/>
              <w:spacing w:before="0" w:after="283"/>
              <w:jc w:val="right"/>
              <w:rPr/>
            </w:pPr>
            <w:r>
              <w:rPr/>
              <w:t>134,258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10,067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considers all short-term, highly liquid investments purchased with an original maturity of three months or less at the date of purchase to be cash equivalents. As of March 31, 2026, the Company’s restricted cash relates to a letter of credit for its office lease in Waltham, Massachusetts and is included in other assets in the Company’s condensed consolidated balance sheet. The carrying value of the restricted cash approximates fair value.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stated at cost less accumulated depreciation. Depreciation expense is recognized using the straight-line method over the estimated useful life of each asset as follows: </w:t>
      </w:r>
    </w:p>
    <w:p>
      <w:pPr>
        <w:pStyle w:val="TextBody"/>
        <w:bidi w:val="0"/>
        <w:spacing w:before="0" w:after="0"/>
        <w:ind w:left="0" w:right="0" w:hanging="0"/>
        <w:jc w:val="left"/>
        <w:rPr>
          <w:spacing w:val="0"/>
        </w:rPr>
      </w:pPr>
      <w:r>
        <w:rPr>
          <w:spacing w:val="0"/>
        </w:rPr>
        <w:t> </w:t>
      </w:r>
    </w:p>
    <w:tbl>
      <w:tblPr>
        <w:tblW w:w="7180" w:type="dxa"/>
        <w:jc w:val="left"/>
        <w:tblInd w:w="0" w:type="dxa"/>
        <w:tblLayout w:type="fixed"/>
        <w:tblCellMar>
          <w:top w:w="0" w:type="dxa"/>
          <w:left w:w="0" w:type="dxa"/>
          <w:bottom w:w="0" w:type="dxa"/>
          <w:right w:w="0" w:type="dxa"/>
        </w:tblCellMar>
      </w:tblPr>
      <w:tblGrid>
        <w:gridCol w:w="2075"/>
        <w:gridCol w:w="120"/>
        <w:gridCol w:w="498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center"/>
              <w:rPr>
                <w:b/>
                <w:spacing w:val="0"/>
              </w:rPr>
            </w:pPr>
            <w:r>
              <w:rPr>
                <w:b/>
                <w:spacing w:val="0"/>
              </w:rPr>
              <w:t>Estimated Useful Life (Years)</w:t>
            </w:r>
          </w:p>
        </w:tc>
      </w:tr>
      <w:tr>
        <w:trPr/>
        <w:tc>
          <w:tcPr>
            <w:tcW w:w="20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4985" w:type="dxa"/>
            <w:tcBorders/>
            <w:shd w:fill="CCEEFF" w:val="clear"/>
            <w:vAlign w:val="center"/>
          </w:tcPr>
          <w:p>
            <w:pPr>
              <w:pStyle w:val="TableContents"/>
              <w:bidi w:val="0"/>
              <w:spacing w:before="0" w:after="283"/>
              <w:jc w:val="center"/>
              <w:rPr/>
            </w:pPr>
            <w:r>
              <w:rPr/>
              <w:t>Lesser of the life of the asset or remaining lease term</w:t>
            </w:r>
          </w:p>
        </w:tc>
      </w:tr>
      <w:tr>
        <w:trPr/>
        <w:tc>
          <w:tcPr>
            <w:tcW w:w="20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center"/>
              <w:rPr/>
            </w:pPr>
            <w:r>
              <w:rPr/>
              <w:t>5 years</w:t>
            </w:r>
          </w:p>
        </w:tc>
      </w:tr>
      <w:tr>
        <w:trPr/>
        <w:tc>
          <w:tcPr>
            <w:tcW w:w="20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 software</w:t>
            </w:r>
          </w:p>
        </w:tc>
        <w:tc>
          <w:tcPr>
            <w:tcW w:w="120" w:type="dxa"/>
            <w:tcBorders/>
            <w:shd w:fill="CCEEFF" w:val="clear"/>
            <w:vAlign w:val="center"/>
          </w:tcPr>
          <w:p>
            <w:pPr>
              <w:pStyle w:val="TableContents"/>
              <w:bidi w:val="0"/>
              <w:spacing w:before="0" w:after="283"/>
              <w:jc w:val="left"/>
              <w:rPr/>
            </w:pPr>
            <w:r>
              <w:rPr/>
              <w:t>  </w:t>
            </w:r>
          </w:p>
        </w:tc>
        <w:tc>
          <w:tcPr>
            <w:tcW w:w="4985" w:type="dxa"/>
            <w:tcBorders/>
            <w:shd w:fill="CCEEFF" w:val="clear"/>
            <w:vAlign w:val="center"/>
          </w:tcPr>
          <w:p>
            <w:pPr>
              <w:pStyle w:val="TableContents"/>
              <w:bidi w:val="0"/>
              <w:spacing w:before="0" w:after="283"/>
              <w:jc w:val="center"/>
              <w:rPr/>
            </w:pPr>
            <w:r>
              <w:rPr/>
              <w:t>3 years</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financings as deferred offering costs until such financings are consummated. After the consummation of an equity financing, these costs are recorded as a reduction of the proceeds from the offering, either as a reduction of the carrying value of the common or preferred stock or in stockholders’ deficit as a reduction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generated as a result of the offering. Should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 be abandoned, the deferred offering costs would be expensed immediately as a charge to operating expenses in the statement of operations and comprehensive loss. As of March 31, 2026, deferred offering costs of $1.2 million were recorded as other assets in the condensed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arrangements entered into to determine whether or not it includes a lease. At the lease commencement date, when control of the underlying asset is transferred from the lessor to the Company, the Company classifies a lease as either an operating or finance lease and recognizes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 and a current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lease liability, as applicable, in the balance sheet if the lease has a term greater than one year. Lease terms may include options to extend or terminate the lease when it is reasonably certain that the Company will exercise its option.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the lease commencement date, operating lease liabilities and their corresponding ROU assets are recorded at the present value of future minimum lease payments over the expected remaining lease term.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Company determines the present value of lease payments using the implicit rate, if it is readily determinable, or the incremental borrowing rate for the lease term. As the Company’s leases do not provide an implicit rate, the Company uses its incremental borrowing rate to discount lease payments. The incremental borrowing rate represents an estimated rate of interest that the Company would have to pay to borrow equivalent funds on a collateralized basis at the lease commencement date. For operating leases, lease expense for lease payments is recognized on a straight-line basis over the lease term. For finance leases, lease expense includes amortization expense of the ROU asset recognized on a straight-line basis over the lease term and interest expense recognized on the finance lease liability. In addition, certain adjustments to the ROU asset may be required for items such as lease prepayments, incentives received or initial direct costs. As of March 31, 2026, the Company has one operating lease and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lease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related to operating leases for office space as a single lease component. The Company has elected that costs associated with leases having an initial term of 12 months or less are recognized in the condensed consolidated statement of operations and comprehensive loss on a straight-line basis over the lease term and are not recorded on its condensed consolidated balance sheets. Variable lease expense is recognized as incurred and consists primarily of real estate taxes, utilities, and other office space related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Income Statement-Reporting Comprehensive Income-Expense Disaggregation Disclosures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2024-03”).</w:t>
      </w:r>
    </w:p>
    <w:p>
      <w:pPr>
        <w:pStyle w:val="TextBody"/>
        <w:bidi w:val="0"/>
        <w:spacing w:before="120" w:after="0"/>
        <w:jc w:val="left"/>
        <w:rPr>
          <w:rFonts w:ascii="Times New Roman" w:hAnsi="Times New Roman"/>
          <w:sz w:val="20"/>
        </w:rPr>
      </w:pPr>
      <w:r>
        <w:rPr>
          <w:rFonts w:ascii="Times New Roman" w:hAnsi="Times New Roman"/>
          <w:sz w:val="20"/>
        </w:rPr>
        <w:t xml:space="preserve">The amendments in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require public entities to disclose specified information about certain costs and expenses.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120" w:after="0"/>
        <w:jc w:val="left"/>
        <w:rPr>
          <w:rFonts w:ascii="Times New Roman" w:hAnsi="Times New Roman"/>
          <w:sz w:val="20"/>
        </w:rPr>
      </w:pPr>
      <w:r>
        <w:rPr>
          <w:rFonts w:ascii="Times New Roman" w:hAnsi="Times New Roman"/>
          <w:sz w:val="20"/>
        </w:rPr>
        <w:t xml:space="preserve">is effective for the Company’s annual reporting period beginning after December 15, 2026 and interim reporting periods beginning after December 27, 2027, with early adoption permitted. The Company is currently evaluating the impact of this standard on its condensed consolidated financial statements.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tables present the Company’s fair value hierarchy for financial assets and liabilities measured (in thousands): </w:t>
      </w:r>
    </w:p>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March 31, 2026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130,293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130,293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130,293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130,293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840" w:type="dxa"/>
        <w:jc w:val="left"/>
        <w:tblInd w:w="0" w:type="dxa"/>
        <w:tblLayout w:type="fixed"/>
        <w:tblCellMar>
          <w:top w:w="0" w:type="dxa"/>
          <w:left w:w="0" w:type="dxa"/>
          <w:bottom w:w="0" w:type="dxa"/>
          <w:right w:w="0" w:type="dxa"/>
        </w:tblCellMar>
      </w:tblPr>
      <w:tblGrid>
        <w:gridCol w:w="1715"/>
        <w:gridCol w:w="120"/>
        <w:gridCol w:w="140"/>
        <w:gridCol w:w="800"/>
        <w:gridCol w:w="60"/>
        <w:gridCol w:w="120"/>
        <w:gridCol w:w="264"/>
        <w:gridCol w:w="491"/>
        <w:gridCol w:w="60"/>
        <w:gridCol w:w="120"/>
        <w:gridCol w:w="264"/>
        <w:gridCol w:w="491"/>
        <w:gridCol w:w="60"/>
        <w:gridCol w:w="120"/>
        <w:gridCol w:w="14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0"/>
              <w:jc w:val="center"/>
              <w:rPr>
                <w:b/>
                <w:spacing w:val="0"/>
              </w:rPr>
            </w:pPr>
            <w:r>
              <w:rPr>
                <w:b/>
                <w:spacing w:val="0"/>
              </w:rPr>
              <w:t>December 31, 2025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149,096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149,096</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equivalents consist of money market funds, which were valued by the Company based on quoted market prices, which represent a Level 1 measurement within the fair value hierarchy. There were no transfers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between Level 1, Level 2, or Level 3 during the three months ended March 31, 2026 and the year ended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Accrued Expenses and Other Current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consisted of the following (in thousands): </w:t>
      </w:r>
    </w:p>
    <w:p>
      <w:pPr>
        <w:pStyle w:val="TextBody"/>
        <w:bidi w:val="0"/>
        <w:spacing w:before="0" w:after="0"/>
        <w:jc w:val="left"/>
        <w:rPr>
          <w:spacing w:val="0"/>
        </w:rPr>
      </w:pPr>
      <w:r>
        <w:rPr>
          <w:spacing w:val="0"/>
        </w:rPr>
        <w:t> </w:t>
      </w:r>
    </w:p>
    <w:tbl>
      <w:tblPr>
        <w:tblW w:w="6630" w:type="dxa"/>
        <w:jc w:val="left"/>
        <w:tblInd w:w="0" w:type="dxa"/>
        <w:tblLayout w:type="fixed"/>
        <w:tblCellMar>
          <w:top w:w="0" w:type="dxa"/>
          <w:left w:w="0" w:type="dxa"/>
          <w:bottom w:w="0" w:type="dxa"/>
          <w:right w:w="0" w:type="dxa"/>
        </w:tblCellMar>
      </w:tblPr>
      <w:tblGrid>
        <w:gridCol w:w="3770"/>
        <w:gridCol w:w="120"/>
        <w:gridCol w:w="214"/>
        <w:gridCol w:w="856"/>
        <w:gridCol w:w="60"/>
        <w:gridCol w:w="120"/>
        <w:gridCol w:w="241"/>
        <w:gridCol w:w="1174"/>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research and development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5,082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10,784</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professional and consulting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1,532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827</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employee compensation and benefits</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371</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expenses</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331</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7,398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12,313</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$3,582 as of March 31, 2026 and $10,333 as of December 31, 2025. </w:t>
            </w:r>
          </w:p>
        </w:tc>
      </w:tr>
    </w:tbl>
    <w:tbl>
      <w:tblPr>
        <w:tblW w:w="7915" w:type="dxa"/>
        <w:jc w:val="left"/>
        <w:tblInd w:w="0" w:type="dxa"/>
        <w:tblLayout w:type="fixed"/>
        <w:tblCellMar>
          <w:top w:w="0" w:type="dxa"/>
          <w:left w:w="0" w:type="dxa"/>
          <w:bottom w:w="0" w:type="dxa"/>
          <w:right w:w="0" w:type="dxa"/>
        </w:tblCellMar>
      </w:tblPr>
      <w:tblGrid>
        <w:gridCol w:w="305"/>
        <w:gridCol w:w="7610"/>
      </w:tblGrid>
      <w:tr>
        <w:trPr/>
        <w:tc>
          <w:tcPr>
            <w:tcW w:w="305" w:type="dxa"/>
            <w:tcBorders/>
            <w:vAlign w:val="center"/>
          </w:tcPr>
          <w:p>
            <w:pPr>
              <w:pStyle w:val="TableContents"/>
              <w:bidi w:val="0"/>
              <w:spacing w:before="0" w:after="283"/>
              <w:jc w:val="left"/>
              <w:rPr/>
            </w:pPr>
            <w:r>
              <w:rPr/>
              <w:t>(2)</w:t>
            </w:r>
          </w:p>
        </w:tc>
        <w:tc>
          <w:tcPr>
            <w:tcW w:w="76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 of $0 as of March 31, 2026 and $232 as of December 31, 2025.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2024, the Company issued a total of 8,000,000 shares of the initial Series A Convertible Preferred Stock to Fairmount Healthcare Fund II L.P. (Fairmount Fund II), an affiliate fund of Fairmount, as well as to Venrock Healthcare Capital Partners EG L.P., Venrock Healthcare Capital Partners III, L.P., VHCP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Co-Investment</w:t>
      </w:r>
    </w:p>
    <w:p>
      <w:pPr>
        <w:pStyle w:val="TextBody"/>
        <w:bidi w:val="0"/>
        <w:spacing w:before="120" w:after="0"/>
        <w:jc w:val="left"/>
        <w:rPr>
          <w:rFonts w:ascii="Times New Roman" w:hAnsi="Times New Roman"/>
          <w:sz w:val="20"/>
        </w:rPr>
      </w:pPr>
      <w:r>
        <w:rPr>
          <w:rFonts w:ascii="Times New Roman" w:hAnsi="Times New Roman"/>
          <w:sz w:val="20"/>
        </w:rPr>
        <w:t xml:space="preserve">Holdings III, LLC, Venrock Associates IX, L.P. and Venrock Partners IX, L.P., (collectively known as “Venrock”) at a purchase price of $1.25 per share for gross proceeds of $10.0 million. Of the 8,000,000 shares of initial Series A Convertible Preferred Stock issued, 4,000,000 shares of Series A Convertible Preferred Stock were issued to Fairmount Fund II and 4,000,000 shares of Series A Convertible Preferred Stock were issued to Venrock, both of which are considered related parties (see Note 13).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11, 2025 (the “Additional Closing Date”), the Company issued an additional 12,000,000 shares of the initial Series A Convertible Preferred Stock to Fairmount Fund II and Venrock, at a purchase price of $1.25 per share for gross proceeds of $15.0 million (the “Additional Closing”). Of the 12,000,000 shares of initial Series A Convertible Preferred Stock issued, 6,000,000 shares of Series A Convertible Preferred Stock were issued to Fairmount Fund II and 6,000,000 shares of Series A Convertible Preferred Stock were issued to Venrock. Additionally, the Company and its stockholders decided to seek additional capital funding by authorizing up to 75,500,000 shares of a new series of preferred stock of the Company to be designated as the new “Series A Convertible Preferred Stock”. The Board of Directors amended the Amended and Restated Certificate of Incorporation (“ARCI”) to (i) change the name of the Company to “Korsana Biosciences, Inc.” from “Korsa Biosciences, Inc.”; (ii) reclassify each outstanding share of initial Series A Convertible Preferred Stock into a share of preferred stock of the Company to be designated as “Series Seed Convertible Preferred Stock” (collectively with the new Series A Convertible Preferred Stock, the “Convertible Preferred Stock”), which resulted in the reclassification of 20,000,000 shares of the initial Series A Convertible Preferred Stock issued and outstanding into shares of Series Seed Convertible Preferred Stock; (iii) designate the rights, preferences, privileges, and restrictions of the new Series A Convertible Preferred Stock, and facilitate the issuance and sale of such shares; and (iv) authorize 122,363,552 shares of common stock of the Company, $0.0001 par value per share and 95,500,000 shares of preferred stock of the Company, $0.0001 par value per share, of which 20,000,000 shares will be designated as Series Seed Convertible Preferred Stock and 75,500,000 shares will be designated as Series A Convertible Preferred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September 15, 2025, the Company entered into the new Series A Preferred Stock Purchase Agreement to issue certain investors shares of Series A Convertible Preferred Stock, $0.0001 par value per share, at a purchase price of $2.00 per share. The Company issued 75,500,000 shares of the Series A Convertible Preferred Stock for gross proceeds of $151.0 million. Of the 75,500,000 shares of Series A Convertible Preferred Stock issued, 12,500,000 shares were issued to Fairmount and 12,500,000 shares were issued to Venrock.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holders of the Convertible Preferred Stock have the following rights and preferences: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Convertible Preferred Stock are entitled to vote, together with the holders of the Company’s common stock, on all matters submitted to stockholders for a vote. Each holder of outstanding shares of Convertible Preferred Stock is entitled to the number of votes equal to the number of shares of common stock into which the shares of preferred stock held by such holder are convertible as of the record date for determining stockholders entitled to vote on such matter. A majority vote of the holders of Convertible Preferred Stock is required to liquidate or dissolve the Company, amend the certificate of incorporation or bylaws in a manner that adversely affects the rights of the Convertible Preferred Stock, reclassify common stock or establish another class of capital stock (unless the same ranks junior to the Convertible Preferred Stock with respect to its rights), create shares that would rank senior to or authorize additional shares of Convertible Preferred Stock, declare a dividend or make a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holders of record of the shares of Series Seed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four directors of the Company. The holders of record of the shares of Series A Preferred Stock, voting together exclusively and as a separate class on 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240" w:after="0"/>
        <w:jc w:val="left"/>
        <w:rPr>
          <w:rFonts w:ascii="Times New Roman" w:hAnsi="Times New Roman"/>
          <w:sz w:val="20"/>
        </w:rPr>
      </w:pPr>
      <w:r>
        <w:rPr>
          <w:rFonts w:ascii="Times New Roman" w:hAnsi="Times New Roman"/>
          <w:sz w:val="20"/>
        </w:rPr>
        <w:t xml:space="preserve">to Common Stock basis, shall be entitled to elect one director of the Company. The holders of shares of common stock and any other class or series of voting stock (including Convertible Preferred Stock), exclusively and voting together as a single class, are entitled to elect one director of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Conversion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Convertible Preferred Stock is convertible into common shares at the option of the holder, at any time, and without the payment of additional consideration by the holder. In addition, each share of Convertible Preferred Stock will be automatically converted into shares of common stock at the applicable conversion ratio then in effect upon either (i) the closing of the firm-commitment underwritten public offering of the Company’s common stock or the closing of a reverse merger transaction at which the price is at least $4.00 per share resulting in at least $75.0 million of gross proceeds to the Company, net of the underwriting discounts or commissions, or (ii) the vote or written consent of the holders of a majority of the outstanding shares of Convertible Preferred Stock,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ratio of Convertible Preferred Stock is determined by dividing the original issue price by the conversion price in effect at the time of conversion. The original issue price is $1.25 per share for the Series Seed Convertible Preferred Stock and $2.00 per share for the Series A Convertible Preferred Stock (in each case subject to appropriate adjustment in the event of any stock split, stock dividend, combination or other similar recapitalization and other adjustments as set forth in the Company’s certificate of incorporation, as amended and restated). The conversion price is currently $1.25 per share for the Series Seed Convertible Preferred Stock and $2.00 per share for the Series A Convertible Preferred Stock. As of March 31, 2026, each outstanding share of Convertible Preferred Stock was convertible into common stock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240" w:after="0"/>
        <w:jc w:val="left"/>
        <w:rPr>
          <w:rFonts w:ascii="Times New Roman" w:hAnsi="Times New Roman"/>
          <w:sz w:val="20"/>
        </w:rPr>
      </w:pPr>
      <w:r>
        <w:rPr>
          <w:rFonts w:ascii="Times New Roman" w:hAnsi="Times New Roman"/>
          <w:sz w:val="20"/>
        </w:rPr>
        <w:t xml:space="preserve">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not declare, pay or set aside any dividends on shares of any other class or series of capital stock of the Company (other than dividends on shares of common stock payable in shares of common stock) unless the holders of the Convertible Preferred Stock then outstanding first receive, or simultaneously receive, a dividend on each outstanding share of Convertible Preferred Stock in an amount at least equal to (i) in the case of a dividend being distributed to common stock or any class or series that is convertible into common stock, the equivalent dividend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as-converted</w:t>
      </w:r>
    </w:p>
    <w:p>
      <w:pPr>
        <w:pStyle w:val="TextBody"/>
        <w:bidi w:val="0"/>
        <w:spacing w:before="120" w:after="0"/>
        <w:jc w:val="left"/>
        <w:rPr>
          <w:rFonts w:ascii="Times New Roman" w:hAnsi="Times New Roman"/>
          <w:sz w:val="20"/>
        </w:rPr>
      </w:pPr>
      <w:r>
        <w:rPr>
          <w:rFonts w:ascii="Times New Roman" w:hAnsi="Times New Roman"/>
          <w:sz w:val="20"/>
        </w:rPr>
        <w:t xml:space="preserve">basis or (ii) in the case of a dividend on any class or series that is not convertible into common stock, a dividend equal to a dividend rate on Convertible Preferred Stock calculated based on the respective original issue price of the Series A Convertible Preferred Stock and Series Seed Convertible Preferred Stock. Dividends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March 31, 2026 and March 31, 2025, no dividends had been declared or paid by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event of any voluntary or involuntary liquidation, dissolution or winding up of the Company, or upon the occurrence of a Deemed Liquidation Event (as defined below), the holders of shares of Convertible Preferred Stock then outstanding are entitled to be paid out of the assets or funds of the Company available for distribution to stockholders before any payment is made to the holders of common stock. The holders of Convertible Preferred Stock are entitled to an amount equal to the greater of (i) the applicable original issue price per share of the Convertible Preferred Stock, plus any declared but unpaid dividends thereon, or (ii) the amount per share that would have been payable had all shares of Convertible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full amount to which they are entitled, then the holders of shares of Convertible Preferred Stock in preference to any distributions to common stock will share rateably in any distribution of the assets or funds available for distribution in proportion to the respective amounts which would otherwise be payable if it were paid in full.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Unless the holders of a majority in voting power of the then outstanding shares of Convertible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Convertible Preferred Stock does not have redemption rights, except for the contingent redemption upon the occurrence of a Deemed Liquidation Event.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March 31, 2026 and December 31, 2025, the Company has the authority to issue a total of 122,363,552 shares of common stock, respectively, at a par value of $0.0001 per share. As of March 31, 2026 and December 31, 2025, the Company had 6,000,000 shares of common stock issued and outstanding in connection with restricted stock awards (“RSAs”), respectively. Unvested RSAs are considered legally issued and outstanding shares of common stock. Each share of common stock entitles the holder to one vote, together with the holders of Convertible Preferred Stock, on all matters submitted to the stockholders for a vote. The holders of common stock are entitled to receive dividends, if any, as declared by the Company’s Board of Directors, subject to the dividend rights of the holders of Convertible Preferred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As of March 31, 2026 and December 31, 2025, the Company had common stock reserved for future issuance as follows: </w:t>
      </w:r>
    </w:p>
    <w:p>
      <w:pPr>
        <w:pStyle w:val="TextBody"/>
        <w:bidi w:val="0"/>
        <w:spacing w:before="0" w:after="0"/>
        <w:jc w:val="left"/>
        <w:rPr>
          <w:spacing w:val="0"/>
        </w:rPr>
      </w:pPr>
      <w:r>
        <w:rPr>
          <w:spacing w:val="0"/>
        </w:rPr>
        <w:t> </w:t>
      </w:r>
    </w:p>
    <w:tbl>
      <w:tblPr>
        <w:tblW w:w="9420" w:type="dxa"/>
        <w:jc w:val="left"/>
        <w:tblInd w:w="0" w:type="dxa"/>
        <w:tblLayout w:type="fixed"/>
        <w:tblCellMar>
          <w:top w:w="0" w:type="dxa"/>
          <w:left w:w="0" w:type="dxa"/>
          <w:bottom w:w="0" w:type="dxa"/>
          <w:right w:w="0" w:type="dxa"/>
        </w:tblCellMar>
      </w:tblPr>
      <w:tblGrid>
        <w:gridCol w:w="6350"/>
        <w:gridCol w:w="120"/>
        <w:gridCol w:w="60"/>
        <w:gridCol w:w="1220"/>
        <w:gridCol w:w="60"/>
        <w:gridCol w:w="120"/>
        <w:gridCol w:w="66"/>
        <w:gridCol w:w="1349"/>
        <w:gridCol w:w="75"/>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March 31,</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Seed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20,000,000</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conversion of Company Series A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75,500,000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75,500,000</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upon exercise of warrants under the Parasa Warrant Obligation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1,102,561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1,102,561</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8,756,187</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shares of common stock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108,046,859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105,358,748</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Stock-Based Compensation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2025 Equity Incentive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11, 2025, the Board of Directors approved the 2025 Equity Incentive Plan (the “2025 Plan”), under which the Company may grant stock options, restricted stock awards, restricted stock units, or other stock-based awards to employees, officers, directors, consultants, and advisors. The 2025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under the 2025 Plan generally vest over four years, subject to the participant’s continued service, and expire after ten years. Upon adoption, the 2025 Plan authorized 20,584,336 shares of common stock reserved for issuance under the plan. As of March 31, 2026, the total number of shares of common stock reserved for issuance under the 2025 Plan was 20,584,336 shares, with 8,140,038 shares of common stock available for future grants.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 Valuation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fair value of each stock option grant is estimated on the grant date using the Black-Scholes option-pricing model. The Company is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stock options with service-based vesting conditions, the expected term of the Company’s stock options has been determined utilizing the “simplified” method for awards that qualify as “plain-vanilla” stock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stock and does not expect to pay any cash dividends in the foreseeable future.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weighted-average assumptions used in calculating the fair value of the awards during the three months ended March 31, 2026: </w:t>
      </w:r>
    </w:p>
    <w:p>
      <w:pPr>
        <w:pStyle w:val="TextBody"/>
        <w:bidi w:val="0"/>
        <w:spacing w:before="0" w:after="0"/>
        <w:jc w:val="left"/>
        <w:rPr>
          <w:spacing w:val="0"/>
        </w:rPr>
      </w:pPr>
      <w:r>
        <w:rPr>
          <w:spacing w:val="0"/>
        </w:rPr>
        <w:t> </w:t>
      </w:r>
    </w:p>
    <w:tbl>
      <w:tblPr>
        <w:tblW w:w="4620" w:type="dxa"/>
        <w:jc w:val="left"/>
        <w:tblInd w:w="0" w:type="dxa"/>
        <w:tblLayout w:type="fixed"/>
        <w:tblCellMar>
          <w:top w:w="0" w:type="dxa"/>
          <w:left w:w="0" w:type="dxa"/>
          <w:bottom w:w="0" w:type="dxa"/>
          <w:right w:w="0" w:type="dxa"/>
        </w:tblCellMar>
      </w:tblPr>
      <w:tblGrid>
        <w:gridCol w:w="2000"/>
        <w:gridCol w:w="120"/>
        <w:gridCol w:w="265"/>
        <w:gridCol w:w="1945"/>
        <w:gridCol w:w="290"/>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(in years)</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86.9</w:t>
            </w:r>
          </w:p>
        </w:tc>
        <w:tc>
          <w:tcPr>
            <w:tcW w:w="29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45" w:type="dxa"/>
            <w:tcBorders/>
            <w:shd w:fill="CCEEFF" w:val="clear"/>
            <w:vAlign w:val="center"/>
          </w:tcPr>
          <w:p>
            <w:pPr>
              <w:pStyle w:val="TableContents"/>
              <w:bidi w:val="0"/>
              <w:spacing w:before="0" w:after="283"/>
              <w:jc w:val="right"/>
              <w:rPr/>
            </w:pPr>
            <w:r>
              <w:rPr/>
              <w:t>3.8</w:t>
            </w:r>
          </w:p>
        </w:tc>
        <w:tc>
          <w:tcPr>
            <w:tcW w:w="290"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94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stock option activity for the three months ended March 31, 2026: </w:t>
      </w:r>
    </w:p>
    <w:p>
      <w:pPr>
        <w:pStyle w:val="TextBody"/>
        <w:bidi w:val="0"/>
        <w:spacing w:before="0" w:after="0"/>
        <w:jc w:val="left"/>
        <w:rPr>
          <w:spacing w:val="0"/>
        </w:rPr>
      </w:pPr>
      <w:r>
        <w:rPr>
          <w:spacing w:val="0"/>
        </w:rPr>
        <w:t> </w:t>
      </w:r>
    </w:p>
    <w:tbl>
      <w:tblPr>
        <w:tblW w:w="10179" w:type="dxa"/>
        <w:jc w:val="left"/>
        <w:tblInd w:w="0" w:type="dxa"/>
        <w:tblLayout w:type="fixed"/>
        <w:tblCellMar>
          <w:top w:w="0" w:type="dxa"/>
          <w:left w:w="0" w:type="dxa"/>
          <w:bottom w:w="0" w:type="dxa"/>
          <w:right w:w="0" w:type="dxa"/>
        </w:tblCellMar>
      </w:tblPr>
      <w:tblGrid>
        <w:gridCol w:w="3755"/>
        <w:gridCol w:w="60"/>
        <w:gridCol w:w="60"/>
        <w:gridCol w:w="1100"/>
        <w:gridCol w:w="60"/>
        <w:gridCol w:w="60"/>
        <w:gridCol w:w="461"/>
        <w:gridCol w:w="1449"/>
        <w:gridCol w:w="60"/>
        <w:gridCol w:w="60"/>
        <w:gridCol w:w="220"/>
        <w:gridCol w:w="1179"/>
        <w:gridCol w:w="60"/>
        <w:gridCol w:w="60"/>
        <w:gridCol w:w="292"/>
        <w:gridCol w:w="1168"/>
        <w:gridCol w:w="7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Aggregate</w:t>
              <w:br/>
              <w:t>Intrinsic</w:t>
              <w:br/>
              <w:t>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8,756,187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2,688,111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11,444,298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6,294</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 and expected to vest,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w:t>
            </w:r>
          </w:p>
        </w:tc>
        <w:tc>
          <w:tcPr>
            <w:tcW w:w="1449"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6,294</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 average grant-date fair value of stock options granted during the three months ended March 31, 2026 was $0.64. The aggregate intrinsic value of stock options is calculated as the difference between the exercise price of the stock options and the fair value of the Company’s common stock for those stock options that had an exercise price lower than the fair value of the Company’s common stock. There were no stock options granted during the three months ended March 31,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November 8, 2024, the Company’s Board of Directors approved the Restricted Stock Notice and Restricted Stock Purchase Agreement, under which Korsana issued and sold 5,000,000 RSAs to Paragon at a price of $0.02 per share. Paragon subsequently contributed 2,500,000 RSAs to Parasa Holding LLC (“Parasa”), an entity formed by Paragon as a vehicle to hold equity in the Company. The RSAs have performance-based vesting conditions only, which include a performance condition related to achieving a specified amount of Series A convertible preferred stock financing. The Company considers the probability of achieving the relevant performance condition and recognizes expense when the Company concludes it is probable that the performance condition will be achieved.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November 21, 2024, the Company raised gross proceeds of $10.0 million in connection with the initial Series A Convertible Preferred Stock financing (see Note 5). Upon the initial issuance of Series A Convertible Preferred Stock to Fairmount and Venrock, 40% of the RSAs became vested under the performance condition and the Company recognized stock-based compensation expense associated with these RSAs.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On September 11, 2025, the Company raised gross proceeds of $15.0 million in connection with the Series A Convertible Preferred Stock Additional Closing (see Note 5). Upon the additional issuance of the initial Series A Convertible Preferred Stock to Fairmount and Venrock, 100% of the RSAs became vested under the performance condition and the Company recognized stock-based compensation expense associated with these RSAs.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October 27, 2025, the Company issued and sold 1,000,000 RSAs to the Company’s chief executive officer, a venture partner at Fairmount, in exchange for executive services and such issuance was determined to be a related party transaction (see Note 13). The RSAs issued and sold to the Company’s chief executive officer have service-based vesting conditions and vest over a four-year period, during which time all unvested shares are subject to forfeiture and the Company’s repurchase right in the event the holder’s services with the Company voluntarily or involuntarily terminate. The RSAs issued and sold to the Company’s chief executive officer were granted from the 2025 Plan. As these unvested RSAs are similar to early exercises of stock options, cash proceeds received for unvested RSAs issued to the Company’s chief executive officer were initially recorded as a liability and are reclassified to equity as vesting occurs. As of March 31, 2026, $0.4 million and $0.5 million, respectively, was recorded in accrued expenses and other current liabilities and accrued other liabilities, noncurrent on the Company’s condensed consolidated balance sheet related to the unvested RSAs held by the chief executive officer subject to vesting and repurchase rights under the terms of the RSA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RSA activity for the three months ended March 31, 2026: </w:t>
      </w:r>
    </w:p>
    <w:p>
      <w:pPr>
        <w:pStyle w:val="TextBody"/>
        <w:bidi w:val="0"/>
        <w:spacing w:before="0" w:after="0"/>
        <w:jc w:val="left"/>
        <w:rPr>
          <w:spacing w:val="0"/>
        </w:rPr>
      </w:pPr>
      <w:r>
        <w:rPr>
          <w:spacing w:val="0"/>
        </w:rPr>
        <w:t> </w:t>
      </w:r>
    </w:p>
    <w:tbl>
      <w:tblPr>
        <w:tblW w:w="6929" w:type="dxa"/>
        <w:jc w:val="left"/>
        <w:tblInd w:w="0" w:type="dxa"/>
        <w:tblLayout w:type="fixed"/>
        <w:tblCellMar>
          <w:top w:w="0" w:type="dxa"/>
          <w:left w:w="0" w:type="dxa"/>
          <w:bottom w:w="0" w:type="dxa"/>
          <w:right w:w="0" w:type="dxa"/>
        </w:tblCellMar>
      </w:tblPr>
      <w:tblGrid>
        <w:gridCol w:w="3515"/>
        <w:gridCol w:w="120"/>
        <w:gridCol w:w="65"/>
        <w:gridCol w:w="1064"/>
        <w:gridCol w:w="60"/>
        <w:gridCol w:w="120"/>
        <w:gridCol w:w="461"/>
        <w:gridCol w:w="1449"/>
        <w:gridCol w:w="7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jc w:val="center"/>
              <w:rPr>
                <w:b/>
                <w:spacing w:val="0"/>
              </w:rPr>
            </w:pPr>
            <w:r>
              <w:rPr>
                <w:b/>
                <w:spacing w:val="0"/>
              </w:rPr>
              <w:t>Number of</w:t>
              <w:br/>
              <w:t>RSAs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Weighted Average</w:t>
              <w:br/>
              <w:t>Grant Date</w:t>
              <w:br/>
              <w:t>Fair Value</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December 31, 2025</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Vested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Forfeited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44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as of March 31, 2026</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0.57</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months ended March 31, 2026 and March 31, 2025, the Company recorded stock-based compensation expense of less than $0.1 million, respectively, related to the RSAs in the condensed consolidated statements of operations and comprehensive loss as general and administrative and research and development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Parasa Warrant Obligation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Company entered into the Antibody Discovery and Option Agreement (the “Paragon ADOA”) with Paragon and Parasa (see Note 9). Under the terms of the Paragon ADOA, Parasa will be entitled to grants of warrants to purchase a number of shares equal to 1.00% of the then outstanding shares of the Company’s stock, on a fully diluted basis, on December 31, 2025 and December 31, 2026, with an exercise price equal to the fair market value of the underlying shares on the grant date as determined by the Board of Directors (the “Parasa Warrant Obligation”). If the term with respect to all research programs ends prior to the end of a calendar year, the warrant for such calendar year shall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pro-rated</w:t>
      </w:r>
    </w:p>
    <w:p>
      <w:pPr>
        <w:pStyle w:val="TextBody"/>
        <w:bidi w:val="0"/>
        <w:spacing w:before="120" w:after="0"/>
        <w:jc w:val="left"/>
        <w:rPr>
          <w:rFonts w:ascii="Times New Roman" w:hAnsi="Times New Roman"/>
          <w:sz w:val="20"/>
        </w:rPr>
      </w:pPr>
      <w:r>
        <w:rPr>
          <w:rFonts w:ascii="Times New Roman" w:hAnsi="Times New Roman"/>
          <w:sz w:val="20"/>
        </w:rPr>
        <w:t xml:space="preserve">for that calendar year. The grant dates for the issuance of warrants was on December 31, 2025 (the “2025 Parasa Warrant Obligation”) and expected to be on December 31, 2026 (the “2026 Parasa Warrant Obligation”) (if the term with respect to all research programs is still active), respectively, as all terms of the award, including number of shares and exercise price, will be known by all parties on those dates. Parasa’s research and discovery related activities have a service inception date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preceding the grant dates, with the full award being vested as of the grant date with no post-grant date service requirement. Accordingly, the Company records a liability for the warrants expected to be granted to Parasa as the related services are provided, with the value of the liability based on the estimated fair value of the warrants at each interim reporting date. For the three months ended March 31, 2026, $0.2 million was recognized as stock-based compensation expense related to the 2026 Parasa Warrant Obligation expected to be granted to Parasa on December 31, 2026 within research and development expense in the Company’s condensed consolidated statement of operations and comprehensive loss. On December 31, 2025, the fair value of the warrant obligation of $0.8 million was reclassified from accrued expenses to stockholders’ equity on the condensed consolidated balance sheet when the Company settled the 2025 Parasa Warrant Obligation by issuing Parasa a warrant to purchase 1,102,561 shares of Company Common Stock at an exercise price of $0.86 per share. The warrant issued on December 31, 2025 has a term of 10 years, is fully vested, and is exercisable in part or full at any time during the term of the warrant. As of March 31, 2026, the warrant issued under the 2025 Parasa Warrant Obligation is outstanding and unexercised.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assumptions used in calculating the fair value of the 2026 Parasa Warrant Obligation: </w:t>
      </w:r>
    </w:p>
    <w:p>
      <w:pPr>
        <w:pStyle w:val="TextBody"/>
        <w:bidi w:val="0"/>
        <w:spacing w:before="0" w:after="0"/>
        <w:jc w:val="left"/>
        <w:rPr>
          <w:spacing w:val="0"/>
        </w:rPr>
      </w:pPr>
      <w:r>
        <w:rPr>
          <w:spacing w:val="0"/>
        </w:rPr>
        <w:t> </w:t>
      </w:r>
    </w:p>
    <w:tbl>
      <w:tblPr>
        <w:tblW w:w="3810" w:type="dxa"/>
        <w:jc w:val="left"/>
        <w:tblInd w:w="0" w:type="dxa"/>
        <w:tblLayout w:type="fixed"/>
        <w:tblCellMar>
          <w:top w:w="0" w:type="dxa"/>
          <w:left w:w="0" w:type="dxa"/>
          <w:bottom w:w="0" w:type="dxa"/>
          <w:right w:w="0" w:type="dxa"/>
        </w:tblCellMar>
      </w:tblPr>
      <w:tblGrid>
        <w:gridCol w:w="1790"/>
        <w:gridCol w:w="120"/>
        <w:gridCol w:w="193"/>
        <w:gridCol w:w="1417"/>
        <w:gridCol w:w="29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March 31, 2026</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 (years)</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86.9</w:t>
            </w:r>
          </w:p>
        </w:tc>
        <w:tc>
          <w:tcPr>
            <w:tcW w:w="29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the classification of the Company’s stock-based compensation expense in the condensed consolidated statements of operations and comprehensive loss (in thousands): </w:t>
      </w:r>
    </w:p>
    <w:p>
      <w:pPr>
        <w:pStyle w:val="TextBody"/>
        <w:bidi w:val="0"/>
        <w:spacing w:before="0" w:after="0"/>
        <w:jc w:val="left"/>
        <w:rPr>
          <w:spacing w:val="0"/>
        </w:rPr>
      </w:pPr>
      <w:r>
        <w:rPr>
          <w:spacing w:val="0"/>
        </w:rPr>
        <w:t> </w:t>
      </w:r>
    </w:p>
    <w:tbl>
      <w:tblPr>
        <w:tblW w:w="7020" w:type="dxa"/>
        <w:jc w:val="left"/>
        <w:tblInd w:w="0" w:type="dxa"/>
        <w:tblLayout w:type="fixed"/>
        <w:tblCellMar>
          <w:top w:w="0" w:type="dxa"/>
          <w:left w:w="0" w:type="dxa"/>
          <w:bottom w:w="0" w:type="dxa"/>
          <w:right w:w="0" w:type="dxa"/>
        </w:tblCellMar>
      </w:tblPr>
      <w:tblGrid>
        <w:gridCol w:w="2225"/>
        <w:gridCol w:w="120"/>
        <w:gridCol w:w="595"/>
        <w:gridCol w:w="1615"/>
        <w:gridCol w:w="60"/>
        <w:gridCol w:w="120"/>
        <w:gridCol w:w="773"/>
        <w:gridCol w:w="1437"/>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381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total unrecognized compensation cost related to the unvested stock options was $6.3 million, which is expected to be recognized over a weighted average period of approximately 3.9 years. As of March 31, 2026, total unrecognized compensation cost related to the unvested RSAs was $0.4 million, which is expected to be recognized over a weighted average period of approximately 3.2 years. As of March 31, 2026, total unrecognized compensation cost related to the 2026 Parasa Warrant Obligation was $0.6 million, which is expected to be recognized over approximately 0.8 years.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summarizes the award types of the Company’s stock-based compensation expense in the condensed consolidated statements of operations and comprehensive loss (in thousands): </w:t>
      </w:r>
    </w:p>
    <w:p>
      <w:pPr>
        <w:pStyle w:val="TextBody"/>
        <w:bidi w:val="0"/>
        <w:spacing w:before="0" w:after="0"/>
        <w:jc w:val="left"/>
        <w:rPr>
          <w:spacing w:val="0"/>
        </w:rPr>
      </w:pPr>
      <w:r>
        <w:rPr>
          <w:spacing w:val="0"/>
        </w:rPr>
        <w:t> </w:t>
      </w:r>
    </w:p>
    <w:tbl>
      <w:tblPr>
        <w:tblW w:w="6960" w:type="dxa"/>
        <w:jc w:val="left"/>
        <w:tblInd w:w="0" w:type="dxa"/>
        <w:tblLayout w:type="fixed"/>
        <w:tblCellMar>
          <w:top w:w="0" w:type="dxa"/>
          <w:left w:w="0" w:type="dxa"/>
          <w:bottom w:w="0" w:type="dxa"/>
          <w:right w:w="0" w:type="dxa"/>
        </w:tblCellMar>
      </w:tblPr>
      <w:tblGrid>
        <w:gridCol w:w="2165"/>
        <w:gridCol w:w="120"/>
        <w:gridCol w:w="595"/>
        <w:gridCol w:w="1615"/>
        <w:gridCol w:w="60"/>
        <w:gridCol w:w="120"/>
        <w:gridCol w:w="773"/>
        <w:gridCol w:w="1437"/>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RSAs</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w:t>
            </w:r>
          </w:p>
        </w:tc>
        <w:tc>
          <w:tcPr>
            <w:tcW w:w="1615"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w:t>
            </w:r>
          </w:p>
        </w:tc>
        <w:tc>
          <w:tcPr>
            <w:tcW w:w="1437" w:type="dxa"/>
            <w:tcBorders/>
            <w:shd w:fill="CCEEFF" w:val="cle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15"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43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Parasa Warrant Obligation</w:t>
            </w:r>
          </w:p>
        </w:tc>
        <w:tc>
          <w:tcPr>
            <w:tcW w:w="12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There was no income tax provision recorded for the three months ended March 31, 2026 or March 31, 2025 and, therefore, the Company’s effective income tax rate was 0.0% for the three months ended March 31, 2026 and March 31, 2025. The effective income tax rate for the three ended March 31, 2026 differed from the 21% federal statutory rate primarily due to the valuation allowance maintained against the Company’s net deferred tax assets.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9. Paragon Agreements</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Antibody Discovery and Option Agreement </w:t>
      </w:r>
    </w:p>
    <w:p>
      <w:pPr>
        <w:pStyle w:val="TextBody"/>
        <w:bidi w:val="0"/>
        <w:spacing w:before="120" w:after="0"/>
        <w:jc w:val="left"/>
        <w:rPr>
          <w:rFonts w:ascii="Times New Roman" w:hAnsi="Times New Roman"/>
          <w:sz w:val="20"/>
        </w:rPr>
      </w:pPr>
      <w:r>
        <w:rPr>
          <w:rFonts w:ascii="Times New Roman" w:hAnsi="Times New Roman"/>
          <w:sz w:val="20"/>
        </w:rPr>
        <w:t>In September 2025, the Company entered the Paragon ADOA with Paragon and Parasa. Under the Paragon ADOA, Paragon identifies, evaluates, and develops antibodies against one or more mutually agreed therapeutic targets and a mutually agreed brain transit target. The Paragon ADOA covers Research Program 001 and Research Program 002, each targeting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and TfR1 (together the “A</w:t>
      </w:r>
    </w:p>
    <w:p>
      <w:pPr>
        <w:pStyle w:val="TextBody"/>
        <w:bidi w:val="0"/>
        <w:spacing w:before="120" w:after="0"/>
        <w:jc w:val="left"/>
        <w:rPr>
          <w:rFonts w:ascii="SYMBOL" w:hAnsi="SYMBOL"/>
          <w:spacing w:val="0"/>
          <w:sz w:val="20"/>
        </w:rPr>
      </w:pPr>
      <w:r>
        <w:rPr>
          <w:rFonts w:ascii="SYMBOL" w:hAnsi="SYMBOL"/>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 xml:space="preserve">program”), and one undisclosed research program 003, with the ability to add additional programs by mutual agreement. The Company’s lead product candidate, KRSA-028, was developed from program 002. </w:t>
      </w:r>
    </w:p>
    <w:p>
      <w:pPr>
        <w:pStyle w:val="TextBody"/>
        <w:bidi w:val="0"/>
        <w:spacing w:before="240" w:after="0"/>
        <w:jc w:val="left"/>
        <w:rPr>
          <w:rFonts w:ascii="Times New Roman" w:hAnsi="Times New Roman"/>
          <w:sz w:val="20"/>
        </w:rPr>
      </w:pPr>
      <w:r>
        <w:rPr>
          <w:rFonts w:ascii="Times New Roman" w:hAnsi="Times New Roman"/>
          <w:sz w:val="20"/>
        </w:rPr>
        <w:t xml:space="preserve">Under the Paragon ADOA, Korsana has the exclusive option (each, an “ADOA Option”),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Program-by-Program</w:t>
      </w:r>
    </w:p>
    <w:p>
      <w:pPr>
        <w:pStyle w:val="TextBody"/>
        <w:bidi w:val="0"/>
        <w:spacing w:before="240" w:after="0"/>
        <w:jc w:val="left"/>
        <w:rPr>
          <w:rFonts w:ascii="Times New Roman" w:hAnsi="Times New Roman"/>
          <w:sz w:val="20"/>
        </w:rPr>
      </w:pPr>
      <w:r>
        <w:rPr>
          <w:rFonts w:ascii="Times New Roman" w:hAnsi="Times New Roman"/>
          <w:sz w:val="20"/>
        </w:rPr>
        <w:t xml:space="preserve">basis, to enter into a separate agreement with Paragon consistent with a set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pre-negotiated</w:t>
      </w:r>
    </w:p>
    <w:p>
      <w:pPr>
        <w:pStyle w:val="TextBody"/>
        <w:bidi w:val="0"/>
        <w:spacing w:before="240" w:after="0"/>
        <w:jc w:val="left"/>
        <w:rPr>
          <w:rFonts w:ascii="Times New Roman" w:hAnsi="Times New Roman"/>
          <w:sz w:val="20"/>
        </w:rPr>
      </w:pPr>
      <w:r>
        <w:rPr>
          <w:rFonts w:ascii="Times New Roman" w:hAnsi="Times New Roman"/>
          <w:sz w:val="20"/>
        </w:rPr>
        <w:t xml:space="preserve">terms to further develop, manufacture and commercialize the resulting antibody transport vehicle compounds (each, a “License Agreement”). If the Company exercises an ADOA Option and finalizes a related License Agreement, it will be required on a program-by-program and product-by-product basis, to make one-time,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$46.0 million per product upon the achievement of specified clinical development and regulatory milestones, which amount is reduced by 50% for independently developed products directed to the same target combination. Additionally, the Company will be required to make tiered royalty payments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240" w:after="0"/>
        <w:jc w:val="left"/>
        <w:rPr>
          <w:rFonts w:ascii="Times New Roman" w:hAnsi="Times New Roman"/>
          <w:sz w:val="20"/>
        </w:rPr>
      </w:pPr>
      <w:r>
        <w:rPr>
          <w:rFonts w:ascii="Times New Roman" w:hAnsi="Times New Roman"/>
          <w:sz w:val="20"/>
        </w:rPr>
        <w:t xml:space="preserve">single-digits beginning on the first commercial sale of each developed product. From time to time, the Company can choose to add additional targets by mutual agreement with Paragon. On March 19, 2026, the Company exercised its ADOA Option for Research Program 002. The Company made a $5.0 million milestone payment to Paragon in March 2026 related to the nomination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240" w:after="0"/>
        <w:jc w:val="left"/>
        <w:rPr>
          <w:rFonts w:ascii="Times New Roman" w:hAnsi="Times New Roman"/>
          <w:sz w:val="20"/>
        </w:rPr>
      </w:pPr>
      <w:r>
        <w:rPr>
          <w:rFonts w:ascii="Times New Roman" w:hAnsi="Times New Roman"/>
          <w:sz w:val="20"/>
        </w:rPr>
        <w:t>as the development candidate for Research Program 002. On June 8, 2026, the Company entered into a license agreement with respect to the A</w:t>
      </w:r>
    </w:p>
    <w:p>
      <w:pPr>
        <w:pStyle w:val="TextBody"/>
        <w:bidi w:val="0"/>
        <w:spacing w:before="240" w:after="0"/>
        <w:jc w:val="left"/>
        <w:rPr>
          <w:rFonts w:ascii="SYMBOL" w:hAnsi="SYMBOL"/>
          <w:spacing w:val="0"/>
          <w:sz w:val="20"/>
        </w:rPr>
      </w:pPr>
      <w:r>
        <w:rPr>
          <w:rFonts w:ascii="SYMBOL" w:hAnsi="SYMBOL"/>
          <w:spacing w:val="0"/>
          <w:sz w:val="20"/>
        </w:rPr>
        <w:t>b</w:t>
      </w:r>
    </w:p>
    <w:p>
      <w:pPr>
        <w:pStyle w:val="TextBody"/>
        <w:bidi w:val="0"/>
        <w:spacing w:before="240" w:after="0"/>
        <w:jc w:val="left"/>
        <w:rPr>
          <w:rFonts w:ascii="Times New Roman" w:hAnsi="Times New Roman"/>
          <w:sz w:val="20"/>
        </w:rPr>
      </w:pPr>
      <w:r>
        <w:rPr>
          <w:rFonts w:ascii="Times New Roman" w:hAnsi="Times New Roman"/>
          <w:sz w:val="20"/>
        </w:rPr>
        <w:t xml:space="preserve">program (see Note 15).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terms of the Paragon ADOA, Paragon agreed to perform certain research activities to discover, generate, identify, and characterize one or more antibody candidates directed to certain mutually agreed therapeutic targets of interest to Korsana (each, a “Research Program”), and certain administrative activities. The Paragon ADOA requires Korsana, Paragon, and Parasa to develop a research plan for each target that includes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design, modelling, synthesis, evaluation, and other mutually agreed activities (each, a “Research Plan”), which activities may include performing preclinical studies. Korsana is required to pay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0" w:after="0"/>
        <w:jc w:val="left"/>
        <w:rPr>
          <w:rFonts w:ascii="Times New Roman" w:hAnsi="Times New Roman"/>
          <w:sz w:val="20"/>
        </w:rPr>
      </w:pPr>
      <w:r>
        <w:rPr>
          <w:rFonts w:ascii="Times New Roman" w:hAnsi="Times New Roman"/>
          <w:sz w:val="20"/>
        </w:rPr>
        <w:t xml:space="preserve">nonrefundable,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non-creditable</w:t>
      </w:r>
    </w:p>
    <w:p>
      <w:pPr>
        <w:pStyle w:val="TextBody"/>
        <w:bidi w:val="0"/>
        <w:spacing w:before="0" w:after="0"/>
        <w:jc w:val="left"/>
        <w:rPr>
          <w:rFonts w:ascii="Times New Roman" w:hAnsi="Times New Roman"/>
          <w:sz w:val="20"/>
        </w:rPr>
      </w:pPr>
      <w:r>
        <w:rPr>
          <w:rFonts w:ascii="Times New Roman" w:hAnsi="Times New Roman"/>
          <w:sz w:val="20"/>
        </w:rPr>
        <w:t xml:space="preserve">fee of $1.0 million (the “Research Initiation Fee”) within 30 days following finalization of the Research Plan for each such Research Program. Paragon will perform the activities set forth in each Research Plan on the timelines set forth in such Research Plan and in compliance with a mutually agreed budget. Korsana will reimburse Paragon for the costs of performing the development activities set forth in the Research Plan, plus an agreed-upon margin charged by Paragon. Korsana made an upfront payment to Paragon when they entered into the Paragon ADOA to cover the cost of work completed by Paragon for the selected Research Programs prior to the effective date. Each Research Program is overseen and coordinated by a joint development committee consisting of two employees from Korsana and two employees from Paragon, with Korsana and Paragon each having one vote with respect to decisions of the committee. When Paragon and Parasa have produced an antibody against a selected target, and upon the completion of each Research Program, Paragon and Parasa will deliver to Korsana a data package that includes sequence information for all then-existing antibodies and information directed to such target.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the Paragon ADOA shall continue in force on a Research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by-Research</w:t>
      </w:r>
    </w:p>
    <w:p>
      <w:pPr>
        <w:pStyle w:val="TextBody"/>
        <w:bidi w:val="0"/>
        <w:spacing w:before="240" w:after="0"/>
        <w:jc w:val="left"/>
        <w:rPr>
          <w:rFonts w:ascii="Times New Roman" w:hAnsi="Times New Roman"/>
          <w:sz w:val="20"/>
        </w:rPr>
      </w:pPr>
      <w:r>
        <w:rPr>
          <w:rFonts w:ascii="Times New Roman" w:hAnsi="Times New Roman"/>
          <w:sz w:val="20"/>
        </w:rPr>
        <w:t xml:space="preserve">Program basis until the later of: (i) the end of the Option Period for such Research Program, as applicable, if such Option is not exercised by the Company; (ii) if the Company exercises its Option with respect to a Research Program, but the parties are unable to finalize and execute a License Agreement within 30 days, the expiration of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(subject to any mutually agreed extension of such period); and (iii) the expiration of the applicable Research Term (as defined under the Paragon ADOA). The Company may terminate the Paragon ADOA or any Research Program at any time for any or no reason upon 30 days’ prior written notice to Paragon, provided that the Company must pay certain unpaid fees due to Paragon upon such termination, as well as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obligations reasonably incurred by Paragon in connection with its activities under any terminated Research Program. Paragon may terminate the Paragon ADOA or a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Paragon ADOA or any Research Program upon (i) 30 days’ prior written notice of the other party’s material breach that remains uncured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z w:val="20"/>
        </w:rPr>
      </w:pPr>
      <w:r>
        <w:rPr>
          <w:rFonts w:ascii="Times New Roman" w:hAnsi="Times New Roman"/>
          <w:sz w:val="20"/>
        </w:rPr>
        <w:t xml:space="preserve">period and (ii) the other party’s bankruptcy. </w:t>
      </w:r>
    </w:p>
    <w:p>
      <w:pPr>
        <w:pStyle w:val="TextBody"/>
        <w:bidi w:val="0"/>
        <w:spacing w:before="240" w:after="0"/>
        <w:jc w:val="left"/>
        <w:rPr>
          <w:rFonts w:ascii="Times New Roman" w:hAnsi="Times New Roman"/>
          <w:sz w:val="20"/>
        </w:rPr>
      </w:pPr>
      <w:r>
        <w:rPr>
          <w:rFonts w:ascii="Times New Roman" w:hAnsi="Times New Roman"/>
          <w:sz w:val="20"/>
        </w:rPr>
        <w:t xml:space="preserve">Any License Agreement entered into with respect to a given Research Program shall contain the same milestone payment obligations as the Paragon ADOA, provided that any milestone set in the Paragon ADOA that has not yet been achieved and is duplicated in such License Agreement shall no longer be achievable and payable under the terms of the Paragon ADOA and shall only be achievable under the terms of the License Agreement. For the avoidance of doubt, if a milestone is achieved and paid by Korsana pursuant to the Paragon ADOA for a certain Research Program, then there shall be no milestone payment due for the achievement of such milestone under a subsequently executed License Agreement for such Research Program. Further, under a License Agreement, Korsana would also be required to make royalty payments to Paragon in the low single-digit percentage range based on net sales of products, subject to certain reductions. The royalty term will terminate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product-by-product</w:t>
      </w:r>
    </w:p>
    <w:p>
      <w:pPr>
        <w:pStyle w:val="TextBody"/>
        <w:bidi w:val="0"/>
        <w:spacing w:before="240" w:after="0"/>
        <w:jc w:val="left"/>
        <w:rPr>
          <w:rFonts w:ascii="Times New Roman" w:hAnsi="Times New Roman"/>
          <w:sz w:val="20"/>
        </w:rPr>
      </w:pPr>
      <w:r>
        <w:rPr>
          <w:rFonts w:ascii="Times New Roman" w:hAnsi="Times New Roman"/>
          <w:sz w:val="20"/>
        </w:rPr>
        <w:t xml:space="preserve">and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by-country</w:t>
      </w:r>
    </w:p>
    <w:p>
      <w:pPr>
        <w:pStyle w:val="TextBody"/>
        <w:bidi w:val="0"/>
        <w:spacing w:before="240" w:after="0"/>
        <w:jc w:val="left"/>
        <w:rPr>
          <w:rFonts w:ascii="Times New Roman" w:hAnsi="Times New Roman"/>
          <w:sz w:val="20"/>
        </w:rPr>
      </w:pPr>
      <w:r>
        <w:rPr>
          <w:rFonts w:ascii="Times New Roman" w:hAnsi="Times New Roman"/>
          <w:sz w:val="20"/>
        </w:rPr>
        <w:t xml:space="preserve">basis upon the later of the expiration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last-to-expire</w:t>
      </w:r>
    </w:p>
    <w:p>
      <w:pPr>
        <w:pStyle w:val="TextBody"/>
        <w:bidi w:val="0"/>
        <w:spacing w:before="240" w:after="0"/>
        <w:jc w:val="left"/>
        <w:rPr>
          <w:rFonts w:ascii="Times New Roman" w:hAnsi="Times New Roman"/>
          <w:sz w:val="20"/>
        </w:rPr>
      </w:pPr>
      <w:r>
        <w:rPr>
          <w:rFonts w:ascii="Times New Roman" w:hAnsi="Times New Roman"/>
          <w:sz w:val="20"/>
        </w:rPr>
        <w:t xml:space="preserve">valid claim within the relevant patent rights or the twelfth anniversary of the first commercial sale of such product in such country.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Korsana granted on December 31, 2025 and will grant on December 31, 2026, Parasa warrants to purchase a number of shares equal to 1.00% of Korsana’s outstanding capital stock as of the date of the grant on a fully-diluted basis, with an exercise price equal to the fair market value of the underlying shares of Korsana common stock on each respective grant date. Parasa is an entity formed by Paragon as 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vehicle to hold equity in Korsana in order to share profits with certain employees of Paragon and will not perform any substantive role under the Paragon ADOA other than to receive such warrants (see Note 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rights obtained under the Paragon ADOA represent an asset acquisition whereby the underlying assets comprise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with no alternative future use. The Paragon ADOA did not qualify as a business combination because substantially all of the fair value of the assets acquired was concentrated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which represent a group of similar identifiable assets. All of the upfront consideration paid by Korsana was allocated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assets acquired and was immediately expensed as part of research and development expenses on the condensed consolidated statement of operations and comprehensive loss. The research initiation fees represent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cost on a research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program-by</w:t>
      </w:r>
    </w:p>
    <w:p>
      <w:pPr>
        <w:pStyle w:val="TextBody"/>
        <w:bidi w:val="0"/>
        <w:spacing w:before="240" w:after="0"/>
        <w:jc w:val="left"/>
        <w:rPr>
          <w:rFonts w:ascii="Times New Roman" w:hAnsi="Times New Roman"/>
          <w:sz w:val="20"/>
        </w:rPr>
      </w:pPr>
      <w:r>
        <w:rPr>
          <w:rFonts w:ascii="Times New Roman" w:hAnsi="Times New Roman"/>
          <w:sz w:val="20"/>
        </w:rPr>
        <w:t xml:space="preserve">research program basis for accessing research services or resources with benefits that are expected to be consumed in the near term, therefore the amounts paid are expensed as part of research and development costs immediately. Amounts paid as reimbursements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on-going</w:t>
      </w:r>
    </w:p>
    <w:p>
      <w:pPr>
        <w:pStyle w:val="TextBody"/>
        <w:bidi w:val="0"/>
        <w:spacing w:before="240" w:after="0"/>
        <w:jc w:val="left"/>
        <w:rPr>
          <w:rFonts w:ascii="Times New Roman" w:hAnsi="Times New Roman"/>
          <w:sz w:val="20"/>
        </w:rPr>
      </w:pPr>
      <w:r>
        <w:rPr>
          <w:rFonts w:ascii="Times New Roman" w:hAnsi="Times New Roman"/>
          <w:sz w:val="20"/>
        </w:rPr>
        <w:t xml:space="preserve">development costs, monthly development cost fees and additional development expenses incurred by Paragon are recognized as research and development expense when incurred. Amounts paid as reimbursements for administrative activities incurred by Paragon are recognized as general and administrative expense when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Paragon ADOA, the Company recorded total expense of $8.8 million during the three months ended March 31, 2026 for amounts owed to Paragon across all Research Programs, including $3.6 million of research and development work completed by Paragon, $5.0 million for the achievement of a development candidate milestone, and $0.2 million of stock-based compensation expense related to the 2026 Parasa Warrant Obligation. An amount of $3.6 million was unpaid by Korsana at March 31, 2026 and is included in related party accrued expenses and other current liabilities within the Company’s condensed consolidated balance sheet. Further, an amount of $0.2 million related to the 2026 Parasa Warrant Obligation is included in warrant liability, related party within the Company’s condensed consolidated balance sheet.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Paragon Platform Option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2025, the Company entered into the Platform Option Agreement with Paragon and Parasa (the “Paragon POA”) in connection with the Paragon ADOA. Pursuant to the Paragon POA, the Company will have an exclusive option to enter into either a separate Antibody Discovery and Option Agreement or a separate License Agreement with Paragon and Parasa, enabling the Company with the right to add, remove, or replace specific target combinations and further develop, manufacture and commercialize the resulting antibody transport vehicle compounds. </w:t>
      </w:r>
    </w:p>
    <w:p>
      <w:pPr>
        <w:pStyle w:val="TextBody"/>
        <w:bidi w:val="0"/>
        <w:spacing w:before="240" w:after="0"/>
        <w:jc w:val="left"/>
        <w:rPr>
          <w:rFonts w:ascii="Times New Roman" w:hAnsi="Times New Roman"/>
          <w:sz w:val="20"/>
        </w:rPr>
      </w:pPr>
      <w:r>
        <w:rPr>
          <w:rFonts w:ascii="Times New Roman" w:hAnsi="Times New Roman"/>
          <w:sz w:val="20"/>
        </w:rPr>
        <w:t xml:space="preserve">Following designation of a target combination, the Company may elect its option to enter into a separate Antibody Discovery and Option Agreement or a separate License Agreement with Paragon and Parasa, the terms of which will be finalized in connection with the option exercise. If the Company elects to enter into a License Agreement (a “POA License”), it will be required to make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payment to Paragon of $5.0 million for the license option exercise fee. Under any POA License, Korsana would be required to make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milestone payments of up to $41.0 million per product, reduced by 50% for independently developed products directed to the same target combination, and tiered royalty payments in the low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mid-single</w:t>
      </w:r>
    </w:p>
    <w:p>
      <w:pPr>
        <w:pStyle w:val="TextBody"/>
        <w:bidi w:val="0"/>
        <w:spacing w:before="240" w:after="0"/>
        <w:jc w:val="left"/>
        <w:rPr>
          <w:rFonts w:ascii="Times New Roman" w:hAnsi="Times New Roman"/>
          <w:sz w:val="20"/>
        </w:rPr>
      </w:pPr>
      <w:r>
        <w:rPr>
          <w:rFonts w:ascii="Times New Roman" w:hAnsi="Times New Roman"/>
          <w:sz w:val="20"/>
        </w:rPr>
        <w:t xml:space="preserve">digit percentage range based on annual net sales, subject to certain reductions. These payments are intended to fund the research to be performed by Paragon and Parasa under either an Antibody Discovery and Option Agreement or License Agreement. As of March 31, 2026, the Company has not exercised its option and no amounts were expensed related to the Paragon POA during the three months ended March 31, 2026.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will also have an exclusive option to designate up to two additional reserved target combinations. If the Company exercises its option, it will be required to make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payment to Paragon of $2.0 million for the additional reserved target option exercise fee. A separate additional reserved target option exercise fee is due and payable to Paragon each time that the Company exercises an additional reserved target option.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March 2026, the Company entered into a noncancelable operating lease agreement for office space located in Waltham, Massachusetts. The lease commenced in March 2026 and is set to expire in October 2030. Rent payment is expected to commence in the fourth quarter of 2026. The Company provided the landlord with a letter of credit for the security deposit in the amount of $0.1 million, which is recorded within restricted cash on the condensed consolidated balance sheet. Lease liabilities are based on the net present value of the remaining lease payments over the remaining lease term. In determining the present value of the lease payments, the Company used it incremental borrowing rate when measuring operating lease liabilities as discount rates were not implicit or readily determinable.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Company had $1.1 million of operating lease ROU assets, short term lease liabilities of $0.2 million and long term lease liabilities of $0.9 million on its condensed consolidated balance sheets. As of March 31, 2026, the operating lease arrangement had a remaining lease term of 4.6 years and an incremental borrowing rate of 9.8%.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March 31, 2026, the total remaining operating lease payments included in the measurement of lease liabilities was as follows (in thousands): </w:t>
      </w:r>
    </w:p>
    <w:p>
      <w:pPr>
        <w:pStyle w:val="TextBody"/>
        <w:bidi w:val="0"/>
        <w:spacing w:before="0" w:after="0"/>
        <w:jc w:val="left"/>
        <w:rPr>
          <w:spacing w:val="0"/>
        </w:rPr>
      </w:pPr>
      <w:r>
        <w:rPr>
          <w:spacing w:val="0"/>
        </w:rPr>
        <w:t> </w:t>
      </w:r>
    </w:p>
    <w:tbl>
      <w:tblPr>
        <w:tblW w:w="5165" w:type="dxa"/>
        <w:jc w:val="left"/>
        <w:tblInd w:w="0" w:type="dxa"/>
        <w:tblLayout w:type="fixed"/>
        <w:tblCellMar>
          <w:top w:w="0" w:type="dxa"/>
          <w:left w:w="0" w:type="dxa"/>
          <w:bottom w:w="0" w:type="dxa"/>
          <w:right w:w="0" w:type="dxa"/>
        </w:tblCellMar>
      </w:tblPr>
      <w:tblGrid>
        <w:gridCol w:w="4175"/>
        <w:gridCol w:w="120"/>
        <w:gridCol w:w="140"/>
        <w:gridCol w:w="560"/>
        <w:gridCol w:w="170"/>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Period ended March 31,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 (remaining 9 months)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384</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393</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402</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342</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lease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1,585</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unearned tenant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(137</w:t>
            </w:r>
          </w:p>
        </w:tc>
        <w:tc>
          <w:tcPr>
            <w:tcW w:w="17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(351</w:t>
            </w:r>
          </w:p>
        </w:tc>
        <w:tc>
          <w:tcPr>
            <w:tcW w:w="17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present value of 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1,097</w:t>
            </w:r>
          </w:p>
        </w:tc>
        <w:tc>
          <w:tcPr>
            <w:tcW w:w="17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Commitments and Contingencies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defined-contribution plan under Section 401(k) of the Internal Revenue Code of 1986 (the “401(k) Plan”). The 401(k) Plan covers all employees who meet defined minimum age and service requirements and allows participants to defer a portion of their annual compensation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120" w:after="0"/>
        <w:jc w:val="left"/>
        <w:rPr>
          <w:rFonts w:ascii="Times New Roman" w:hAnsi="Times New Roman"/>
          <w:sz w:val="20"/>
        </w:rPr>
      </w:pPr>
      <w:r>
        <w:rPr>
          <w:rFonts w:ascii="Times New Roman" w:hAnsi="Times New Roman"/>
          <w:sz w:val="20"/>
        </w:rPr>
        <w:t xml:space="preserve">basis. Employer contributions to the 401(k) Plan may be made at the discretion of management. For the three months ended March 31, 2026 and March 31, 2025, the Company has recorded less than $0.1 million and no expense, respectively, related to 401(k) Plan employer contributions.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Indemnification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each of its directors and executive officers that will require the Company, among other things, to indemnify them against certain liabilities that may arise by reason of their status or service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condensed consolidated financial statements as of March 31,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2026, the Company was not a party to any material legal proceedings or claims.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12.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attributable to common stockholders was calculated as follows (in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220"/>
        <w:gridCol w:w="120"/>
        <w:gridCol w:w="276"/>
        <w:gridCol w:w="1934"/>
        <w:gridCol w:w="155"/>
        <w:gridCol w:w="120"/>
        <w:gridCol w:w="276"/>
        <w:gridCol w:w="1934"/>
        <w:gridCol w:w="170"/>
      </w:tblGrid>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934" w:type="dxa"/>
            <w:tcBorders/>
            <w:vAlign w:val="center"/>
          </w:tcPr>
          <w:p>
            <w:pPr>
              <w:pStyle w:val="TableContents"/>
              <w:bidi w:val="0"/>
              <w:spacing w:before="0" w:after="283"/>
              <w:jc w:val="right"/>
              <w:rPr/>
            </w:pPr>
            <w:r>
              <w:rPr/>
              <w:t>(13,510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934" w:type="dxa"/>
            <w:tcBorders/>
            <w:vAlign w:val="center"/>
          </w:tcPr>
          <w:p>
            <w:pPr>
              <w:pStyle w:val="TableContents"/>
              <w:bidi w:val="0"/>
              <w:spacing w:before="0" w:after="283"/>
              <w:jc w:val="right"/>
              <w:rPr/>
            </w:pPr>
            <w:r>
              <w:rPr/>
              <w:t>(73</w:t>
            </w:r>
          </w:p>
        </w:tc>
        <w:tc>
          <w:tcPr>
            <w:tcW w:w="17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9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934" w:type="dxa"/>
            <w:tcBorders/>
            <w:vAlign w:val="center"/>
          </w:tcPr>
          <w:p>
            <w:pPr>
              <w:pStyle w:val="TableContents"/>
              <w:bidi w:val="0"/>
              <w:spacing w:before="0" w:after="283"/>
              <w:jc w:val="right"/>
              <w:rPr/>
            </w:pPr>
            <w:r>
              <w:rPr/>
              <w:t>5,000,000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1934" w:type="dxa"/>
            <w:tcBorders/>
            <w:vAlign w:val="center"/>
          </w:tcPr>
          <w:p>
            <w:pPr>
              <w:pStyle w:val="TableContents"/>
              <w:bidi w:val="0"/>
              <w:spacing w:before="0" w:after="283"/>
              <w:jc w:val="right"/>
              <w:rPr/>
            </w:pPr>
            <w:r>
              <w:rPr/>
              <w:t>2,000,000</w:t>
            </w:r>
          </w:p>
        </w:tc>
        <w:tc>
          <w:tcPr>
            <w:tcW w:w="17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934" w:type="dxa"/>
            <w:tcBorders/>
            <w:shd w:fill="CCEEFF" w:val="clear"/>
            <w:vAlign w:val="center"/>
          </w:tcPr>
          <w:p>
            <w:pPr>
              <w:pStyle w:val="TableContents"/>
              <w:bidi w:val="0"/>
              <w:spacing w:before="0" w:after="283"/>
              <w:jc w:val="right"/>
              <w:rPr/>
            </w:pPr>
            <w:r>
              <w:rPr/>
              <w:t>(2.70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934"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computation of basic net loss per share attributable to common stockholders, the amount of weighted-average common shares outstanding excludes all shares of unvested restricted common stock as such shares are not considered outstanding for accounting purposes until vested.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potential common shares from the computation of diluted net loss per share attributable to common stockholders for the period presented because including them would have had an anti-dilutive effect: </w:t>
      </w:r>
    </w:p>
    <w:p>
      <w:pPr>
        <w:pStyle w:val="TextBody"/>
        <w:bidi w:val="0"/>
        <w:spacing w:before="0" w:after="0"/>
        <w:jc w:val="left"/>
        <w:rPr>
          <w:spacing w:val="0"/>
        </w:rPr>
      </w:pPr>
      <w:r>
        <w:rPr>
          <w:spacing w:val="0"/>
        </w:rPr>
        <w:t> </w:t>
      </w:r>
    </w:p>
    <w:tbl>
      <w:tblPr>
        <w:tblW w:w="9675" w:type="dxa"/>
        <w:jc w:val="left"/>
        <w:tblInd w:w="0" w:type="dxa"/>
        <w:tblLayout w:type="fixed"/>
        <w:tblCellMar>
          <w:top w:w="0" w:type="dxa"/>
          <w:left w:w="0" w:type="dxa"/>
          <w:bottom w:w="0" w:type="dxa"/>
          <w:right w:w="0" w:type="dxa"/>
        </w:tblCellMar>
      </w:tblPr>
      <w:tblGrid>
        <w:gridCol w:w="4880"/>
        <w:gridCol w:w="120"/>
        <w:gridCol w:w="103"/>
        <w:gridCol w:w="2107"/>
        <w:gridCol w:w="60"/>
        <w:gridCol w:w="120"/>
        <w:gridCol w:w="114"/>
        <w:gridCol w:w="2096"/>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95,500,000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8,000,000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 to purchase common stock</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11,444,298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3,000,000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and issued warrant to Parasa</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1,102,561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109,046,859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6" w:type="dxa"/>
            <w:tcBorders/>
            <w:shd w:fill="CCEEFF" w:val="clear"/>
            <w:vAlign w:val="center"/>
          </w:tcPr>
          <w:p>
            <w:pPr>
              <w:pStyle w:val="TableContents"/>
              <w:bidi w:val="0"/>
              <w:spacing w:before="0" w:after="283"/>
              <w:jc w:val="right"/>
              <w:rPr/>
            </w:pPr>
            <w:r>
              <w:rPr/>
              <w:t>11,000,000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13. Related Party Transactions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Paragon and Parasa have been identified as related parties of Korsana and have engaged in material transactions with the Company for the three months ended March 31, 2026. The Company entered into significant related party transactions with the Paragon ADOA and Paragon POA (see Note 9) transactions.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14. Segment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one reportable segment relating to the research and development of its research programs. The Company’s CODM, its Chief Executive Officer, manages the Company’s operations on a company-wide basis for the allocation of resources and the assessment of performance. The Company’s measure of segment profit or loss used to assess performance and allocate resources is net loss. The CODM uses net loss to evaluate loss generated from the Company’s business activities in deciding how to allocate company resources and in monitoring budget versus actual results. Assets are also managed on a company-wide basis.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table below is a summary of the segment loss, including significant segment expenses that are reviewed by the CODM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280"/>
        <w:gridCol w:w="120"/>
        <w:gridCol w:w="377"/>
        <w:gridCol w:w="1833"/>
        <w:gridCol w:w="155"/>
        <w:gridCol w:w="60"/>
        <w:gridCol w:w="651"/>
        <w:gridCol w:w="1559"/>
        <w:gridCol w:w="170"/>
      </w:tblGrid>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br/>
              <w:t>March 31, 2025</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sz w:val="4"/>
                <w:szCs w:val="4"/>
              </w:rPr>
            </w:pPr>
            <w:r>
              <w:rPr>
                <w:sz w:val="4"/>
                <w:szCs w:val="4"/>
              </w:rPr>
            </w:r>
          </w:p>
        </w:tc>
        <w:tc>
          <w:tcPr>
            <w:tcW w:w="183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sz w:val="4"/>
                <w:szCs w:val="4"/>
              </w:rPr>
            </w:pPr>
            <w:r>
              <w:rPr>
                <w:sz w:val="4"/>
                <w:szCs w:val="4"/>
              </w:rPr>
            </w:r>
          </w:p>
        </w:tc>
        <w:tc>
          <w:tcPr>
            <w:tcW w:w="155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p>
            <w:pPr>
              <w:pStyle w:val="TableContents"/>
              <w:bidi w:val="0"/>
              <w:spacing w:before="0" w:after="0"/>
              <w:jc w:val="left"/>
              <w:rPr>
                <w:rFonts w:ascii="SYMBOL" w:hAnsi="SYMBOL"/>
                <w:spacing w:val="0"/>
                <w:sz w:val="20"/>
              </w:rPr>
            </w:pPr>
            <w:r>
              <w:rPr>
                <w:rFonts w:ascii="SYMBOL" w:hAnsi="SYMBOL"/>
                <w:spacing w:val="0"/>
                <w:sz w:val="20"/>
              </w:rPr>
              <w:t>b</w:t>
            </w:r>
          </w:p>
          <w:p>
            <w:pPr>
              <w:pStyle w:val="TableContents"/>
              <w:bidi w:val="0"/>
              <w:spacing w:before="0" w:after="0"/>
              <w:jc w:val="left"/>
              <w:rPr>
                <w:rFonts w:ascii="Times New Roman" w:hAnsi="Times New Roman"/>
                <w:sz w:val="20"/>
              </w:rPr>
            </w:pPr>
            <w:r>
              <w:rPr>
                <w:rFonts w:ascii="Times New Roman" w:hAnsi="Times New Roman"/>
                <w:sz w:val="20"/>
              </w:rPr>
              <w:t>program research and development costs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w:t>
            </w:r>
          </w:p>
        </w:tc>
        <w:tc>
          <w:tcPr>
            <w:tcW w:w="1833" w:type="dxa"/>
            <w:tcBorders/>
            <w:vAlign w:val="center"/>
          </w:tcPr>
          <w:p>
            <w:pPr>
              <w:pStyle w:val="TableContents"/>
              <w:bidi w:val="0"/>
              <w:spacing w:before="0" w:after="283"/>
              <w:jc w:val="right"/>
              <w:rPr/>
            </w:pPr>
            <w:r>
              <w:rPr/>
              <w:t>8,897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w:t>
            </w:r>
          </w:p>
        </w:tc>
        <w:tc>
          <w:tcPr>
            <w:tcW w:w="155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Second undisclosed program 003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(2)</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1,488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personnel costs (including stock-based compensation)</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personnel costs (including stock-based compensation)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(3)</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956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general and administrative costs</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research and development costs </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(4)</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1833" w:type="dxa"/>
            <w:tcBorders/>
            <w:shd w:fill="CCEEFF" w:val="clear"/>
            <w:vAlign w:val="center"/>
          </w:tcPr>
          <w:p>
            <w:pPr>
              <w:pStyle w:val="TableContents"/>
              <w:bidi w:val="0"/>
              <w:spacing w:before="0" w:after="283"/>
              <w:jc w:val="right"/>
              <w:rPr/>
            </w:pPr>
            <w:r>
              <w:rPr/>
              <w:t>136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833" w:type="dxa"/>
            <w:tcBorders/>
            <w:vAlign w:val="center"/>
          </w:tcPr>
          <w:p>
            <w:pPr>
              <w:pStyle w:val="TableContents"/>
              <w:bidi w:val="0"/>
              <w:spacing w:before="0" w:after="283"/>
              <w:jc w:val="right"/>
              <w:rPr/>
            </w:pPr>
            <w:r>
              <w:rPr/>
              <w:t>(1,250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(70</w:t>
            </w:r>
          </w:p>
        </w:tc>
        <w:tc>
          <w:tcPr>
            <w:tcW w:w="170" w:type="dxa"/>
            <w:tcBorders/>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1833" w:type="dxa"/>
            <w:tcBorders/>
            <w:shd w:fill="CCEEFF" w:val="clear"/>
            <w:vAlign w:val="center"/>
          </w:tcPr>
          <w:p>
            <w:pPr>
              <w:pStyle w:val="TableContents"/>
              <w:bidi w:val="0"/>
              <w:spacing w:before="0" w:after="283"/>
              <w:jc w:val="right"/>
              <w:rPr/>
            </w:pPr>
            <w:r>
              <w:rPr/>
              <w:t>13,510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left"/>
              <w:rPr/>
            </w:pPr>
            <w:r>
              <w:rPr/>
              <w:t>$</w:t>
            </w:r>
          </w:p>
        </w:tc>
        <w:tc>
          <w:tcPr>
            <w:tcW w:w="1559"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5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$7,080 and $0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$1,488 and $0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$208 and $23 for the three months ended March 31, 2026 and March 31, 2025, respectively.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(4)</w:t>
            </w:r>
          </w:p>
        </w:tc>
        <w:tc>
          <w:tcPr>
            <w:tcW w:w="990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Includes related party amounts of $14 and $0 for the three months ended March 31, 2026 and March 31, 2025, respectively.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15.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evaluated events and transactions occurring subsequent to March 31, 2026 through June 9, 2026, the date at which the condensed consolidated financial statements are available to be issued.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April 3, 2026, the Company entered into an Antibody Oligo Conjugate Research Letter Agreement with Paragon to initiate a Research Program focused on the development of antibody oligonucleotide conjugates directed to a selected target. The Research Letter Agreement provides for reimbursement of research costs and monthly research fees, and grants the Company an exclusive option to enter into either an antibody oligonucleotide conjugate discovery and option agreement for an upfront research initiation fee of $1.0 million, or a license agreement for the Research Program for an upfront license fee of $5.0 million. In June 2026, Korsana paid a $1.0 million research initiation fee. At this time, the Company has not exercised either option related to the Research Letter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KORSANA BIOSCIENCES,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ind w:left="0" w:right="0" w:hanging="0"/>
        <w:jc w:val="left"/>
        <w:rPr>
          <w:spacing w:val="0"/>
        </w:rPr>
      </w:pPr>
      <w:r>
        <w:rPr>
          <w:spacing w:val="0"/>
        </w:rPr>
        <w:t> </w:t>
      </w:r>
    </w:p>
    <w:p>
      <w:pPr>
        <w:pStyle w:val="TextBody"/>
        <w:bidi w:val="0"/>
        <w:spacing w:before="0" w:after="0"/>
        <w:jc w:val="left"/>
        <w:rPr>
          <w:rFonts w:ascii="Times New Roman" w:hAnsi="Times New Roman"/>
          <w:sz w:val="20"/>
        </w:rPr>
      </w:pPr>
      <w:r>
        <w:rPr>
          <w:rFonts w:ascii="Times New Roman" w:hAnsi="Times New Roman"/>
          <w:sz w:val="20"/>
        </w:rPr>
        <w:t>On June 8, 2026, the Company entered into a license agreement with Paragon for Research Programs 001 and 002, the A</w:t>
      </w:r>
    </w:p>
    <w:p>
      <w:pPr>
        <w:pStyle w:val="TextBody"/>
        <w:bidi w:val="0"/>
        <w:spacing w:before="0" w:after="0"/>
        <w:jc w:val="left"/>
        <w:rPr>
          <w:rFonts w:ascii="SYMBOL" w:hAnsi="SYMBOL"/>
          <w:spacing w:val="0"/>
          <w:sz w:val="20"/>
        </w:rPr>
      </w:pPr>
      <w:r>
        <w:rPr>
          <w:rFonts w:ascii="SYMBOL" w:hAnsi="SYMBOL"/>
          <w:spacing w:val="0"/>
          <w:sz w:val="20"/>
        </w:rPr>
        <w:t>b</w:t>
      </w:r>
    </w:p>
    <w:p>
      <w:pPr>
        <w:pStyle w:val="TextBody"/>
        <w:bidi w:val="0"/>
        <w:spacing w:before="0" w:after="0"/>
        <w:jc w:val="left"/>
        <w:rPr>
          <w:rFonts w:ascii="Times New Roman" w:hAnsi="Times New Roman"/>
          <w:sz w:val="20"/>
        </w:rPr>
      </w:pPr>
      <w:r>
        <w:rPr>
          <w:rFonts w:ascii="Times New Roman" w:hAnsi="Times New Roman"/>
          <w:sz w:val="20"/>
        </w:rPr>
        <w:t xml:space="preserve">program, consistent with those terms under the Paragon ADOA, as further described in Note 9. The license agreement included the requirement to make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0" w:after="0"/>
        <w:jc w:val="left"/>
        <w:rPr>
          <w:rFonts w:ascii="Times New Roman" w:hAnsi="Times New Roman"/>
          <w:sz w:val="20"/>
        </w:rPr>
      </w:pPr>
      <w:r>
        <w:rPr>
          <w:rFonts w:ascii="Times New Roman" w:hAnsi="Times New Roman"/>
          <w:sz w:val="20"/>
        </w:rPr>
        <w:t xml:space="preserve">milestone payments to Paragon of up to $46.0 million upon the achievement of specified clinical development and regulatory milestones, which amount is reduced by 50% for independently developed products directed to the same target combination, as well as tiered royalty payments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low-to-mid</w:t>
      </w:r>
    </w:p>
    <w:p>
      <w:pPr>
        <w:pStyle w:val="TextBody"/>
        <w:bidi w:val="0"/>
        <w:spacing w:before="0" w:after="0"/>
        <w:jc w:val="left"/>
        <w:rPr>
          <w:rFonts w:ascii="Times New Roman" w:hAnsi="Times New Roman"/>
          <w:sz w:val="20"/>
        </w:rPr>
      </w:pPr>
      <w:r>
        <w:rPr>
          <w:rFonts w:ascii="Times New Roman" w:hAnsi="Times New Roman"/>
          <w:sz w:val="20"/>
        </w:rPr>
        <w:t xml:space="preserve">single-digits beginning on the first commercial sale of each developed product. The $5.0 million milestone payment made to Paragon in March 2026 related to the nomination of </w:t>
      </w:r>
    </w:p>
    <w:p>
      <w:pPr>
        <w:pStyle w:val="TextBody"/>
        <w:bidi w:val="0"/>
        <w:spacing w:before="0" w:after="0"/>
        <w:jc w:val="left"/>
        <w:rPr>
          <w:rFonts w:ascii="Times New Roman" w:hAnsi="Times New Roman"/>
          <w:spacing w:val="0"/>
          <w:sz w:val="20"/>
        </w:rPr>
      </w:pPr>
      <w:r>
        <w:rPr>
          <w:rFonts w:ascii="Times New Roman" w:hAnsi="Times New Roman"/>
          <w:spacing w:val="0"/>
          <w:sz w:val="20"/>
        </w:rPr>
        <w:t>KRSA-028</w:t>
      </w:r>
    </w:p>
    <w:p>
      <w:pPr>
        <w:pStyle w:val="TextBody"/>
        <w:bidi w:val="0"/>
        <w:spacing w:before="0" w:after="0"/>
        <w:jc w:val="left"/>
        <w:rPr>
          <w:rFonts w:ascii="Times New Roman" w:hAnsi="Times New Roman"/>
          <w:sz w:val="20"/>
        </w:rPr>
      </w:pPr>
      <w:r>
        <w:rPr>
          <w:rFonts w:ascii="Times New Roman" w:hAnsi="Times New Roman"/>
          <w:sz w:val="20"/>
        </w:rPr>
        <w:t xml:space="preserve">as the development candidate for program 002 will not be owed again under the license agreement.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7" w:name="tx111069_46"/>
      <w:bookmarkEnd w:id="47"/>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8" w:name="ii111069_1aa"/>
      <w:bookmarkStart w:id="49" w:name="ii111069_1a"/>
      <w:bookmarkEnd w:id="48"/>
      <w:bookmarkEnd w:id="49"/>
      <w:r>
        <w:rPr>
          <w:rFonts w:ascii="Times New Roman" w:hAnsi="Times New Roman"/>
          <w:b/>
          <w:sz w:val="20"/>
        </w:rPr>
        <w:t xml:space="preserve">Annex A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CORP.; </w:t>
      </w:r>
    </w:p>
    <w:p>
      <w:pPr>
        <w:pStyle w:val="TextBody"/>
        <w:bidi w:val="0"/>
        <w:spacing w:before="240" w:after="0"/>
        <w:jc w:val="center"/>
        <w:rPr>
          <w:rFonts w:ascii="Times New Roman" w:hAnsi="Times New Roman"/>
          <w:b/>
          <w:sz w:val="20"/>
        </w:rPr>
      </w:pPr>
      <w:r>
        <w:rPr>
          <w:rFonts w:ascii="Times New Roman" w:hAnsi="Times New Roman"/>
          <w:b/>
          <w:sz w:val="20"/>
        </w:rPr>
        <w:t xml:space="preserve">CARIBOOS MERGER SUB II, LLC; and </w:t>
      </w:r>
    </w:p>
    <w:p>
      <w:pPr>
        <w:pStyle w:val="TextBody"/>
        <w:bidi w:val="0"/>
        <w:spacing w:before="240" w:after="0"/>
        <w:jc w:val="center"/>
        <w:rPr>
          <w:rFonts w:ascii="Times New Roman" w:hAnsi="Times New Roman"/>
          <w:b/>
          <w:sz w:val="20"/>
        </w:rPr>
      </w:pPr>
      <w:r>
        <w:rPr>
          <w:rFonts w:ascii="Times New Roman" w:hAnsi="Times New Roman"/>
          <w:b/>
          <w:sz w:val="20"/>
        </w:rPr>
        <w:t xml:space="preserve">CYCLERION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75"/>
        <w:gridCol w:w="60"/>
        <w:gridCol w:w="440"/>
        <w:gridCol w:w="60"/>
        <w:gridCol w:w="8105"/>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1">
              <w:r>
                <w:rPr>
                  <w:rStyle w:val="InternetLink"/>
                  <w:rFonts w:ascii="Times New Roman" w:hAnsi="Times New Roman"/>
                  <w:sz w:val="20"/>
                </w:rPr>
                <w:t xml:space="preserve">Section 1. Definitions and Interpretative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
              <w:r>
                <w:rPr>
                  <w:rStyle w:val="InternetLink"/>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
              <w:r>
                <w:rPr>
                  <w:rStyle w:val="InternetLink"/>
                </w:rPr>
                <w:t>Other Definitional and Interpretative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A-16</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4">
              <w:r>
                <w:rPr>
                  <w:rStyle w:val="InternetLink"/>
                  <w:rFonts w:ascii="Times New Roman" w:hAnsi="Times New Roman"/>
                  <w:sz w:val="20"/>
                </w:rPr>
                <w:t xml:space="preserve">Section 2. Description of Transaction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5">
              <w:r>
                <w:rPr>
                  <w:rStyle w:val="InternetLink"/>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6">
              <w:r>
                <w:rPr>
                  <w:rStyle w:val="InternetLink"/>
                </w:rPr>
                <w:t>Effects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7">
              <w:r>
                <w:rPr>
                  <w:rStyle w:val="InternetLink"/>
                </w:rPr>
                <w:t>Closing; First Effective Time; Second 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8">
              <w:r>
                <w:rPr>
                  <w:rStyle w:val="InternetLink"/>
                </w:rPr>
                <w:t>Organizational Documents;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9">
              <w:r>
                <w:rPr>
                  <w:rStyle w:val="InternetLink"/>
                </w:rPr>
                <w:t>Conversion of Company, First Merger Sub and Second Merger Sub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0">
              <w:r>
                <w:rPr>
                  <w:rStyle w:val="InternetLink"/>
                </w:rPr>
                <w:t>Closing of the Company’s Transfer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1">
              <w:r>
                <w:rPr>
                  <w:rStyle w:val="InternetLink"/>
                </w:rPr>
                <w:t>Surrender of Company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2">
              <w:r>
                <w:rPr>
                  <w:rStyle w:val="InternetLink"/>
                </w:rPr>
                <w:t>Calculation of Parent Net Cash and Company Valuation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3">
              <w:r>
                <w:rPr>
                  <w:rStyle w:val="InternetLink"/>
                </w:rPr>
                <w:t>Contingent Value Right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4">
              <w:r>
                <w:rPr>
                  <w:rStyle w:val="InternetLink"/>
                </w:rPr>
                <w:t>Further 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5">
              <w:r>
                <w:rPr>
                  <w:rStyle w:val="InternetLink"/>
                </w:rPr>
                <w:t>Intended Tax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6">
              <w:r>
                <w:rPr>
                  <w:rStyle w:val="InternetLink"/>
                </w:rPr>
                <w:t>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7">
              <w:r>
                <w:rPr>
                  <w:rStyle w:val="InternetLink"/>
                </w:rPr>
                <w:t>Appraisal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18">
              <w:r>
                <w:rPr>
                  <w:rStyle w:val="InternetLink"/>
                  <w:rFonts w:ascii="Times New Roman" w:hAnsi="Times New Roman"/>
                  <w:sz w:val="20"/>
                </w:rPr>
                <w:t xml:space="preserve">Section 3. Representations and Warranties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19">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0">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1">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2">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3">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4">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5">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6">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7">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8">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29">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0">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1">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2">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3">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3.16</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4">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3.17</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5">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3.18</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6">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3.19</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7">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3.20</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8">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39">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3.22</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0">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3.23</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1">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3.24</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2">
              <w:r>
                <w:rPr>
                  <w:rStyle w:val="InternetLink"/>
                </w:rPr>
                <w:t>Ownership of Parent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3.25</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3">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87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5"/>
            <w:tcBorders/>
            <w:vAlign w:val="center"/>
          </w:tcPr>
          <w:p>
            <w:pPr>
              <w:pStyle w:val="TableContents"/>
              <w:bidi w:val="0"/>
              <w:spacing w:before="0" w:after="0"/>
              <w:jc w:val="left"/>
              <w:rPr/>
            </w:pPr>
            <w:hyperlink w:anchor="anxa111069_44">
              <w:r>
                <w:rPr>
                  <w:rStyle w:val="InternetLink"/>
                  <w:rFonts w:ascii="Times New Roman" w:hAnsi="Times New Roman"/>
                  <w:sz w:val="20"/>
                </w:rPr>
                <w:t xml:space="preserve">Section 4. Representations and Warranties of Parent, First Merger Sub and Second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hyperlink w:anchor="anxa111069_45">
              <w:r>
                <w:rPr>
                  <w:rStyle w:val="InternetLink"/>
                </w:rPr>
                <w:t xml:space="preserve">Due Organization; Subsidiaries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810" w:type="dxa"/>
        <w:jc w:val="left"/>
        <w:tblInd w:w="0" w:type="dxa"/>
        <w:tblLayout w:type="fixed"/>
        <w:tblCellMar>
          <w:top w:w="0" w:type="dxa"/>
          <w:left w:w="0" w:type="dxa"/>
          <w:bottom w:w="0" w:type="dxa"/>
          <w:right w:w="0" w:type="dxa"/>
        </w:tblCellMar>
      </w:tblPr>
      <w:tblGrid>
        <w:gridCol w:w="75"/>
        <w:gridCol w:w="60"/>
        <w:gridCol w:w="440"/>
        <w:gridCol w:w="60"/>
        <w:gridCol w:w="5405"/>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6">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7">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8">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49">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0">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1">
              <w:r>
                <w:rPr>
                  <w:rStyle w:val="InternetLink"/>
                </w:rPr>
                <w:t>SEC Filings;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2">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3">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4">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5">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6">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7">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8">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59">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0">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1">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2">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3">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4">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5">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6">
              <w:r>
                <w:rPr>
                  <w:rStyle w:val="InternetLink"/>
                </w:rPr>
                <w:t>Valid Issuance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7">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8">
              <w:r>
                <w:rPr>
                  <w:rStyle w:val="InternetLink"/>
                </w:rPr>
                <w:t>Trade Control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69">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0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040" w:type="dxa"/>
            <w:gridSpan w:val="5"/>
            <w:tcBorders/>
            <w:vAlign w:val="center"/>
          </w:tcPr>
          <w:p>
            <w:pPr>
              <w:pStyle w:val="TableContents"/>
              <w:bidi w:val="0"/>
              <w:spacing w:before="0" w:after="0"/>
              <w:jc w:val="left"/>
              <w:rPr/>
            </w:pPr>
            <w:hyperlink w:anchor="anxa111069_70">
              <w:r>
                <w:rPr>
                  <w:rStyle w:val="InternetLink"/>
                  <w:rFonts w:ascii="Times New Roman" w:hAnsi="Times New Roman"/>
                  <w:sz w:val="20"/>
                </w:rPr>
                <w:t xml:space="preserve">Section 5. Certain Covenants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1">
              <w:r>
                <w:rPr>
                  <w:rStyle w:val="InternetLink"/>
                </w:rPr>
                <w:t>Operation of Parent’s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2">
              <w:r>
                <w:rPr>
                  <w:rStyle w:val="InternetLink"/>
                </w:rPr>
                <w:t>Operation of the Company’s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3">
              <w:r>
                <w:rPr>
                  <w:rStyle w:val="InternetLink"/>
                </w:rPr>
                <w:t>Access and Investigation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4">
              <w:r>
                <w:rPr>
                  <w:rStyle w:val="InternetLink"/>
                </w:rPr>
                <w:t>No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5">
              <w:r>
                <w:rPr>
                  <w:rStyle w:val="InternetLink"/>
                </w:rPr>
                <w:t>Notification of Certain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6040"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040" w:type="dxa"/>
            <w:gridSpan w:val="5"/>
            <w:tcBorders/>
            <w:vAlign w:val="center"/>
          </w:tcPr>
          <w:p>
            <w:pPr>
              <w:pStyle w:val="TableContents"/>
              <w:bidi w:val="0"/>
              <w:spacing w:before="0" w:after="0"/>
              <w:jc w:val="left"/>
              <w:rPr/>
            </w:pPr>
            <w:hyperlink w:anchor="anxa111069_76">
              <w:r>
                <w:rPr>
                  <w:rStyle w:val="InternetLink"/>
                  <w:rFonts w:ascii="Times New Roman" w:hAnsi="Times New Roman"/>
                  <w:sz w:val="20"/>
                </w:rPr>
                <w:t xml:space="preserve">Section 6. Additional Agreements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54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7">
              <w:r>
                <w:rPr>
                  <w:rStyle w:val="InternetLink"/>
                </w:rPr>
                <w:t>Registration Statement,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8">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79">
              <w:r>
                <w:rPr>
                  <w:rStyle w:val="InternetLink"/>
                </w:rPr>
                <w:t>Parent Shareholder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0">
              <w:r>
                <w:rPr>
                  <w:rStyle w:val="InternetLink"/>
                </w:rPr>
                <w:t>Efforts; 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1">
              <w:r>
                <w:rPr>
                  <w:rStyle w:val="InternetLink"/>
                </w:rPr>
                <w:t>Company Options; Company RSUs; Company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2">
              <w:r>
                <w:rPr>
                  <w:rStyle w:val="InternetLink"/>
                </w:rPr>
                <w:t>Employee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3">
              <w:r>
                <w:rPr>
                  <w:rStyle w:val="InternetLink"/>
                </w:rPr>
                <w:t>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6.8</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4">
              <w:r>
                <w:rPr>
                  <w:rStyle w:val="InternetLink"/>
                </w:rPr>
                <w:t>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6.9</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5">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6.10</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6">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6.11</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7">
              <w:r>
                <w:rPr>
                  <w:rStyle w:val="InternetLink"/>
                </w:rPr>
                <w:t>Legends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6.12</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8">
              <w:r>
                <w:rPr>
                  <w:rStyle w:val="InternetLink"/>
                </w:rPr>
                <w:t>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6.13</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89">
              <w:r>
                <w:rPr>
                  <w:rStyle w:val="InternetLink"/>
                </w:rPr>
                <w:t>Termination of Certain Agreements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6.14</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0">
              <w:r>
                <w:rPr>
                  <w:rStyle w:val="InternetLink"/>
                </w:rPr>
                <w:t>Section 16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6.15</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1">
              <w:r>
                <w:rPr>
                  <w:rStyle w:val="InternetLink"/>
                </w:rPr>
                <w:t>Allocation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6.16</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2">
              <w:r>
                <w:rPr>
                  <w:rStyle w:val="InternetLink"/>
                </w:rPr>
                <w:t>Parent SEC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6.17</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hyperlink w:anchor="anxa111069_93">
              <w:r>
                <w:rPr>
                  <w:rStyle w:val="InternetLink"/>
                </w:rPr>
                <w:t>Obligations of Merger Subs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5" w:type="dxa"/>
        <w:jc w:val="left"/>
        <w:tblInd w:w="0" w:type="dxa"/>
        <w:tblLayout w:type="fixed"/>
        <w:tblCellMar>
          <w:top w:w="0" w:type="dxa"/>
          <w:left w:w="0" w:type="dxa"/>
          <w:bottom w:w="0" w:type="dxa"/>
          <w:right w:w="0" w:type="dxa"/>
        </w:tblCellMar>
      </w:tblPr>
      <w:tblGrid>
        <w:gridCol w:w="75"/>
        <w:gridCol w:w="60"/>
        <w:gridCol w:w="560"/>
        <w:gridCol w:w="60"/>
        <w:gridCol w:w="7280"/>
        <w:gridCol w:w="120"/>
        <w:gridCol w:w="60"/>
        <w:gridCol w:w="51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6.18</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4">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6.19</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5">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6.20</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6">
              <w:r>
                <w:rPr>
                  <w:rStyle w:val="InternetLink"/>
                </w:rPr>
                <w:t>Termination of Certain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97">
              <w:r>
                <w:rPr>
                  <w:rStyle w:val="InternetLink"/>
                  <w:rFonts w:ascii="Times New Roman" w:hAnsi="Times New Roman"/>
                  <w:sz w:val="20"/>
                </w:rPr>
                <w:t xml:space="preserve">Section 7. Conditions Precedent to Obligations of Each Party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8">
              <w:r>
                <w:rPr>
                  <w:rStyle w:val="InternetLink"/>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99">
              <w:r>
                <w:rPr>
                  <w:rStyle w:val="InternetLink"/>
                </w:rPr>
                <w:t>No Restraints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0">
              <w:r>
                <w:rPr>
                  <w:rStyle w:val="InternetLink"/>
                </w:rPr>
                <w:t>Stockholder 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1">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7.5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2">
              <w:r>
                <w:rPr>
                  <w:rStyle w:val="InternetLink"/>
                </w:rPr>
                <w:t>Effectiveness of Registration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03">
              <w:r>
                <w:rPr>
                  <w:rStyle w:val="InternetLink"/>
                  <w:rFonts w:ascii="Times New Roman" w:hAnsi="Times New Roman"/>
                  <w:sz w:val="20"/>
                </w:rPr>
                <w:t xml:space="preserve">Section 8. Additional Conditions Precedent to Obligations of Parent and Merger Subs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4">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5">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6">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7">
              <w:r>
                <w:rPr>
                  <w:rStyle w:val="InternetLink"/>
                </w:rPr>
                <w:t>No Company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8">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8.6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09">
              <w:r>
                <w:rPr>
                  <w:rStyle w:val="InternetLink"/>
                </w:rPr>
                <w:t>Company Pre-Closing Financing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10">
              <w:r>
                <w:rPr>
                  <w:rStyle w:val="InternetLink"/>
                  <w:rFonts w:ascii="Times New Roman" w:hAnsi="Times New Roman"/>
                  <w:sz w:val="20"/>
                </w:rPr>
                <w:t xml:space="preserve">Section 9. Additional Conditions Precedent to Obligation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1">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2">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3">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4">
              <w:r>
                <w:rPr>
                  <w:rStyle w:val="InternetLink"/>
                </w:rPr>
                <w:t>No Parent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5">
              <w:r>
                <w:rPr>
                  <w:rStyle w:val="InternetLink"/>
                </w:rPr>
                <w:t>Parent Pre-Closing Dividend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6">
              <w:r>
                <w:rPr>
                  <w:rStyle w:val="InternetLink"/>
                </w:rPr>
                <w:t>Parent Articles of 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9.7</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7">
              <w:r>
                <w:rPr>
                  <w:rStyle w:val="InternetLink"/>
                </w:rPr>
                <w:t>Termination of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18">
              <w:r>
                <w:rPr>
                  <w:rStyle w:val="InternetLink"/>
                  <w:rFonts w:ascii="Times New Roman" w:hAnsi="Times New Roman"/>
                  <w:sz w:val="20"/>
                </w:rPr>
                <w:t xml:space="preserve">Section 10. Termination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19">
              <w:r>
                <w:rPr>
                  <w:rStyle w:val="InternetLink"/>
                </w:rPr>
                <w:t>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0">
              <w:r>
                <w:rPr>
                  <w:rStyle w:val="InternetLink"/>
                </w:rPr>
                <w:t>Effect of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1">
              <w:r>
                <w:rPr>
                  <w:rStyle w:val="InternetLink"/>
                </w:rPr>
                <w:t>Expenses;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8035" w:type="dxa"/>
            <w:gridSpan w:val="5"/>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35" w:type="dxa"/>
            <w:gridSpan w:val="5"/>
            <w:tcBorders/>
            <w:vAlign w:val="center"/>
          </w:tcPr>
          <w:p>
            <w:pPr>
              <w:pStyle w:val="TableContents"/>
              <w:bidi w:val="0"/>
              <w:spacing w:before="0" w:after="0"/>
              <w:jc w:val="left"/>
              <w:rPr/>
            </w:pPr>
            <w:hyperlink w:anchor="anxa111069_122">
              <w:r>
                <w:rPr>
                  <w:rStyle w:val="InternetLink"/>
                  <w:rFonts w:ascii="Times New Roman" w:hAnsi="Times New Roman"/>
                  <w:sz w:val="20"/>
                </w:rPr>
                <w:t xml:space="preserve">Section 11. Miscellaneous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734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3">
              <w:r>
                <w:rPr>
                  <w:rStyle w:val="InternetLink"/>
                </w:rPr>
                <w:t>Non-Survival of 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11.2</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4">
              <w:r>
                <w:rPr>
                  <w:rStyle w:val="InternetLink"/>
                </w:rPr>
                <w:t>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11.3</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5">
              <w:r>
                <w:rPr>
                  <w:rStyle w:val="InternetLink"/>
                </w:rPr>
                <w:t>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11.4</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6">
              <w:r>
                <w:rPr>
                  <w:rStyle w:val="InternetLink"/>
                </w:rPr>
                <w:t>Entire Agreement; Counterparts; Exchanges by Electronic Transmission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11.5</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7">
              <w:r>
                <w:rPr>
                  <w:rStyle w:val="InternetLink"/>
                </w:rPr>
                <w:t>Applicable Law; Jurisdiction; WAIVER OF RIGHT TO TRIAL BY JURY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11.6</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8">
              <w:r>
                <w:rPr>
                  <w:rStyle w:val="InternetLink"/>
                </w:rPr>
                <w:t>Assignability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11.7</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29">
              <w:r>
                <w:rPr>
                  <w:rStyle w:val="InternetLink"/>
                </w:rPr>
                <w:t>Notices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11.8</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0">
              <w:r>
                <w:rPr>
                  <w:rStyle w:val="InternetLink"/>
                </w:rPr>
                <w:t>Cooperation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11.9</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1">
              <w:r>
                <w:rPr>
                  <w:rStyle w:val="InternetLink"/>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11.10</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2">
              <w:r>
                <w:rPr>
                  <w:rStyle w:val="InternetLink"/>
                </w:rPr>
                <w:t>Other Remedies; Specific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11.11</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anxa111069_133">
              <w:r>
                <w:rPr>
                  <w:rStyle w:val="InternetLink"/>
                </w:rPr>
                <w:t>No Third-Party Beneficiaries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99"/>
        <w:gridCol w:w="60"/>
        <w:gridCol w:w="9046"/>
      </w:tblGrid>
      <w:tr>
        <w:trPr/>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b/>
              </w:rPr>
            </w:pPr>
            <w:r>
              <w:rPr>
                <w:b/>
              </w:rPr>
              <w:t>Exhibits:</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 </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A-1</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Parent Shareholder Support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A-2</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Company Stockholder Support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B</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Lock-Up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Exhibit C</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Subscription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D-1</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First Certificate of Merger, including certificate of incorporation of the First Step Surviving Corporation attached as Exhibit A thereto, incorporated by reference into this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D-2</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Second Certificate of Merger, incorporated by reference into this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Parent Articles of Amendment Schedule</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CVR Agreement</w:t>
            </w:r>
          </w:p>
        </w:tc>
      </w:tr>
      <w:tr>
        <w:trPr/>
        <w:tc>
          <w:tcPr>
            <w:tcW w:w="1099" w:type="dxa"/>
            <w:tcBorders/>
            <w:vAlign w:val="center"/>
          </w:tcPr>
          <w:p>
            <w:pPr>
              <w:pStyle w:val="TableContents"/>
              <w:bidi w:val="0"/>
              <w:spacing w:before="0" w:after="283"/>
              <w:jc w:val="left"/>
              <w:rPr>
                <w:sz w:val="4"/>
                <w:szCs w:val="4"/>
              </w:rPr>
            </w:pPr>
            <w:r>
              <w:rPr>
                <w:sz w:val="4"/>
                <w:szCs w:val="4"/>
              </w:rPr>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60"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Form of Pre-Funded Warrant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b/>
          <w:sz w:val="20"/>
          <w:u w:val="single"/>
        </w:rPr>
        <w:t>HIS</w:t>
      </w:r>
      <w:r>
        <w:rPr>
          <w:rFonts w:ascii="Times New Roman" w:hAnsi="Times New Roman"/>
          <w:b/>
          <w:sz w:val="20"/>
        </w:rPr>
        <w:t xml:space="preserve"> A</w:t>
      </w:r>
      <w:r>
        <w:rPr>
          <w:rFonts w:ascii="Times New Roman" w:hAnsi="Times New Roman"/>
          <w:b/>
          <w:sz w:val="20"/>
          <w:u w:val="single"/>
        </w:rPr>
        <w:t>GREEMENT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EORGANIZATION</w:t>
      </w:r>
      <w:r>
        <w:rPr>
          <w:rFonts w:ascii="Times New Roman" w:hAnsi="Times New Roman"/>
          <w:b/>
          <w:sz w:val="20"/>
        </w:rPr>
        <w:t xml:space="preserve">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April 1, 2026, by and among </w:t>
      </w:r>
      <w:r>
        <w:rPr>
          <w:rFonts w:ascii="Times New Roman" w:hAnsi="Times New Roman"/>
          <w:b/>
          <w:sz w:val="20"/>
        </w:rPr>
        <w:t>C</w:t>
      </w:r>
      <w:r>
        <w:rPr>
          <w:rFonts w:ascii="Times New Roman" w:hAnsi="Times New Roman"/>
          <w:b/>
          <w:sz w:val="20"/>
          <w:u w:val="single"/>
        </w:rPr>
        <w:t>YCLERION</w:t>
      </w:r>
      <w:r>
        <w:rPr>
          <w:rFonts w:ascii="Times New Roman" w:hAnsi="Times New Roman"/>
          <w:b/>
          <w:sz w:val="20"/>
        </w:rPr>
        <w:t xml:space="preserve"> T</w:t>
      </w:r>
      <w:r>
        <w:rPr>
          <w:rFonts w:ascii="Times New Roman" w:hAnsi="Times New Roman"/>
          <w:b/>
          <w:sz w:val="20"/>
          <w:u w:val="single"/>
        </w:rPr>
        <w:t>HERAPEUTICS</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Massachusetts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C</w:t>
      </w:r>
      <w:r>
        <w:rPr>
          <w:rFonts w:ascii="Times New Roman" w:hAnsi="Times New Roman"/>
          <w:b/>
          <w:sz w:val="20"/>
          <w:u w:val="single"/>
        </w:rPr>
        <w:t>ARIBOOS</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w:t>
      </w:r>
      <w:r>
        <w:rPr>
          <w:rFonts w:ascii="Times New Roman" w:hAnsi="Times New Roman"/>
          <w:b/>
          <w:sz w:val="20"/>
        </w:rPr>
        <w:t xml:space="preserve"> C</w:t>
      </w:r>
      <w:r>
        <w:rPr>
          <w:rFonts w:ascii="Times New Roman" w:hAnsi="Times New Roman"/>
          <w:b/>
          <w:sz w:val="20"/>
          <w:u w:val="single"/>
        </w:rPr>
        <w:t>ORP</w:t>
      </w:r>
      <w:r>
        <w:rPr>
          <w:rFonts w:ascii="Times New Roman" w:hAnsi="Times New Roman"/>
          <w:b/>
          <w:sz w:val="20"/>
        </w:rPr>
        <w:t>.</w:t>
      </w:r>
      <w:r>
        <w:rPr>
          <w:rFonts w:ascii="Times New Roman" w:hAnsi="Times New Roman"/>
          <w:sz w:val="20"/>
        </w:rPr>
        <w:t>, a Delaware corporation and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xml:space="preserve">”), </w:t>
      </w:r>
      <w:r>
        <w:rPr>
          <w:rFonts w:ascii="Times New Roman" w:hAnsi="Times New Roman"/>
          <w:b/>
          <w:sz w:val="20"/>
        </w:rPr>
        <w:t>C</w:t>
      </w:r>
      <w:r>
        <w:rPr>
          <w:rFonts w:ascii="Times New Roman" w:hAnsi="Times New Roman"/>
          <w:b/>
          <w:sz w:val="20"/>
          <w:u w:val="single"/>
        </w:rPr>
        <w:t>ARIBOOS</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w:t>
      </w:r>
      <w:r>
        <w:rPr>
          <w:rFonts w:ascii="Times New Roman" w:hAnsi="Times New Roman"/>
          <w:b/>
          <w:sz w:val="20"/>
        </w:rPr>
        <w:t xml:space="preserve"> II, LLC</w:t>
      </w:r>
      <w:r>
        <w:rPr>
          <w:rFonts w:ascii="Times New Roman" w:hAnsi="Times New Roman"/>
          <w:sz w:val="20"/>
        </w:rPr>
        <w:t>, a Delaware limited liability company and wholly owned subsidiary of Parent (“</w:t>
      </w:r>
      <w:r>
        <w:rPr>
          <w:rFonts w:ascii="Times New Roman" w:hAnsi="Times New Roman"/>
          <w:b/>
          <w:sz w:val="20"/>
        </w:rPr>
        <w:t>Second</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K</w:t>
      </w:r>
      <w:r>
        <w:rPr>
          <w:rFonts w:ascii="Times New Roman" w:hAnsi="Times New Roman"/>
          <w:b/>
          <w:sz w:val="20"/>
          <w:u w:val="single"/>
        </w:rPr>
        <w:t>ORSANA</w:t>
      </w:r>
      <w:r>
        <w:rPr>
          <w:rFonts w:ascii="Times New Roman" w:hAnsi="Times New Roman"/>
          <w:b/>
          <w:sz w:val="20"/>
        </w:rPr>
        <w:t xml:space="preserve"> B</w:t>
      </w:r>
      <w:r>
        <w:rPr>
          <w:rFonts w:ascii="Times New Roman" w:hAnsi="Times New Roman"/>
          <w:b/>
          <w:sz w:val="20"/>
          <w:u w:val="single"/>
        </w:rPr>
        <w:t>IOSCIENCES</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R</w:t>
      </w:r>
      <w:r>
        <w:rPr>
          <w:rFonts w:ascii="Times New Roman" w:hAnsi="Times New Roman"/>
          <w:b/>
          <w:sz w:val="20"/>
          <w:u w:val="single"/>
        </w:rPr>
        <w:t>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First Merger Sub with and into the Company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w:t>
      </w:r>
      <w:r>
        <w:rPr>
          <w:rFonts w:ascii="Times New Roman" w:hAnsi="Times New Roman"/>
          <w:sz w:val="20"/>
        </w:rPr>
        <w:t xml:space="preserve">”) in accordance with this Agreement and the DGCL. Upon consummation of the First Merger, First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Immediately following the First Merger and as part of the same overall transaction as the First Merger, the Company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 </w:t>
      </w:r>
    </w:p>
    <w:p>
      <w:pPr>
        <w:pStyle w:val="TextBody"/>
        <w:bidi w:val="0"/>
        <w:spacing w:before="240" w:after="0"/>
        <w:jc w:val="left"/>
        <w:rPr>
          <w:rFonts w:ascii="Times New Roman" w:hAnsi="Times New Roman"/>
          <w:sz w:val="20"/>
        </w:rPr>
      </w:pPr>
      <w:r>
        <w:rPr>
          <w:rFonts w:ascii="Times New Roman" w:hAnsi="Times New Roman"/>
          <w:sz w:val="20"/>
        </w:rPr>
        <w:t xml:space="preserve">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F. The sole member of the Second Merger Sub has (i) determined that the Contemplated Transactions are fair to, advisable, and in the best interests of Second Merger Sub and its sole member, (ii) approved and declared advisable this Agreement and the Contemplated Transactions, and (iii) determined to recommend, upon the terms and subject to the conditions set forth in this Agreement, that the sole member of Second Merger Sub votes to adopt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the Company’s willingness to enter into this Agreement, each of the officers and directors set forth on </w:t>
      </w:r>
      <w:r>
        <w:rPr>
          <w:rFonts w:ascii="Times New Roman" w:hAnsi="Times New Roman"/>
          <w:sz w:val="20"/>
          <w:u w:val="single"/>
        </w:rPr>
        <w:t>Section A</w:t>
      </w:r>
      <w:r>
        <w:rPr>
          <w:rFonts w:ascii="Times New Roman" w:hAnsi="Times New Roman"/>
          <w:sz w:val="20"/>
        </w:rPr>
        <w:t xml:space="preserve"> of the Parent Disclosure Letter (solely in their capacity as shareholders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Shareholder Support Agreement</w:t>
      </w:r>
      <w:r>
        <w:rPr>
          <w:rFonts w:ascii="Times New Roman" w:hAnsi="Times New Roman"/>
          <w:sz w:val="20"/>
        </w:rPr>
        <w:t xml:space="preserve">”), pursuant to which such Persons have, subject to the terms and conditions set forth therein, agreed to vote all of their shares of 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substantially the form attached hereto as Exhibit B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hAnsi="Times New Roman"/>
          <w:b/>
          <w:sz w:val="20"/>
        </w:rPr>
        <w:t>Subscription Agreement</w:t>
      </w:r>
      <w:r>
        <w:rPr>
          <w:rFonts w:ascii="Times New Roman" w:hAnsi="Times New Roman"/>
          <w:sz w:val="20"/>
        </w:rPr>
        <w:t>”), pursuant to which such Persons have agreed to purchase, in the amounts set forth therein, shares of Company Common Stock and pre-funded warrants to purchase Company Common Stock immediately prior to the First Effective Time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120" w:after="0"/>
        <w:jc w:val="left"/>
        <w:rPr>
          <w:rFonts w:ascii="Times New Roman" w:hAnsi="Times New Roman"/>
          <w:sz w:val="20"/>
        </w:rPr>
      </w:pPr>
      <w:bookmarkStart w:id="50" w:name="anxa111069_1"/>
      <w:bookmarkEnd w:id="50"/>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1" w:name="anxa111069_2"/>
      <w:bookmarkEnd w:id="51"/>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Accrued Pre-Closing Tax Amount</w:t>
      </w:r>
      <w:r>
        <w:rPr>
          <w:rFonts w:ascii="Times New Roman" w:hAnsi="Times New Roman"/>
          <w:sz w:val="20"/>
        </w:rPr>
        <w:t xml:space="preserve">”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any transaction or series of related transactions (other than any Parent Legacy Transaction or the Company Pre-Closing Financing) involving: </w:t>
      </w:r>
    </w:p>
    <w:p>
      <w:pPr>
        <w:pStyle w:val="TextBody"/>
        <w:bidi w:val="0"/>
        <w:spacing w:before="12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24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Saturday or Sunday; or (b) a day on which banks in the Commonwealth of Massachusetts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is a Party, (b) by which the Company is or may become bound or under which the Company has, or may become subject to, any obligation or (c) under which the Company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3.5(a)(i)</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rights that are owned or purported to be owned by, assigned to, exclusively licensed to, or controlled by the Company that are necessary for, or used or held for use in, the operation of the business of the Company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hAnsi="Times New Roman"/>
          <w:b/>
          <w:sz w:val="20"/>
        </w:rPr>
        <w:t>GAAP</w:t>
      </w:r>
      <w:r>
        <w:rPr>
          <w:rFonts w:ascii="Times New Roman" w:hAnsi="Times New Roman"/>
          <w:sz w:val="20"/>
        </w:rPr>
        <w:t xml:space="preserve">”)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(a) the Post-Closing Parent Shares </w:t>
      </w:r>
      <w:r>
        <w:rPr>
          <w:rFonts w:ascii="Times New Roman" w:hAnsi="Times New Roman"/>
          <w:i/>
          <w:sz w:val="20"/>
          <w:u w:val="single"/>
        </w:rPr>
        <w:t>by</w:t>
      </w:r>
      <w:r>
        <w:rPr>
          <w:rFonts w:ascii="Times New Roman" w:hAnsi="Times New Roman"/>
          <w:sz w:val="20"/>
        </w:rPr>
        <w:t xml:space="preserve"> (b) the Company Allocation Percentage, in which: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percentage (rounded to four decimal places) determined by </w:t>
            </w:r>
            <w:r>
              <w:rPr>
                <w:rFonts w:ascii="Times New Roman" w:hAnsi="Times New Roman"/>
                <w:i/>
                <w:sz w:val="20"/>
                <w:u w:val="single"/>
              </w:rPr>
              <w:t>subtracting</w:t>
            </w:r>
            <w:r>
              <w:rPr>
                <w:rFonts w:ascii="Times New Roman" w:hAnsi="Times New Roman"/>
                <w:sz w:val="20"/>
              </w:rPr>
              <w:t xml:space="preserve"> (i) the Parent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$268,400,000.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hAnsi="Times New Roman"/>
                <w:b/>
                <w:sz w:val="20"/>
              </w:rPr>
              <w:t>Service Provider Grants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amount of proceeds actually received by the Company from the Company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dividing (i) the Company Merger Shares by (ii) the Company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Outstanding Shares</w:t>
            </w:r>
            <w:r>
              <w:rPr>
                <w:rFonts w:ascii="Times New Roman" w:hAnsi="Times New Roman"/>
                <w:sz w:val="20"/>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hAnsi="Times New Roman"/>
                <w:sz w:val="20"/>
                <w:u w:val="single"/>
              </w:rPr>
              <w:t>Section 6.6(e)</w:t>
            </w:r>
            <w:r>
              <w:rPr>
                <w:rFonts w:ascii="Times New Roman" w:hAnsi="Times New Roman"/>
                <w:sz w:val="20"/>
              </w:rPr>
              <w:t xml:space="preserve">. Notwithstanding any of the foregoing, no Out of the Money Parent Options shall be included in the total number of shares of Parent Common Stock outstanding for purposes of determining the Parent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Valuation</w:t>
            </w:r>
            <w:r>
              <w:rPr>
                <w:rFonts w:ascii="Times New Roman" w:hAnsi="Times New Roman"/>
                <w:sz w:val="20"/>
              </w:rPr>
              <w:t xml:space="preserve">” means (i) $10,000,000, </w:t>
            </w:r>
            <w:r>
              <w:rPr>
                <w:rFonts w:ascii="Times New Roman" w:hAnsi="Times New Roman"/>
                <w:i/>
                <w:sz w:val="20"/>
                <w:u w:val="single"/>
              </w:rPr>
              <w:t>minus</w:t>
            </w:r>
            <w:r>
              <w:rPr>
                <w:rFonts w:ascii="Times New Roman" w:hAnsi="Times New Roman"/>
                <w:sz w:val="20"/>
              </w:rPr>
              <w:t xml:space="preserve"> (ii) the amount by which Parent Net Cash is less than $0, </w:t>
            </w:r>
            <w:r>
              <w:rPr>
                <w:rFonts w:ascii="Times New Roman" w:hAnsi="Times New Roman"/>
                <w:i/>
                <w:sz w:val="20"/>
                <w:u w:val="single"/>
              </w:rPr>
              <w:t>plus</w:t>
            </w:r>
            <w:r>
              <w:rPr>
                <w:rFonts w:ascii="Times New Roman" w:hAnsi="Times New Roman"/>
                <w:sz w:val="20"/>
              </w:rPr>
              <w:t xml:space="preserve"> (iii) the amount by which Parent Net Cash exceeds $0.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Post-Closing Parent Shares</w:t>
            </w:r>
            <w:r>
              <w:rPr>
                <w:rFonts w:ascii="Times New Roman" w:hAnsi="Times New Roman"/>
                <w:sz w:val="20"/>
              </w:rPr>
              <w:t xml:space="preserve">” mean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tc>
      </w:tr>
    </w:tbl>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shares of the Company’s capital stock designated as preferred stock, including the Company Series Seed Preferred Stock and Company Series A Preferred Stock. </w:t>
      </w:r>
    </w:p>
    <w:p>
      <w:pPr>
        <w:pStyle w:val="TextBody"/>
        <w:bidi w:val="0"/>
        <w:spacing w:before="24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Series A Preferred Stock</w:t>
      </w:r>
      <w:r>
        <w:rPr>
          <w:rFonts w:ascii="Times New Roman" w:hAnsi="Times New Roman"/>
          <w:sz w:val="20"/>
        </w:rPr>
        <w:t xml:space="preserve">” means a series of the Company’s preferred stock designated as Series A Preferred Stock, $0.0001 par value per share. </w:t>
      </w:r>
    </w:p>
    <w:p>
      <w:pPr>
        <w:pStyle w:val="TextBody"/>
        <w:bidi w:val="0"/>
        <w:spacing w:before="240" w:after="0"/>
        <w:jc w:val="left"/>
        <w:rPr/>
      </w:pPr>
      <w:r>
        <w:rPr/>
        <w:t>“</w:t>
      </w:r>
      <w:r>
        <w:rPr>
          <w:rFonts w:ascii="Times New Roman" w:hAnsi="Times New Roman"/>
          <w:b/>
          <w:sz w:val="20"/>
        </w:rPr>
        <w:t>Company Series Seed Preferred Stock</w:t>
      </w:r>
      <w:r>
        <w:rPr>
          <w:rFonts w:ascii="Times New Roman" w:hAnsi="Times New Roman"/>
          <w:sz w:val="20"/>
        </w:rPr>
        <w:t xml:space="preserve">” means a series of the Company’s preferred stock designated as Series Seed Preferred Stock, $0.0001 par value per share. </w:t>
      </w:r>
    </w:p>
    <w:p>
      <w:pPr>
        <w:pStyle w:val="TextBody"/>
        <w:bidi w:val="0"/>
        <w:spacing w:before="240" w:after="0"/>
        <w:jc w:val="left"/>
        <w:rPr/>
      </w:pPr>
      <w:r>
        <w:rPr/>
        <w:t>“</w:t>
      </w:r>
      <w:r>
        <w:rPr>
          <w:rFonts w:ascii="Times New Roman" w:hAnsi="Times New Roman"/>
          <w:b/>
          <w:sz w:val="20"/>
        </w:rPr>
        <w:t>Company RSU</w:t>
      </w:r>
      <w:r>
        <w:rPr>
          <w:rFonts w:ascii="Times New Roman" w:hAnsi="Times New Roman"/>
          <w:sz w:val="20"/>
        </w:rPr>
        <w:t xml:space="preserve">” means each restricted stock unit award for shares of Company Capital Stock issued by the Company. </w:t>
      </w:r>
    </w:p>
    <w:p>
      <w:pPr>
        <w:pStyle w:val="TextBody"/>
        <w:bidi w:val="0"/>
        <w:spacing w:before="240" w:after="0"/>
        <w:jc w:val="left"/>
        <w:rPr/>
      </w:pPr>
      <w:r>
        <w:rPr/>
        <w:t>“</w:t>
      </w:r>
      <w:r>
        <w:rPr>
          <w:rFonts w:ascii="Times New Roman" w:hAnsi="Times New Roman"/>
          <w:b/>
          <w:sz w:val="20"/>
        </w:rPr>
        <w:t>Company Stock Plan</w:t>
      </w:r>
      <w:r>
        <w:rPr>
          <w:rFonts w:ascii="Times New Roman" w:hAnsi="Times New Roman"/>
          <w:sz w:val="20"/>
        </w:rPr>
        <w:t xml:space="preserve">” means the Company’s 2025 Equity Incentive Plan.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Company Warrants</w:t>
      </w:r>
      <w:r>
        <w:rPr>
          <w:rFonts w:ascii="Times New Roman" w:hAnsi="Times New Roman"/>
          <w:sz w:val="20"/>
        </w:rPr>
        <w:t xml:space="preserve">” means warrants (including any pre-funded warrants) to purchase shares of Company Capital Stock issued by the Company. </w:t>
      </w:r>
    </w:p>
    <w:p>
      <w:pPr>
        <w:pStyle w:val="TextBody"/>
        <w:bidi w:val="0"/>
        <w:spacing w:before="240" w:after="0"/>
        <w:jc w:val="left"/>
        <w:rPr/>
      </w:pPr>
      <w:r>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mutual non-disclosure agreement dated as of March 10, 2026,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Delisting Event</w:t>
      </w:r>
      <w:r>
        <w:rPr>
          <w:rFonts w:ascii="Times New Roman" w:hAnsi="Times New Roman"/>
          <w:sz w:val="20"/>
        </w:rPr>
        <w:t xml:space="preserve">” means (i) the filing of a Form 25 with respect to the shares of Parent Common Stock by Parent or Nasdaq with the SEC, (ii) 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DLLCA</w:t>
      </w:r>
      <w:r>
        <w:rPr>
          <w:rFonts w:ascii="Times New Roman" w:hAnsi="Times New Roman"/>
          <w:sz w:val="20"/>
        </w:rPr>
        <w:t xml:space="preserve">” means the Delaware Limited Liability Company Act.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 (c), (m) or (o) of the Code.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First Merger Sub Board</w:t>
      </w:r>
      <w:r>
        <w:rPr>
          <w:rFonts w:ascii="Times New Roman" w:hAnsi="Times New Roman"/>
          <w:sz w:val="20"/>
        </w:rPr>
        <w:t xml:space="preserve">” means the board of directors of First Merger Sub.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U.S. Hart-Scott-Rodino Antitrust Improvements Act of 1976, as amended. </w:t>
      </w:r>
    </w:p>
    <w:p>
      <w:pPr>
        <w:pStyle w:val="TextBody"/>
        <w:bidi w:val="0"/>
        <w:spacing w:before="240" w:after="0"/>
        <w:jc w:val="left"/>
        <w:rPr/>
      </w:pPr>
      <w:r>
        <w:rPr/>
        <w:t>“</w:t>
      </w:r>
      <w:r>
        <w:rPr>
          <w:rFonts w:ascii="Times New Roman" w:hAnsi="Times New Roman"/>
          <w:b/>
          <w:sz w:val="20"/>
        </w:rPr>
        <w:t>In the Money Parent Option</w:t>
      </w:r>
      <w:r>
        <w:rPr>
          <w:rFonts w:ascii="Times New Roman" w:hAnsi="Times New Roman"/>
          <w:sz w:val="20"/>
        </w:rPr>
        <w:t xml:space="preserve">” shall mean Parent Options with an exercise price equal to or less than the Parent Closing Price.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MBCA</w:t>
      </w:r>
      <w:r>
        <w:rPr>
          <w:rFonts w:ascii="Times New Roman" w:hAnsi="Times New Roman"/>
          <w:sz w:val="20"/>
        </w:rPr>
        <w:t xml:space="preserve">” means the Massachusetts Business Corporation Act, as amended. </w:t>
      </w:r>
    </w:p>
    <w:p>
      <w:pPr>
        <w:pStyle w:val="TextBody"/>
        <w:bidi w:val="0"/>
        <w:spacing w:before="240" w:after="0"/>
        <w:jc w:val="left"/>
        <w:rPr/>
      </w:pPr>
      <w:r>
        <w:rPr/>
        <w:t>“</w:t>
      </w:r>
      <w:r>
        <w:rPr>
          <w:rFonts w:ascii="Times New Roman" w:hAnsi="Times New Roman"/>
          <w:b/>
          <w:sz w:val="20"/>
        </w:rPr>
        <w:t>Minimum Concurrent Investment Amount</w:t>
      </w:r>
      <w:r>
        <w:rPr>
          <w:rFonts w:ascii="Times New Roman" w:hAnsi="Times New Roman"/>
          <w:sz w:val="20"/>
        </w:rPr>
        <w:t xml:space="preserve">” means $150,000,000. </w:t>
      </w:r>
    </w:p>
    <w:p>
      <w:pPr>
        <w:pStyle w:val="TextBody"/>
        <w:bidi w:val="0"/>
        <w:spacing w:before="240" w:after="0"/>
        <w:jc w:val="left"/>
        <w:rPr/>
      </w:pPr>
      <w:r>
        <w:rPr/>
        <w:t>“</w:t>
      </w:r>
      <w:r>
        <w:rPr>
          <w:rFonts w:ascii="Times New Roman" w:hAnsi="Times New Roman"/>
          <w:b/>
          <w:sz w:val="20"/>
        </w:rPr>
        <w:t>Multiemployer</w:t>
      </w:r>
      <w:r>
        <w:rPr>
          <w:rFonts w:ascii="Times New Roman" w:hAnsi="Times New Roman"/>
          <w:sz w:val="20"/>
        </w:rPr>
        <w:t xml:space="preserve"> </w:t>
      </w:r>
      <w:r>
        <w:rPr>
          <w:rFonts w:ascii="Times New Roman" w:hAnsi="Times New Roman"/>
          <w:b/>
          <w:sz w:val="20"/>
        </w:rPr>
        <w:t>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 3(40)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for the purpose of maintaining compliance with Nasdaq listing standards.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Parent, such actions taken in the ordinary course of its business and consistent with its past practice or, with respect to the Company, the customary practices of a recently formed company at a similar stage of development.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Out of the Money Parent Options</w:t>
      </w:r>
      <w:r>
        <w:rPr>
          <w:rFonts w:ascii="Times New Roman" w:hAnsi="Times New Roman"/>
          <w:sz w:val="20"/>
        </w:rPr>
        <w:t xml:space="preserve">” shall mean Parent Options with an exercise price greater than the Parent Closing Price. </w:t>
      </w:r>
    </w:p>
    <w:p>
      <w:pPr>
        <w:pStyle w:val="TextBody"/>
        <w:bidi w:val="0"/>
        <w:spacing w:before="240" w:after="0"/>
        <w:jc w:val="left"/>
        <w:rPr/>
      </w:pPr>
      <w:r>
        <w:rPr/>
        <w:t>“</w:t>
      </w:r>
      <w:r>
        <w:rPr>
          <w:rFonts w:ascii="Times New Roman" w:hAnsi="Times New Roman"/>
          <w:b/>
          <w:sz w:val="20"/>
        </w:rPr>
        <w:t>Parent Articles of Amendment Schedule</w:t>
      </w:r>
      <w:r>
        <w:rPr>
          <w:rFonts w:ascii="Times New Roman" w:hAnsi="Times New Roman"/>
          <w:sz w:val="20"/>
        </w:rPr>
        <w:t xml:space="preserve">” means a schedule to the Parent Articles of Amendment in the form attached hereto as Exhibit E.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any of its Subsidiaries.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audited balance sheet of Parent as of December 31, 2025, included in Parent’s Report on Form 10-K for the year ended December 31, 2025,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Closing Price</w:t>
      </w:r>
      <w:r>
        <w:rPr>
          <w:rFonts w:ascii="Times New Roman" w:hAnsi="Times New Roman"/>
          <w:sz w:val="20"/>
        </w:rPr>
        <w:t xml:space="preserve">” means the volume weighted average closing trading price of a share of Parent Common Stock on Nasdaq for the five (5) consecutive trading days ending three (3) trading days immediately prior to the Calculation Date as reported by Bloomberg L.P.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no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240" w:after="0"/>
        <w:jc w:val="left"/>
        <w:rPr/>
      </w:pPr>
      <w:r>
        <w:rPr/>
        <w:t>“</w:t>
      </w:r>
      <w:r>
        <w:rPr>
          <w:rFonts w:ascii="Times New Roman" w:hAnsi="Times New Roman"/>
          <w:b/>
          <w:sz w:val="20"/>
        </w:rPr>
        <w:t>Parent Convertible Preferred Stock</w:t>
      </w:r>
      <w:r>
        <w:rPr>
          <w:rFonts w:ascii="Times New Roman" w:hAnsi="Times New Roman"/>
          <w:sz w:val="20"/>
        </w:rPr>
        <w:t xml:space="preserve">” means the series of Parent’s non-voting convertible preferred stock, no par value per share, with the rights, preferences, powers and privileges specified in the Parent Articles of Amendment Schedule. </w:t>
      </w:r>
    </w:p>
    <w:p>
      <w:pPr>
        <w:pStyle w:val="TextBody"/>
        <w:bidi w:val="0"/>
        <w:spacing w:before="24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any of its Subsidiaries (a) sponsors, maintains, administers, or contributes to, (b) may reasonably be expected to have any Liability, or (c) utilizes to provide benefits to or otherwise cover any current or former employee, officer, director or other service provider of Parent or any of its Subsidiaries (or their spouses, dependents, or beneficiaries), but excluding any Employee Plan in which the Parent or any of its Subsidiaries participates that is sponsored by any professional employer organization.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Subs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w:t>
      </w:r>
      <w:r>
        <w:rPr>
          <w:rFonts w:ascii="Times New Roman" w:hAnsi="Times New Roman"/>
          <w:sz w:val="20"/>
          <w:u w:val="single"/>
        </w:rPr>
        <w:t>4.5(a)(i)</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Parent; and (ii) any employee of Parent that reports directly to the Parent Board or to an executive officer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w:t>
      </w:r>
      <w:r>
        <w:rPr>
          <w:rFonts w:ascii="Times New Roman" w:hAnsi="Times New Roman"/>
          <w:sz w:val="20"/>
        </w:rPr>
        <w:t xml:space="preserve"> of the Parent Disclosure Letter.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hAnsi="Times New Roman"/>
          <w:i/>
          <w:sz w:val="20"/>
          <w:u w:val="single"/>
        </w:rPr>
        <w:t>plus</w:t>
      </w:r>
      <w:r>
        <w:rPr>
          <w:rFonts w:ascii="Times New Roman" w:hAnsi="Times New Roman"/>
          <w:sz w:val="20"/>
        </w:rPr>
        <w:t xml:space="preserve"> (b) the prepaid expenses set forth on </w:t>
      </w:r>
      <w:r>
        <w:rPr>
          <w:rFonts w:ascii="Times New Roman" w:hAnsi="Times New Roman"/>
          <w:sz w:val="20"/>
          <w:u w:val="single"/>
        </w:rPr>
        <w:t>Section 1.1(b)</w:t>
      </w:r>
      <w:r>
        <w:rPr>
          <w:rFonts w:ascii="Times New Roman" w:hAnsi="Times New Roman"/>
          <w:sz w:val="20"/>
        </w:rPr>
        <w:t xml:space="preserve"> of the Parent Disclosure Letter, if any, </w:t>
      </w:r>
      <w:r>
        <w:rPr>
          <w:rFonts w:ascii="Times New Roman" w:hAnsi="Times New Roman"/>
          <w:i/>
          <w:sz w:val="20"/>
          <w:u w:val="single"/>
        </w:rPr>
        <w:t>minus</w:t>
      </w:r>
      <w:r>
        <w:rPr>
          <w:rFonts w:ascii="Times New Roman" w:hAnsi="Times New Roman"/>
          <w:sz w:val="20"/>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i/>
          <w:sz w:val="20"/>
          <w:u w:val="single"/>
        </w:rPr>
        <w:t>minus</w:t>
      </w:r>
      <w:r>
        <w:rPr>
          <w:rFonts w:ascii="Times New Roman" w:hAnsi="Times New Roman"/>
          <w:sz w:val="20"/>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 to any director,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hAnsi="Times New Roman"/>
          <w:sz w:val="20"/>
          <w:u w:val="single"/>
        </w:rPr>
        <w:t>Section 6.7</w:t>
      </w:r>
      <w:r>
        <w:rPr>
          <w:rFonts w:ascii="Times New Roman" w:hAnsi="Times New Roman"/>
          <w:sz w:val="20"/>
        </w:rPr>
        <w:t xml:space="preserve">, and (ix) all costs and expenses associated with any dividend of any excess Parent Net Cash, in each case, to the extent unpaid as of the First Effective Time, </w:t>
      </w:r>
      <w:r>
        <w:rPr>
          <w:rFonts w:ascii="Times New Roman" w:hAnsi="Times New Roman"/>
          <w:i/>
          <w:sz w:val="20"/>
          <w:u w:val="single"/>
        </w:rPr>
        <w:t>minus</w:t>
      </w:r>
      <w:r>
        <w:rPr>
          <w:rFonts w:ascii="Times New Roman" w:hAnsi="Times New Roman"/>
          <w:sz w:val="20"/>
        </w:rPr>
        <w:t xml:space="preserve"> (e) all remaining rent payments and fees and expenses associated with terminating the Parent Real Estate Leases, </w:t>
      </w:r>
      <w:r>
        <w:rPr>
          <w:rFonts w:ascii="Times New Roman" w:hAnsi="Times New Roman"/>
          <w:i/>
          <w:sz w:val="20"/>
          <w:u w:val="single"/>
        </w:rPr>
        <w:t>minus</w:t>
      </w:r>
      <w:r>
        <w:rPr>
          <w:rFonts w:ascii="Times New Roman" w:hAnsi="Times New Roman"/>
          <w:sz w:val="20"/>
        </w:rPr>
        <w:t xml:space="preserve"> (f) the Accrued Pre-Closing Tax Amount, </w:t>
      </w:r>
      <w:r>
        <w:rPr>
          <w:rFonts w:ascii="Times New Roman" w:hAnsi="Times New Roman"/>
          <w:i/>
          <w:sz w:val="20"/>
          <w:u w:val="single"/>
        </w:rPr>
        <w:t>minus</w:t>
      </w:r>
      <w:r>
        <w:rPr>
          <w:rFonts w:ascii="Times New Roman" w:hAnsi="Times New Roman"/>
          <w:sz w:val="20"/>
        </w:rPr>
        <w:t xml:space="preserve"> (g) 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hAnsi="Times New Roman"/>
          <w:i/>
          <w:sz w:val="20"/>
          <w:u w:val="single"/>
        </w:rPr>
        <w:t>minus</w:t>
      </w:r>
      <w:r>
        <w:rPr>
          <w:rFonts w:ascii="Times New Roman" w:hAnsi="Times New Roman"/>
          <w:sz w:val="20"/>
        </w:rPr>
        <w:t xml:space="preserve"> (h) the Parent Stock Option Cash Consideration, minus (i) to the extent not declared and paid prior to delivery of the Parent Net Cash Schedule, the Parent Pre-Closing Dividend Amount (if any). For avoidance of doubt, the calculation of Parent Net Cash may result in a number below $0.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including those granted by Parent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shares of Parent Capital Stock designated as preferred stock, no par value per share, including the Parent Convertible Preferred Stock. </w:t>
      </w:r>
    </w:p>
    <w:p>
      <w:pPr>
        <w:pStyle w:val="TextBody"/>
        <w:bidi w:val="0"/>
        <w:spacing w:before="24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Restricted Stock Award</w:t>
      </w:r>
      <w:r>
        <w:rPr>
          <w:rFonts w:ascii="Times New Roman" w:hAnsi="Times New Roman"/>
          <w:sz w:val="20"/>
        </w:rPr>
        <w:t xml:space="preserve">” means an award of restricted shares of Parent Common Stock.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prior to the approval of this Agreement and the Contemplated Transactions by Parent’s shareholders and subject to </w:t>
      </w:r>
      <w:r>
        <w:rPr>
          <w:rFonts w:ascii="Times New Roman" w:hAnsi="Times New Roman"/>
          <w:sz w:val="20"/>
          <w:u w:val="single"/>
        </w:rPr>
        <w:t>Section 6.3(c)</w:t>
      </w:r>
      <w:r>
        <w:rPr>
          <w:rFonts w:ascii="Times New Roman" w:hAnsi="Times New Roman"/>
          <w:sz w:val="20"/>
        </w:rPr>
        <w:t xml:space="preserve">: (a) Parent shall have failed to include in the Proxy Statement the Parent Board Recommendation, (b) the Parent Board or any committee thereof shall have made a Parent Board Adverse Recommendation Change or subject to </w:t>
      </w:r>
      <w:r>
        <w:rPr>
          <w:rFonts w:ascii="Times New Roman" w:hAnsi="Times New Roman"/>
          <w:sz w:val="20"/>
          <w:u w:val="single"/>
        </w:rPr>
        <w:t>Section 6.3(e)</w:t>
      </w:r>
      <w:r>
        <w:rPr>
          <w:rFonts w:ascii="Times New Roman" w:hAnsi="Times New Roman"/>
          <w:sz w:val="20"/>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or supplies for amounts that are not yet due and payable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 Person, such Person’s directors, officers, employees, agents, attorneys, accountants, investment bankers, advisors and other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Transactions, (c) is not subject to any financing conditions (and if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85"/>
        <w:gridCol w:w="120"/>
        <w:gridCol w:w="92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985" w:type="dxa"/>
            <w:tcBorders/>
            <w:vAlign w:val="center"/>
          </w:tcPr>
          <w:p>
            <w:pPr>
              <w:pStyle w:val="TableContents"/>
              <w:bidi w:val="0"/>
              <w:spacing w:before="0" w:after="283"/>
              <w:jc w:val="left"/>
              <w:rPr/>
            </w:pPr>
            <w:r>
              <w:rPr/>
              <w:t>AAA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4985" w:type="dxa"/>
            <w:tcBorders/>
            <w:vAlign w:val="center"/>
          </w:tcPr>
          <w:p>
            <w:pPr>
              <w:pStyle w:val="TableContents"/>
              <w:bidi w:val="0"/>
              <w:spacing w:before="0" w:after="283"/>
              <w:jc w:val="left"/>
              <w:rPr/>
            </w:pPr>
            <w:r>
              <w:rPr/>
              <w:t>Accounting Firm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2.8(f)</w:t>
            </w:r>
          </w:p>
        </w:tc>
      </w:tr>
      <w:tr>
        <w:trPr/>
        <w:tc>
          <w:tcPr>
            <w:tcW w:w="4985" w:type="dxa"/>
            <w:tcBorders/>
            <w:vAlign w:val="center"/>
          </w:tcPr>
          <w:p>
            <w:pPr>
              <w:pStyle w:val="TableContents"/>
              <w:bidi w:val="0"/>
              <w:spacing w:before="0" w:after="283"/>
              <w:jc w:val="left"/>
              <w:rPr/>
            </w:pPr>
            <w:r>
              <w:rPr/>
              <w:t>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985" w:type="dxa"/>
            <w:tcBorders/>
            <w:vAlign w:val="center"/>
          </w:tcPr>
          <w:p>
            <w:pPr>
              <w:pStyle w:val="TableContents"/>
              <w:bidi w:val="0"/>
              <w:spacing w:before="0" w:after="283"/>
              <w:jc w:val="left"/>
              <w:rPr/>
            </w:pPr>
            <w:r>
              <w:rPr/>
              <w:t>Allocation Certificate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6.15</w:t>
            </w:r>
          </w:p>
        </w:tc>
      </w:tr>
      <w:tr>
        <w:trPr/>
        <w:tc>
          <w:tcPr>
            <w:tcW w:w="4985" w:type="dxa"/>
            <w:tcBorders/>
            <w:vAlign w:val="center"/>
          </w:tcPr>
          <w:p>
            <w:pPr>
              <w:pStyle w:val="TableContents"/>
              <w:bidi w:val="0"/>
              <w:spacing w:before="0" w:after="283"/>
              <w:jc w:val="left"/>
              <w:rPr/>
            </w:pPr>
            <w:r>
              <w:rPr/>
              <w:t>Antitrust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6.4(b)</w:t>
            </w:r>
          </w:p>
        </w:tc>
      </w:tr>
      <w:tr>
        <w:trPr/>
        <w:tc>
          <w:tcPr>
            <w:tcW w:w="4985" w:type="dxa"/>
            <w:tcBorders/>
            <w:vAlign w:val="center"/>
          </w:tcPr>
          <w:p>
            <w:pPr>
              <w:pStyle w:val="TableContents"/>
              <w:bidi w:val="0"/>
              <w:spacing w:before="0" w:after="283"/>
              <w:jc w:val="left"/>
              <w:rPr/>
            </w:pPr>
            <w:r>
              <w:rPr/>
              <w:t>Assumed Option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6.5(a)</w:t>
            </w:r>
          </w:p>
        </w:tc>
      </w:tr>
      <w:tr>
        <w:trPr/>
        <w:tc>
          <w:tcPr>
            <w:tcW w:w="4985" w:type="dxa"/>
            <w:tcBorders/>
            <w:vAlign w:val="center"/>
          </w:tcPr>
          <w:p>
            <w:pPr>
              <w:pStyle w:val="TableContents"/>
              <w:bidi w:val="0"/>
              <w:spacing w:before="0" w:after="283"/>
              <w:jc w:val="left"/>
              <w:rPr/>
            </w:pPr>
            <w:r>
              <w:rPr/>
              <w:t>Assumed RSU Award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6.5(b)</w:t>
            </w:r>
          </w:p>
        </w:tc>
      </w:tr>
      <w:tr>
        <w:trPr/>
        <w:tc>
          <w:tcPr>
            <w:tcW w:w="4985" w:type="dxa"/>
            <w:tcBorders/>
            <w:vAlign w:val="center"/>
          </w:tcPr>
          <w:p>
            <w:pPr>
              <w:pStyle w:val="TableContents"/>
              <w:bidi w:val="0"/>
              <w:spacing w:before="0" w:after="283"/>
              <w:jc w:val="left"/>
              <w:rPr/>
            </w:pPr>
            <w:r>
              <w:rPr/>
              <w:t>Assumed Warrant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6.5(c)</w:t>
            </w:r>
          </w:p>
        </w:tc>
      </w:tr>
      <w:tr>
        <w:trPr/>
        <w:tc>
          <w:tcPr>
            <w:tcW w:w="4985" w:type="dxa"/>
            <w:tcBorders/>
            <w:vAlign w:val="center"/>
          </w:tcPr>
          <w:p>
            <w:pPr>
              <w:pStyle w:val="TableContents"/>
              <w:bidi w:val="0"/>
              <w:spacing w:before="0" w:after="283"/>
              <w:jc w:val="left"/>
              <w:rPr/>
            </w:pPr>
            <w:r>
              <w:rPr/>
              <w:t>Balance Sheet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4985" w:type="dxa"/>
            <w:tcBorders/>
            <w:vAlign w:val="center"/>
          </w:tcPr>
          <w:p>
            <w:pPr>
              <w:pStyle w:val="TableContents"/>
              <w:bidi w:val="0"/>
              <w:spacing w:before="0" w:after="283"/>
              <w:jc w:val="left"/>
              <w:rPr/>
            </w:pPr>
            <w:r>
              <w:rPr/>
              <w:t>Beneficial Ownership Limitation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2.5(h)</w:t>
            </w:r>
          </w:p>
        </w:tc>
      </w:tr>
      <w:tr>
        <w:trPr/>
        <w:tc>
          <w:tcPr>
            <w:tcW w:w="4985" w:type="dxa"/>
            <w:tcBorders/>
            <w:vAlign w:val="center"/>
          </w:tcPr>
          <w:p>
            <w:pPr>
              <w:pStyle w:val="TableContents"/>
              <w:bidi w:val="0"/>
              <w:spacing w:before="0" w:after="283"/>
              <w:jc w:val="left"/>
              <w:rPr/>
            </w:pPr>
            <w:r>
              <w:rPr/>
              <w:t>Calculation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2.8(a)</w:t>
            </w:r>
          </w:p>
        </w:tc>
      </w:tr>
      <w:tr>
        <w:trPr/>
        <w:tc>
          <w:tcPr>
            <w:tcW w:w="4985" w:type="dxa"/>
            <w:tcBorders/>
            <w:vAlign w:val="center"/>
          </w:tcPr>
          <w:p>
            <w:pPr>
              <w:pStyle w:val="TableContents"/>
              <w:bidi w:val="0"/>
              <w:spacing w:before="0" w:after="283"/>
              <w:jc w:val="left"/>
              <w:rPr/>
            </w:pPr>
            <w:r>
              <w:rPr/>
              <w:t>Capitalization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4.6(a)</w:t>
            </w:r>
          </w:p>
        </w:tc>
      </w:tr>
      <w:tr>
        <w:trPr/>
        <w:tc>
          <w:tcPr>
            <w:tcW w:w="4985" w:type="dxa"/>
            <w:tcBorders/>
            <w:vAlign w:val="center"/>
          </w:tcPr>
          <w:p>
            <w:pPr>
              <w:pStyle w:val="TableContents"/>
              <w:bidi w:val="0"/>
              <w:spacing w:before="0" w:after="283"/>
              <w:jc w:val="left"/>
              <w:rPr/>
            </w:pPr>
            <w:r>
              <w:rPr/>
              <w:t>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Certifications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4985" w:type="dxa"/>
            <w:tcBorders/>
            <w:vAlign w:val="center"/>
          </w:tcPr>
          <w:p>
            <w:pPr>
              <w:pStyle w:val="TableContents"/>
              <w:bidi w:val="0"/>
              <w:spacing w:before="0" w:after="283"/>
              <w:jc w:val="left"/>
              <w:rPr/>
            </w:pPr>
            <w:r>
              <w:rPr/>
              <w:t>Closing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985" w:type="dxa"/>
            <w:tcBorders/>
            <w:vAlign w:val="center"/>
          </w:tcPr>
          <w:p>
            <w:pPr>
              <w:pStyle w:val="TableContents"/>
              <w:bidi w:val="0"/>
              <w:spacing w:before="0" w:after="283"/>
              <w:jc w:val="left"/>
              <w:rPr/>
            </w:pPr>
            <w:r>
              <w:rPr/>
              <w:t>Company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3.17(j)</w:t>
            </w:r>
          </w:p>
        </w:tc>
      </w:tr>
      <w:tr>
        <w:trPr/>
        <w:tc>
          <w:tcPr>
            <w:tcW w:w="4985" w:type="dxa"/>
            <w:tcBorders/>
            <w:vAlign w:val="center"/>
          </w:tcPr>
          <w:p>
            <w:pPr>
              <w:pStyle w:val="TableContents"/>
              <w:bidi w:val="0"/>
              <w:spacing w:before="0" w:after="283"/>
              <w:jc w:val="left"/>
              <w:rPr/>
            </w:pPr>
            <w:r>
              <w:rPr/>
              <w:t>Company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985" w:type="dxa"/>
            <w:tcBorders/>
            <w:vAlign w:val="center"/>
          </w:tcPr>
          <w:p>
            <w:pPr>
              <w:pStyle w:val="TableContents"/>
              <w:bidi w:val="0"/>
              <w:spacing w:before="0" w:after="283"/>
              <w:jc w:val="left"/>
              <w:rPr/>
            </w:pPr>
            <w:r>
              <w:rPr/>
              <w:t>Company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6.2(c)</w:t>
            </w:r>
          </w:p>
        </w:tc>
      </w:tr>
      <w:tr>
        <w:trPr/>
        <w:tc>
          <w:tcPr>
            <w:tcW w:w="4985" w:type="dxa"/>
            <w:tcBorders/>
            <w:vAlign w:val="center"/>
          </w:tcPr>
          <w:p>
            <w:pPr>
              <w:pStyle w:val="TableContents"/>
              <w:bidi w:val="0"/>
              <w:spacing w:before="0" w:after="283"/>
              <w:jc w:val="left"/>
              <w:rPr/>
            </w:pPr>
            <w:r>
              <w:rPr/>
              <w:t>Company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3</w:t>
            </w:r>
          </w:p>
        </w:tc>
      </w:tr>
      <w:tr>
        <w:trPr/>
        <w:tc>
          <w:tcPr>
            <w:tcW w:w="4985" w:type="dxa"/>
            <w:tcBorders/>
            <w:vAlign w:val="center"/>
          </w:tcPr>
          <w:p>
            <w:pPr>
              <w:pStyle w:val="TableContents"/>
              <w:bidi w:val="0"/>
              <w:spacing w:before="0" w:after="283"/>
              <w:jc w:val="left"/>
              <w:rPr/>
            </w:pPr>
            <w:r>
              <w:rPr/>
              <w:t>Company Financial Statements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4985" w:type="dxa"/>
            <w:tcBorders/>
            <w:vAlign w:val="center"/>
          </w:tcPr>
          <w:p>
            <w:pPr>
              <w:pStyle w:val="TableContents"/>
              <w:bidi w:val="0"/>
              <w:spacing w:before="0" w:after="283"/>
              <w:jc w:val="left"/>
              <w:rPr/>
            </w:pPr>
            <w:r>
              <w:rPr/>
              <w:t>Company Intervening Event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985" w:type="dxa"/>
            <w:tcBorders/>
            <w:vAlign w:val="center"/>
          </w:tcPr>
          <w:p>
            <w:pPr>
              <w:pStyle w:val="TableContents"/>
              <w:bidi w:val="0"/>
              <w:spacing w:before="0" w:after="283"/>
              <w:jc w:val="left"/>
              <w:rPr/>
            </w:pPr>
            <w:r>
              <w:rPr/>
              <w:t>Company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Material Contracts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4985" w:type="dxa"/>
            <w:tcBorders/>
            <w:vAlign w:val="center"/>
          </w:tcPr>
          <w:p>
            <w:pPr>
              <w:pStyle w:val="TableContents"/>
              <w:bidi w:val="0"/>
              <w:spacing w:before="0" w:after="283"/>
              <w:jc w:val="left"/>
              <w:rPr/>
            </w:pPr>
            <w:r>
              <w:rPr/>
              <w:t>Company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985" w:type="dxa"/>
            <w:tcBorders/>
            <w:vAlign w:val="center"/>
          </w:tcPr>
          <w:p>
            <w:pPr>
              <w:pStyle w:val="TableContents"/>
              <w:bidi w:val="0"/>
              <w:spacing w:before="0" w:after="283"/>
              <w:jc w:val="left"/>
              <w:rPr/>
            </w:pPr>
            <w:r>
              <w:rPr/>
              <w:t>Company Product Candidates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985" w:type="dxa"/>
            <w:tcBorders/>
            <w:vAlign w:val="center"/>
          </w:tcPr>
          <w:p>
            <w:pPr>
              <w:pStyle w:val="TableContents"/>
              <w:bidi w:val="0"/>
              <w:spacing w:before="0" w:after="283"/>
              <w:jc w:val="left"/>
              <w:rPr/>
            </w:pPr>
            <w:r>
              <w:rPr/>
              <w:t>Company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695" w:type="dxa"/>
        <w:jc w:val="left"/>
        <w:tblInd w:w="0" w:type="dxa"/>
        <w:tblLayout w:type="fixed"/>
        <w:tblCellMar>
          <w:top w:w="0" w:type="dxa"/>
          <w:left w:w="0" w:type="dxa"/>
          <w:bottom w:w="0" w:type="dxa"/>
          <w:right w:w="0" w:type="dxa"/>
        </w:tblCellMar>
      </w:tblPr>
      <w:tblGrid>
        <w:gridCol w:w="4655"/>
        <w:gridCol w:w="120"/>
        <w:gridCol w:w="920"/>
      </w:tblGrid>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4655" w:type="dxa"/>
            <w:tcBorders/>
            <w:vAlign w:val="center"/>
          </w:tcPr>
          <w:p>
            <w:pPr>
              <w:pStyle w:val="TableContents"/>
              <w:bidi w:val="0"/>
              <w:spacing w:before="0" w:after="283"/>
              <w:jc w:val="left"/>
              <w:rPr/>
            </w:pPr>
            <w:r>
              <w:rPr/>
              <w:t>Company Regulatory Permits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3.14(d)</w:t>
            </w:r>
          </w:p>
        </w:tc>
      </w:tr>
      <w:tr>
        <w:trPr/>
        <w:tc>
          <w:tcPr>
            <w:tcW w:w="4655" w:type="dxa"/>
            <w:tcBorders/>
            <w:vAlign w:val="center"/>
          </w:tcPr>
          <w:p>
            <w:pPr>
              <w:pStyle w:val="TableContents"/>
              <w:bidi w:val="0"/>
              <w:spacing w:before="0" w:after="283"/>
              <w:jc w:val="left"/>
              <w:rPr/>
            </w:pPr>
            <w:r>
              <w:rPr/>
              <w:t>Company Required S-4 Information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6.1(d)</w:t>
            </w:r>
          </w:p>
        </w:tc>
      </w:tr>
      <w:tr>
        <w:trPr/>
        <w:tc>
          <w:tcPr>
            <w:tcW w:w="4655" w:type="dxa"/>
            <w:tcBorders/>
            <w:vAlign w:val="center"/>
          </w:tcPr>
          <w:p>
            <w:pPr>
              <w:pStyle w:val="TableContents"/>
              <w:bidi w:val="0"/>
              <w:spacing w:before="0" w:after="283"/>
              <w:jc w:val="left"/>
              <w:rPr/>
            </w:pPr>
            <w:r>
              <w:rPr/>
              <w:t>Company Stockholder Consent Review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6.2(b)</w:t>
            </w:r>
          </w:p>
        </w:tc>
      </w:tr>
      <w:tr>
        <w:trPr/>
        <w:tc>
          <w:tcPr>
            <w:tcW w:w="4655" w:type="dxa"/>
            <w:tcBorders/>
            <w:vAlign w:val="center"/>
          </w:tcPr>
          <w:p>
            <w:pPr>
              <w:pStyle w:val="TableContents"/>
              <w:bidi w:val="0"/>
              <w:spacing w:before="0" w:after="283"/>
              <w:jc w:val="left"/>
              <w:rPr/>
            </w:pPr>
            <w:r>
              <w:rPr/>
              <w:t>Company Stockholder Support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Company Stockholder Written Consents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6.2(a)</w:t>
            </w:r>
          </w:p>
        </w:tc>
      </w:tr>
      <w:tr>
        <w:trPr/>
        <w:tc>
          <w:tcPr>
            <w:tcW w:w="4655" w:type="dxa"/>
            <w:tcBorders/>
            <w:vAlign w:val="center"/>
          </w:tcPr>
          <w:p>
            <w:pPr>
              <w:pStyle w:val="TableContents"/>
              <w:bidi w:val="0"/>
              <w:spacing w:before="0" w:after="283"/>
              <w:jc w:val="left"/>
              <w:rPr/>
            </w:pPr>
            <w:r>
              <w:rPr/>
              <w:t>Company Termination Fee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10.3(b)</w:t>
            </w:r>
          </w:p>
        </w:tc>
      </w:tr>
      <w:tr>
        <w:trPr/>
        <w:tc>
          <w:tcPr>
            <w:tcW w:w="4655" w:type="dxa"/>
            <w:tcBorders/>
            <w:vAlign w:val="center"/>
          </w:tcPr>
          <w:p>
            <w:pPr>
              <w:pStyle w:val="TableContents"/>
              <w:bidi w:val="0"/>
              <w:spacing w:before="0" w:after="283"/>
              <w:jc w:val="left"/>
              <w:rPr/>
            </w:pPr>
            <w:r>
              <w:rPr/>
              <w:t>Company Valuation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Delivery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 Valuation 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Company Valuation Response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Company Valuation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2.8(b)</w:t>
            </w:r>
          </w:p>
        </w:tc>
      </w:tr>
      <w:tr>
        <w:trPr/>
        <w:tc>
          <w:tcPr>
            <w:tcW w:w="4655"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655" w:type="dxa"/>
            <w:tcBorders/>
            <w:vAlign w:val="center"/>
          </w:tcPr>
          <w:p>
            <w:pPr>
              <w:pStyle w:val="TableContents"/>
              <w:bidi w:val="0"/>
              <w:spacing w:before="0" w:after="283"/>
              <w:jc w:val="left"/>
              <w:rPr/>
            </w:pPr>
            <w:r>
              <w:rPr/>
              <w:t>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655" w:type="dxa"/>
            <w:tcBorders/>
            <w:vAlign w:val="center"/>
          </w:tcPr>
          <w:p>
            <w:pPr>
              <w:pStyle w:val="TableContents"/>
              <w:bidi w:val="0"/>
              <w:spacing w:before="0" w:after="283"/>
              <w:jc w:val="left"/>
              <w:rPr/>
            </w:pPr>
            <w:r>
              <w:rPr/>
              <w:t>CVR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CVR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CVR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4655" w:type="dxa"/>
            <w:tcBorders/>
            <w:vAlign w:val="center"/>
          </w:tcPr>
          <w:p>
            <w:pPr>
              <w:pStyle w:val="TableContents"/>
              <w:bidi w:val="0"/>
              <w:spacing w:before="0" w:after="283"/>
              <w:jc w:val="left"/>
              <w:rPr/>
            </w:pPr>
            <w:r>
              <w:rPr/>
              <w:t>D&amp;O Indemnified Parties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6.7(a)</w:t>
            </w:r>
          </w:p>
        </w:tc>
      </w:tr>
      <w:tr>
        <w:trPr/>
        <w:tc>
          <w:tcPr>
            <w:tcW w:w="4655" w:type="dxa"/>
            <w:tcBorders/>
            <w:vAlign w:val="center"/>
          </w:tcPr>
          <w:p>
            <w:pPr>
              <w:pStyle w:val="TableContents"/>
              <w:bidi w:val="0"/>
              <w:spacing w:before="0" w:after="283"/>
              <w:jc w:val="left"/>
              <w:rPr/>
            </w:pPr>
            <w:r>
              <w:rPr/>
              <w:t>Dispute Notice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2.8(c)</w:t>
            </w:r>
          </w:p>
        </w:tc>
      </w:tr>
      <w:tr>
        <w:trPr/>
        <w:tc>
          <w:tcPr>
            <w:tcW w:w="4655" w:type="dxa"/>
            <w:tcBorders/>
            <w:vAlign w:val="center"/>
          </w:tcPr>
          <w:p>
            <w:pPr>
              <w:pStyle w:val="TableContents"/>
              <w:bidi w:val="0"/>
              <w:spacing w:before="0" w:after="283"/>
              <w:jc w:val="left"/>
              <w:rPr/>
            </w:pPr>
            <w:r>
              <w:rPr/>
              <w:t>Dissenting Shares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2.13(a)</w:t>
            </w:r>
          </w:p>
        </w:tc>
      </w:tr>
      <w:tr>
        <w:trPr/>
        <w:tc>
          <w:tcPr>
            <w:tcW w:w="4655" w:type="dxa"/>
            <w:tcBorders/>
            <w:vAlign w:val="center"/>
          </w:tcPr>
          <w:p>
            <w:pPr>
              <w:pStyle w:val="TableContents"/>
              <w:bidi w:val="0"/>
              <w:spacing w:before="0" w:after="283"/>
              <w:jc w:val="left"/>
              <w:rPr/>
            </w:pPr>
            <w:r>
              <w:rPr/>
              <w:t>Drug/Device Regulatory Agency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655" w:type="dxa"/>
            <w:tcBorders/>
            <w:vAlign w:val="center"/>
          </w:tcPr>
          <w:p>
            <w:pPr>
              <w:pStyle w:val="TableContents"/>
              <w:bidi w:val="0"/>
              <w:spacing w:before="0" w:after="283"/>
              <w:jc w:val="left"/>
              <w:rPr/>
            </w:pPr>
            <w:r>
              <w:rPr/>
              <w:t>Employment-Related Laws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3.17(k)</w:t>
            </w:r>
          </w:p>
        </w:tc>
      </w:tr>
      <w:tr>
        <w:trPr/>
        <w:tc>
          <w:tcPr>
            <w:tcW w:w="4655" w:type="dxa"/>
            <w:tcBorders/>
            <w:vAlign w:val="center"/>
          </w:tcPr>
          <w:p>
            <w:pPr>
              <w:pStyle w:val="TableContents"/>
              <w:bidi w:val="0"/>
              <w:spacing w:before="0" w:after="283"/>
              <w:jc w:val="left"/>
              <w:rPr/>
            </w:pPr>
            <w:r>
              <w:rPr/>
              <w:t>End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10.1(b)</w:t>
            </w:r>
          </w:p>
        </w:tc>
      </w:tr>
      <w:tr>
        <w:trPr/>
        <w:tc>
          <w:tcPr>
            <w:tcW w:w="4655" w:type="dxa"/>
            <w:tcBorders/>
            <w:vAlign w:val="center"/>
          </w:tcPr>
          <w:p>
            <w:pPr>
              <w:pStyle w:val="TableContents"/>
              <w:bidi w:val="0"/>
              <w:spacing w:before="0" w:after="283"/>
              <w:jc w:val="left"/>
              <w:rPr/>
            </w:pPr>
            <w:r>
              <w:rPr/>
              <w:t>Exchange Agent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2.7(a)</w:t>
            </w:r>
          </w:p>
        </w:tc>
      </w:tr>
      <w:tr>
        <w:trPr/>
        <w:tc>
          <w:tcPr>
            <w:tcW w:w="4655" w:type="dxa"/>
            <w:tcBorders/>
            <w:vAlign w:val="center"/>
          </w:tcPr>
          <w:p>
            <w:pPr>
              <w:pStyle w:val="TableContents"/>
              <w:bidi w:val="0"/>
              <w:spacing w:before="0" w:after="283"/>
              <w:jc w:val="left"/>
              <w:rPr/>
            </w:pPr>
            <w:r>
              <w:rPr/>
              <w:t>FDA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3.14(b)</w:t>
            </w:r>
          </w:p>
        </w:tc>
      </w:tr>
      <w:tr>
        <w:trPr/>
        <w:tc>
          <w:tcPr>
            <w:tcW w:w="4655" w:type="dxa"/>
            <w:tcBorders/>
            <w:vAlign w:val="center"/>
          </w:tcPr>
          <w:p>
            <w:pPr>
              <w:pStyle w:val="TableContents"/>
              <w:bidi w:val="0"/>
              <w:spacing w:before="0" w:after="283"/>
              <w:jc w:val="left"/>
              <w:rPr/>
            </w:pPr>
            <w:r>
              <w:rPr/>
              <w:t>FDCA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3.14(c)</w:t>
            </w:r>
          </w:p>
        </w:tc>
      </w:tr>
      <w:tr>
        <w:trPr/>
        <w:tc>
          <w:tcPr>
            <w:tcW w:w="4655" w:type="dxa"/>
            <w:tcBorders/>
            <w:vAlign w:val="center"/>
          </w:tcPr>
          <w:p>
            <w:pPr>
              <w:pStyle w:val="TableContents"/>
              <w:bidi w:val="0"/>
              <w:spacing w:before="0" w:after="283"/>
              <w:jc w:val="left"/>
              <w:rPr/>
            </w:pPr>
            <w:r>
              <w:rPr/>
              <w:t>First 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655" w:type="dxa"/>
            <w:tcBorders/>
            <w:vAlign w:val="center"/>
          </w:tcPr>
          <w:p>
            <w:pPr>
              <w:pStyle w:val="TableContents"/>
              <w:bidi w:val="0"/>
              <w:spacing w:before="0" w:after="283"/>
              <w:jc w:val="left"/>
              <w:rPr/>
            </w:pPr>
            <w:r>
              <w:rPr/>
              <w:t>First Effective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4655" w:type="dxa"/>
            <w:tcBorders/>
            <w:vAlign w:val="center"/>
          </w:tcPr>
          <w:p>
            <w:pPr>
              <w:pStyle w:val="TableContents"/>
              <w:bidi w:val="0"/>
              <w:spacing w:before="0" w:after="283"/>
              <w:jc w:val="left"/>
              <w:rPr/>
            </w:pPr>
            <w:r>
              <w:rPr/>
              <w:t>First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First Step Surviving Corporation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w:t>
            </w:r>
          </w:p>
        </w:tc>
      </w:tr>
      <w:tr>
        <w:trPr/>
        <w:tc>
          <w:tcPr>
            <w:tcW w:w="4655" w:type="dxa"/>
            <w:tcBorders/>
            <w:vAlign w:val="center"/>
          </w:tcPr>
          <w:p>
            <w:pPr>
              <w:pStyle w:val="TableContents"/>
              <w:bidi w:val="0"/>
              <w:spacing w:before="0" w:after="283"/>
              <w:jc w:val="left"/>
              <w:rPr/>
            </w:pPr>
            <w:r>
              <w:rPr/>
              <w:t>Form S-4</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4655" w:type="dxa"/>
            <w:tcBorders/>
            <w:vAlign w:val="center"/>
          </w:tcPr>
          <w:p>
            <w:pPr>
              <w:pStyle w:val="TableContents"/>
              <w:bidi w:val="0"/>
              <w:spacing w:before="0" w:after="283"/>
              <w:jc w:val="left"/>
              <w:rPr/>
            </w:pPr>
            <w:r>
              <w:rPr/>
              <w:t>Intended Tax Treatment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2.11</w:t>
            </w:r>
          </w:p>
        </w:tc>
      </w:tr>
      <w:tr>
        <w:trPr/>
        <w:tc>
          <w:tcPr>
            <w:tcW w:w="4655" w:type="dxa"/>
            <w:tcBorders/>
            <w:vAlign w:val="center"/>
          </w:tcPr>
          <w:p>
            <w:pPr>
              <w:pStyle w:val="TableContents"/>
              <w:bidi w:val="0"/>
              <w:spacing w:before="0" w:after="283"/>
              <w:jc w:val="left"/>
              <w:rPr/>
            </w:pPr>
            <w:r>
              <w:rPr/>
              <w:t>Liability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3.9</w:t>
            </w:r>
          </w:p>
        </w:tc>
      </w:tr>
      <w:tr>
        <w:trPr/>
        <w:tc>
          <w:tcPr>
            <w:tcW w:w="4655" w:type="dxa"/>
            <w:tcBorders/>
            <w:vAlign w:val="center"/>
          </w:tcPr>
          <w:p>
            <w:pPr>
              <w:pStyle w:val="TableContents"/>
              <w:bidi w:val="0"/>
              <w:spacing w:before="0" w:after="283"/>
              <w:jc w:val="left"/>
              <w:rPr/>
            </w:pPr>
            <w:r>
              <w:rPr/>
              <w:t>Lock-Up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Lock-Up Agreements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Merger Consideration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2.5(a)(iii)</w:t>
            </w:r>
          </w:p>
        </w:tc>
      </w:tr>
      <w:tr>
        <w:trPr/>
        <w:tc>
          <w:tcPr>
            <w:tcW w:w="4655" w:type="dxa"/>
            <w:tcBorders/>
            <w:vAlign w:val="center"/>
          </w:tcPr>
          <w:p>
            <w:pPr>
              <w:pStyle w:val="TableContents"/>
              <w:bidi w:val="0"/>
              <w:spacing w:before="0" w:after="283"/>
              <w:jc w:val="left"/>
              <w:rPr/>
            </w:pPr>
            <w:r>
              <w:rPr/>
              <w:t>Merger Subs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4655" w:type="dxa"/>
            <w:tcBorders/>
            <w:vAlign w:val="center"/>
          </w:tcPr>
          <w:p>
            <w:pPr>
              <w:pStyle w:val="TableContents"/>
              <w:bidi w:val="0"/>
              <w:spacing w:before="0" w:after="283"/>
              <w:jc w:val="left"/>
              <w:rPr/>
            </w:pPr>
            <w:r>
              <w:rPr/>
              <w:t>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w:t>
            </w:r>
          </w:p>
        </w:tc>
      </w:tr>
      <w:tr>
        <w:trPr/>
        <w:tc>
          <w:tcPr>
            <w:tcW w:w="4655" w:type="dxa"/>
            <w:tcBorders/>
            <w:vAlign w:val="center"/>
          </w:tcPr>
          <w:p>
            <w:pPr>
              <w:pStyle w:val="TableContents"/>
              <w:bidi w:val="0"/>
              <w:spacing w:before="0" w:after="283"/>
              <w:jc w:val="left"/>
              <w:rPr/>
            </w:pPr>
            <w:r>
              <w:rPr/>
              <w:t>Nasdaq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655" w:type="dxa"/>
            <w:tcBorders/>
            <w:vAlign w:val="center"/>
          </w:tcPr>
          <w:p>
            <w:pPr>
              <w:pStyle w:val="TableContents"/>
              <w:bidi w:val="0"/>
              <w:spacing w:before="0" w:after="283"/>
              <w:jc w:val="left"/>
              <w:rPr/>
            </w:pPr>
            <w:r>
              <w:rPr/>
              <w:t>Nasdaq Listing Application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6.9</w:t>
            </w:r>
          </w:p>
        </w:tc>
      </w:tr>
      <w:tr>
        <w:trPr/>
        <w:tc>
          <w:tcPr>
            <w:tcW w:w="4655" w:type="dxa"/>
            <w:tcBorders/>
            <w:vAlign w:val="center"/>
          </w:tcPr>
          <w:p>
            <w:pPr>
              <w:pStyle w:val="TableContents"/>
              <w:bidi w:val="0"/>
              <w:spacing w:before="0" w:after="283"/>
              <w:jc w:val="left"/>
              <w:rPr/>
            </w:pPr>
            <w:r>
              <w:rPr/>
              <w:t>Notice Period</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6.2(d)</w:t>
            </w:r>
          </w:p>
        </w:tc>
      </w:tr>
      <w:tr>
        <w:trPr/>
        <w:tc>
          <w:tcPr>
            <w:tcW w:w="4655" w:type="dxa"/>
            <w:tcBorders/>
            <w:vAlign w:val="center"/>
          </w:tcPr>
          <w:p>
            <w:pPr>
              <w:pStyle w:val="TableContents"/>
              <w:bidi w:val="0"/>
              <w:spacing w:before="0" w:after="283"/>
              <w:jc w:val="left"/>
              <w:rPr/>
            </w:pPr>
            <w:r>
              <w:rPr/>
              <w:t>Ordinary Course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3.16(g)</w:t>
            </w:r>
          </w:p>
        </w:tc>
      </w:tr>
      <w:tr>
        <w:trPr/>
        <w:tc>
          <w:tcPr>
            <w:tcW w:w="4655" w:type="dxa"/>
            <w:tcBorders/>
            <w:vAlign w:val="center"/>
          </w:tcPr>
          <w:p>
            <w:pPr>
              <w:pStyle w:val="TableContents"/>
              <w:bidi w:val="0"/>
              <w:spacing w:before="0" w:after="283"/>
              <w:jc w:val="left"/>
              <w:rPr/>
            </w:pPr>
            <w:r>
              <w:rPr/>
              <w:t>Parent 409A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4.17(j)</w:t>
            </w:r>
          </w:p>
        </w:tc>
      </w:tr>
      <w:tr>
        <w:trPr/>
        <w:tc>
          <w:tcPr>
            <w:tcW w:w="4655" w:type="dxa"/>
            <w:tcBorders/>
            <w:vAlign w:val="center"/>
          </w:tcPr>
          <w:p>
            <w:pPr>
              <w:pStyle w:val="TableContents"/>
              <w:bidi w:val="0"/>
              <w:spacing w:before="0" w:after="283"/>
              <w:jc w:val="left"/>
              <w:rPr/>
            </w:pPr>
            <w:r>
              <w:rPr/>
              <w:t>Parent Articles of Amendment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2.4(b)(ii)</w:t>
            </w:r>
          </w:p>
        </w:tc>
      </w:tr>
      <w:tr>
        <w:trPr/>
        <w:tc>
          <w:tcPr>
            <w:tcW w:w="4655" w:type="dxa"/>
            <w:tcBorders/>
            <w:vAlign w:val="center"/>
          </w:tcPr>
          <w:p>
            <w:pPr>
              <w:pStyle w:val="TableContents"/>
              <w:bidi w:val="0"/>
              <w:spacing w:before="0" w:after="283"/>
              <w:jc w:val="left"/>
              <w:rPr/>
            </w:pPr>
            <w:r>
              <w:rPr/>
              <w:t>Parent Board Adverse Recommendation Change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655" w:type="dxa"/>
            <w:tcBorders/>
            <w:vAlign w:val="center"/>
          </w:tcPr>
          <w:p>
            <w:pPr>
              <w:pStyle w:val="TableContents"/>
              <w:bidi w:val="0"/>
              <w:spacing w:before="0" w:after="283"/>
              <w:jc w:val="left"/>
              <w:rPr/>
            </w:pPr>
            <w:r>
              <w:rPr/>
              <w:t>Parent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6.3(b)</w:t>
            </w:r>
          </w:p>
        </w:tc>
      </w:tr>
      <w:tr>
        <w:trPr/>
        <w:tc>
          <w:tcPr>
            <w:tcW w:w="4655" w:type="dxa"/>
            <w:tcBorders/>
            <w:vAlign w:val="center"/>
          </w:tcPr>
          <w:p>
            <w:pPr>
              <w:pStyle w:val="TableContents"/>
              <w:bidi w:val="0"/>
              <w:spacing w:before="0" w:after="283"/>
              <w:jc w:val="left"/>
              <w:rPr/>
            </w:pPr>
            <w:r>
              <w:rPr/>
              <w:t>Parent Common Stock Payment Shares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w:t>
            </w:r>
          </w:p>
        </w:tc>
      </w:tr>
      <w:tr>
        <w:trPr/>
        <w:tc>
          <w:tcPr>
            <w:tcW w:w="4655" w:type="dxa"/>
            <w:tcBorders/>
            <w:vAlign w:val="center"/>
          </w:tcPr>
          <w:p>
            <w:pPr>
              <w:pStyle w:val="TableContents"/>
              <w:bidi w:val="0"/>
              <w:spacing w:before="0" w:after="283"/>
              <w:jc w:val="left"/>
              <w:rPr/>
            </w:pPr>
            <w:r>
              <w:rPr/>
              <w:t>Parent Disclosure Letter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Section 4</w:t>
            </w:r>
          </w:p>
        </w:tc>
      </w:tr>
      <w:tr>
        <w:trPr/>
        <w:tc>
          <w:tcPr>
            <w:tcW w:w="4655" w:type="dxa"/>
            <w:tcBorders/>
            <w:vAlign w:val="center"/>
          </w:tcPr>
          <w:p>
            <w:pPr>
              <w:pStyle w:val="TableContents"/>
              <w:bidi w:val="0"/>
              <w:spacing w:before="0" w:after="283"/>
              <w:jc w:val="left"/>
              <w:rPr/>
            </w:pPr>
            <w:r>
              <w:rPr/>
              <w:t>Parent Intervening Event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6.3(c)</w:t>
            </w:r>
          </w:p>
        </w:tc>
      </w:tr>
      <w:tr>
        <w:trPr/>
        <w:tc>
          <w:tcPr>
            <w:tcW w:w="4655" w:type="dxa"/>
            <w:tcBorders/>
            <w:vAlign w:val="center"/>
          </w:tcPr>
          <w:p>
            <w:pPr>
              <w:pStyle w:val="TableContents"/>
              <w:bidi w:val="0"/>
              <w:spacing w:before="0" w:after="283"/>
              <w:jc w:val="left"/>
              <w:rPr/>
            </w:pPr>
            <w:r>
              <w:rPr/>
              <w:t>Parent Legacy Transaction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5.1(c)(i)</w:t>
            </w:r>
          </w:p>
        </w:tc>
      </w:tr>
      <w:tr>
        <w:trPr/>
        <w:tc>
          <w:tcPr>
            <w:tcW w:w="4655" w:type="dxa"/>
            <w:tcBorders/>
            <w:vAlign w:val="center"/>
          </w:tcPr>
          <w:p>
            <w:pPr>
              <w:pStyle w:val="TableContents"/>
              <w:bidi w:val="0"/>
              <w:spacing w:before="0" w:after="283"/>
              <w:jc w:val="left"/>
              <w:rPr/>
            </w:pPr>
            <w:r>
              <w:rPr/>
              <w:t>Parent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35" w:type="dxa"/>
        <w:jc w:val="left"/>
        <w:tblInd w:w="0" w:type="dxa"/>
        <w:tblLayout w:type="fixed"/>
        <w:tblCellMar>
          <w:top w:w="0" w:type="dxa"/>
          <w:left w:w="0" w:type="dxa"/>
          <w:bottom w:w="0" w:type="dxa"/>
          <w:right w:w="0" w:type="dxa"/>
        </w:tblCellMar>
      </w:tblPr>
      <w:tblGrid>
        <w:gridCol w:w="3755"/>
        <w:gridCol w:w="120"/>
        <w:gridCol w:w="860"/>
      </w:tblGrid>
      <w:tr>
        <w:trPr/>
        <w:tc>
          <w:tcPr>
            <w:tcW w:w="3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755" w:type="dxa"/>
            <w:tcBorders/>
            <w:vAlign w:val="center"/>
          </w:tcPr>
          <w:p>
            <w:pPr>
              <w:pStyle w:val="TableContents"/>
              <w:bidi w:val="0"/>
              <w:spacing w:before="0" w:after="283"/>
              <w:jc w:val="left"/>
              <w:rPr/>
            </w:pPr>
            <w:r>
              <w:rPr/>
              <w:t>Parent Net Cash Calculation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2.8(a)</w:t>
            </w:r>
          </w:p>
        </w:tc>
      </w:tr>
      <w:tr>
        <w:trPr/>
        <w:tc>
          <w:tcPr>
            <w:tcW w:w="3755" w:type="dxa"/>
            <w:tcBorders/>
            <w:vAlign w:val="center"/>
          </w:tcPr>
          <w:p>
            <w:pPr>
              <w:pStyle w:val="TableContents"/>
              <w:bidi w:val="0"/>
              <w:spacing w:before="0" w:after="283"/>
              <w:jc w:val="left"/>
              <w:rPr/>
            </w:pPr>
            <w:r>
              <w:rPr/>
              <w:t>Parent Net Cash Schedule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2.8(a)</w:t>
            </w:r>
          </w:p>
        </w:tc>
      </w:tr>
      <w:tr>
        <w:trPr/>
        <w:tc>
          <w:tcPr>
            <w:tcW w:w="3755" w:type="dxa"/>
            <w:tcBorders/>
            <w:vAlign w:val="center"/>
          </w:tcPr>
          <w:p>
            <w:pPr>
              <w:pStyle w:val="TableContents"/>
              <w:bidi w:val="0"/>
              <w:spacing w:before="0" w:after="283"/>
              <w:jc w:val="left"/>
              <w:rPr/>
            </w:pPr>
            <w:r>
              <w:rPr/>
              <w:t>Parent Notice Period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6.3(c)</w:t>
            </w:r>
          </w:p>
        </w:tc>
      </w:tr>
      <w:tr>
        <w:trPr/>
        <w:tc>
          <w:tcPr>
            <w:tcW w:w="3755" w:type="dxa"/>
            <w:tcBorders/>
            <w:vAlign w:val="center"/>
          </w:tcPr>
          <w:p>
            <w:pPr>
              <w:pStyle w:val="TableContents"/>
              <w:bidi w:val="0"/>
              <w:spacing w:before="0" w:after="283"/>
              <w:jc w:val="left"/>
              <w:rPr/>
            </w:pPr>
            <w:r>
              <w:rPr/>
              <w:t>Parent Permits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4.14(b)</w:t>
            </w:r>
          </w:p>
        </w:tc>
      </w:tr>
      <w:tr>
        <w:trPr/>
        <w:tc>
          <w:tcPr>
            <w:tcW w:w="3755" w:type="dxa"/>
            <w:tcBorders/>
            <w:vAlign w:val="center"/>
          </w:tcPr>
          <w:p>
            <w:pPr>
              <w:pStyle w:val="TableContents"/>
              <w:bidi w:val="0"/>
              <w:spacing w:before="0" w:after="283"/>
              <w:jc w:val="left"/>
              <w:rPr/>
            </w:pPr>
            <w:r>
              <w:rPr/>
              <w:t>Parent Pre-Closing Dividend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5.1(c)(ii)</w:t>
            </w:r>
          </w:p>
        </w:tc>
      </w:tr>
      <w:tr>
        <w:trPr/>
        <w:tc>
          <w:tcPr>
            <w:tcW w:w="3755" w:type="dxa"/>
            <w:tcBorders/>
            <w:vAlign w:val="center"/>
          </w:tcPr>
          <w:p>
            <w:pPr>
              <w:pStyle w:val="TableContents"/>
              <w:bidi w:val="0"/>
              <w:spacing w:before="0" w:after="283"/>
              <w:jc w:val="left"/>
              <w:rPr/>
            </w:pPr>
            <w:r>
              <w:rPr/>
              <w:t>Parent Pre-Closing Dividend Amount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5.1(c)(ii)</w:t>
            </w:r>
          </w:p>
        </w:tc>
      </w:tr>
      <w:tr>
        <w:trPr/>
        <w:tc>
          <w:tcPr>
            <w:tcW w:w="3755" w:type="dxa"/>
            <w:tcBorders/>
            <w:vAlign w:val="center"/>
          </w:tcPr>
          <w:p>
            <w:pPr>
              <w:pStyle w:val="TableContents"/>
              <w:bidi w:val="0"/>
              <w:spacing w:before="0" w:after="283"/>
              <w:jc w:val="left"/>
              <w:rPr/>
            </w:pPr>
            <w:r>
              <w:rPr/>
              <w:t>Parent Product Candidates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4.14(d)</w:t>
            </w:r>
          </w:p>
        </w:tc>
      </w:tr>
      <w:tr>
        <w:trPr/>
        <w:tc>
          <w:tcPr>
            <w:tcW w:w="3755" w:type="dxa"/>
            <w:tcBorders/>
            <w:vAlign w:val="center"/>
          </w:tcPr>
          <w:p>
            <w:pPr>
              <w:pStyle w:val="TableContents"/>
              <w:bidi w:val="0"/>
              <w:spacing w:before="0" w:after="283"/>
              <w:jc w:val="left"/>
              <w:rPr/>
            </w:pPr>
            <w:r>
              <w:rPr/>
              <w:t>Parent Real Estate Leases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4.11</w:t>
            </w:r>
          </w:p>
        </w:tc>
      </w:tr>
      <w:tr>
        <w:trPr/>
        <w:tc>
          <w:tcPr>
            <w:tcW w:w="3755" w:type="dxa"/>
            <w:tcBorders/>
            <w:vAlign w:val="center"/>
          </w:tcPr>
          <w:p>
            <w:pPr>
              <w:pStyle w:val="TableContents"/>
              <w:bidi w:val="0"/>
              <w:spacing w:before="0" w:after="283"/>
              <w:jc w:val="left"/>
              <w:rPr/>
            </w:pPr>
            <w:r>
              <w:rPr/>
              <w:t>Parent Regulatory Permits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4.14(d)</w:t>
            </w:r>
          </w:p>
        </w:tc>
      </w:tr>
      <w:tr>
        <w:trPr/>
        <w:tc>
          <w:tcPr>
            <w:tcW w:w="3755" w:type="dxa"/>
            <w:tcBorders/>
            <w:vAlign w:val="center"/>
          </w:tcPr>
          <w:p>
            <w:pPr>
              <w:pStyle w:val="TableContents"/>
              <w:bidi w:val="0"/>
              <w:spacing w:before="0" w:after="283"/>
              <w:jc w:val="left"/>
              <w:rPr/>
            </w:pPr>
            <w:r>
              <w:rPr/>
              <w:t>Parent SEC Documents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4.7(a)</w:t>
            </w:r>
          </w:p>
        </w:tc>
      </w:tr>
      <w:tr>
        <w:trPr/>
        <w:tc>
          <w:tcPr>
            <w:tcW w:w="3755" w:type="dxa"/>
            <w:tcBorders/>
            <w:vAlign w:val="center"/>
          </w:tcPr>
          <w:p>
            <w:pPr>
              <w:pStyle w:val="TableContents"/>
              <w:bidi w:val="0"/>
              <w:spacing w:before="0" w:after="283"/>
              <w:jc w:val="left"/>
              <w:rPr/>
            </w:pPr>
            <w:r>
              <w:rPr/>
              <w:t>Parent Shareholder Matters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6.3(a)</w:t>
            </w:r>
          </w:p>
        </w:tc>
      </w:tr>
      <w:tr>
        <w:trPr/>
        <w:tc>
          <w:tcPr>
            <w:tcW w:w="3755" w:type="dxa"/>
            <w:tcBorders/>
            <w:vAlign w:val="center"/>
          </w:tcPr>
          <w:p>
            <w:pPr>
              <w:pStyle w:val="TableContents"/>
              <w:bidi w:val="0"/>
              <w:spacing w:before="0" w:after="283"/>
              <w:jc w:val="left"/>
              <w:rPr/>
            </w:pPr>
            <w:r>
              <w:rPr/>
              <w:t>Parent Shareholder Meeting</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6.3(a)</w:t>
            </w:r>
          </w:p>
        </w:tc>
      </w:tr>
      <w:tr>
        <w:trPr/>
        <w:tc>
          <w:tcPr>
            <w:tcW w:w="3755" w:type="dxa"/>
            <w:tcBorders/>
            <w:vAlign w:val="center"/>
          </w:tcPr>
          <w:p>
            <w:pPr>
              <w:pStyle w:val="TableContents"/>
              <w:bidi w:val="0"/>
              <w:spacing w:before="0" w:after="283"/>
              <w:jc w:val="left"/>
              <w:rPr/>
            </w:pPr>
            <w:r>
              <w:rPr/>
              <w:t>Parent Shareholder Support Agreement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Parent Stock Plans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4.6(c)</w:t>
            </w:r>
          </w:p>
        </w:tc>
      </w:tr>
      <w:tr>
        <w:trPr/>
        <w:tc>
          <w:tcPr>
            <w:tcW w:w="3755" w:type="dxa"/>
            <w:tcBorders/>
            <w:vAlign w:val="center"/>
          </w:tcPr>
          <w:p>
            <w:pPr>
              <w:pStyle w:val="TableContents"/>
              <w:bidi w:val="0"/>
              <w:spacing w:before="0" w:after="283"/>
              <w:jc w:val="left"/>
              <w:rPr/>
            </w:pPr>
            <w:r>
              <w:rPr/>
              <w:t>PHSA</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3.14(c)</w:t>
            </w:r>
          </w:p>
        </w:tc>
      </w:tr>
      <w:tr>
        <w:trPr/>
        <w:tc>
          <w:tcPr>
            <w:tcW w:w="3755" w:type="dxa"/>
            <w:tcBorders/>
            <w:vAlign w:val="center"/>
          </w:tcPr>
          <w:p>
            <w:pPr>
              <w:pStyle w:val="TableContents"/>
              <w:bidi w:val="0"/>
              <w:spacing w:before="0" w:after="283"/>
              <w:jc w:val="left"/>
              <w:rPr/>
            </w:pPr>
            <w:r>
              <w:rPr/>
              <w:t>Post-Closing Welfare Plan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6.6(b)</w:t>
            </w:r>
          </w:p>
        </w:tc>
      </w:tr>
      <w:tr>
        <w:trPr/>
        <w:tc>
          <w:tcPr>
            <w:tcW w:w="3755" w:type="dxa"/>
            <w:tcBorders/>
            <w:vAlign w:val="center"/>
          </w:tcPr>
          <w:p>
            <w:pPr>
              <w:pStyle w:val="TableContents"/>
              <w:bidi w:val="0"/>
              <w:spacing w:before="0" w:after="283"/>
              <w:jc w:val="left"/>
              <w:rPr/>
            </w:pPr>
            <w:r>
              <w:rPr/>
              <w:t>Pre-Closing Period</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5.1(a)</w:t>
            </w:r>
          </w:p>
        </w:tc>
      </w:tr>
      <w:tr>
        <w:trPr/>
        <w:tc>
          <w:tcPr>
            <w:tcW w:w="3755" w:type="dxa"/>
            <w:tcBorders/>
            <w:vAlign w:val="center"/>
          </w:tcPr>
          <w:p>
            <w:pPr>
              <w:pStyle w:val="TableContents"/>
              <w:bidi w:val="0"/>
              <w:spacing w:before="0" w:after="283"/>
              <w:jc w:val="left"/>
              <w:rPr/>
            </w:pPr>
            <w:r>
              <w:rPr/>
              <w:t>Pre-Funded Warrants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2.5(a)(ii)</w:t>
            </w:r>
          </w:p>
        </w:tc>
      </w:tr>
      <w:tr>
        <w:trPr/>
        <w:tc>
          <w:tcPr>
            <w:tcW w:w="3755" w:type="dxa"/>
            <w:tcBorders/>
            <w:vAlign w:val="center"/>
          </w:tcPr>
          <w:p>
            <w:pPr>
              <w:pStyle w:val="TableContents"/>
              <w:bidi w:val="0"/>
              <w:spacing w:before="0" w:after="283"/>
              <w:jc w:val="left"/>
              <w:rPr/>
            </w:pPr>
            <w:r>
              <w:rPr/>
              <w:t>Privacy Policies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3.22</w:t>
            </w:r>
          </w:p>
        </w:tc>
      </w:tr>
      <w:tr>
        <w:trPr/>
        <w:tc>
          <w:tcPr>
            <w:tcW w:w="3755" w:type="dxa"/>
            <w:tcBorders/>
            <w:vAlign w:val="center"/>
          </w:tcPr>
          <w:p>
            <w:pPr>
              <w:pStyle w:val="TableContents"/>
              <w:bidi w:val="0"/>
              <w:spacing w:before="0" w:after="283"/>
              <w:jc w:val="left"/>
              <w:rPr/>
            </w:pPr>
            <w:r>
              <w:rPr/>
              <w:t>Proxy Statement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6.1(a)</w:t>
            </w:r>
          </w:p>
        </w:tc>
      </w:tr>
      <w:tr>
        <w:trPr/>
        <w:tc>
          <w:tcPr>
            <w:tcW w:w="3755" w:type="dxa"/>
            <w:tcBorders/>
            <w:vAlign w:val="center"/>
          </w:tcPr>
          <w:p>
            <w:pPr>
              <w:pStyle w:val="TableContents"/>
              <w:bidi w:val="0"/>
              <w:spacing w:before="0" w:after="283"/>
              <w:jc w:val="left"/>
              <w:rPr/>
            </w:pPr>
            <w:r>
              <w:rPr/>
              <w:t>Registration Statement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6.1(a)</w:t>
            </w:r>
          </w:p>
        </w:tc>
      </w:tr>
      <w:tr>
        <w:trPr/>
        <w:tc>
          <w:tcPr>
            <w:tcW w:w="3755" w:type="dxa"/>
            <w:tcBorders/>
            <w:vAlign w:val="center"/>
          </w:tcPr>
          <w:p>
            <w:pPr>
              <w:pStyle w:val="TableContents"/>
              <w:bidi w:val="0"/>
              <w:spacing w:before="0" w:after="283"/>
              <w:jc w:val="left"/>
              <w:rPr/>
            </w:pPr>
            <w:r>
              <w:rPr/>
              <w:t>Remaining Entitlement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2.5(a)(ii)</w:t>
            </w:r>
          </w:p>
        </w:tc>
      </w:tr>
      <w:tr>
        <w:trPr/>
        <w:tc>
          <w:tcPr>
            <w:tcW w:w="3755" w:type="dxa"/>
            <w:tcBorders/>
            <w:vAlign w:val="center"/>
          </w:tcPr>
          <w:p>
            <w:pPr>
              <w:pStyle w:val="TableContents"/>
              <w:bidi w:val="0"/>
              <w:spacing w:before="0" w:after="283"/>
              <w:jc w:val="left"/>
              <w:rPr/>
            </w:pPr>
            <w:r>
              <w:rPr/>
              <w:t>Required Company Stockholder Vote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3.4</w:t>
            </w:r>
          </w:p>
        </w:tc>
      </w:tr>
      <w:tr>
        <w:trPr/>
        <w:tc>
          <w:tcPr>
            <w:tcW w:w="3755" w:type="dxa"/>
            <w:tcBorders/>
            <w:vAlign w:val="center"/>
          </w:tcPr>
          <w:p>
            <w:pPr>
              <w:pStyle w:val="TableContents"/>
              <w:bidi w:val="0"/>
              <w:spacing w:before="0" w:after="283"/>
              <w:jc w:val="left"/>
              <w:rPr/>
            </w:pPr>
            <w:r>
              <w:rPr/>
              <w:t>Required Parent Shareholder Vote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4.4</w:t>
            </w:r>
          </w:p>
        </w:tc>
      </w:tr>
      <w:tr>
        <w:trPr/>
        <w:tc>
          <w:tcPr>
            <w:tcW w:w="3755" w:type="dxa"/>
            <w:tcBorders/>
            <w:vAlign w:val="center"/>
          </w:tcPr>
          <w:p>
            <w:pPr>
              <w:pStyle w:val="TableContents"/>
              <w:bidi w:val="0"/>
              <w:spacing w:before="0" w:after="283"/>
              <w:jc w:val="left"/>
              <w:rPr/>
            </w:pPr>
            <w:r>
              <w:rPr/>
              <w:t>Response Date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2.8(c)</w:t>
            </w:r>
          </w:p>
        </w:tc>
      </w:tr>
      <w:tr>
        <w:trPr/>
        <w:tc>
          <w:tcPr>
            <w:tcW w:w="3755" w:type="dxa"/>
            <w:tcBorders/>
            <w:vAlign w:val="center"/>
          </w:tcPr>
          <w:p>
            <w:pPr>
              <w:pStyle w:val="TableContents"/>
              <w:bidi w:val="0"/>
              <w:spacing w:before="0" w:after="283"/>
              <w:jc w:val="left"/>
              <w:rPr/>
            </w:pPr>
            <w:r>
              <w:rPr/>
              <w:t>SEC Documents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6.16</w:t>
            </w:r>
          </w:p>
        </w:tc>
      </w:tr>
      <w:tr>
        <w:trPr/>
        <w:tc>
          <w:tcPr>
            <w:tcW w:w="3755" w:type="dxa"/>
            <w:tcBorders/>
            <w:vAlign w:val="center"/>
          </w:tcPr>
          <w:p>
            <w:pPr>
              <w:pStyle w:val="TableContents"/>
              <w:bidi w:val="0"/>
              <w:spacing w:before="0" w:after="283"/>
              <w:jc w:val="left"/>
              <w:rPr/>
            </w:pPr>
            <w:r>
              <w:rPr/>
              <w:t>Second Certificate of Merger</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2.3</w:t>
            </w:r>
          </w:p>
        </w:tc>
      </w:tr>
      <w:tr>
        <w:trPr/>
        <w:tc>
          <w:tcPr>
            <w:tcW w:w="3755" w:type="dxa"/>
            <w:tcBorders/>
            <w:vAlign w:val="center"/>
          </w:tcPr>
          <w:p>
            <w:pPr>
              <w:pStyle w:val="TableContents"/>
              <w:bidi w:val="0"/>
              <w:spacing w:before="0" w:after="283"/>
              <w:jc w:val="left"/>
              <w:rPr/>
            </w:pPr>
            <w:r>
              <w:rPr/>
              <w:t>Second Effective Time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2.3</w:t>
            </w:r>
          </w:p>
        </w:tc>
      </w:tr>
      <w:tr>
        <w:trPr/>
        <w:tc>
          <w:tcPr>
            <w:tcW w:w="3755" w:type="dxa"/>
            <w:tcBorders/>
            <w:vAlign w:val="center"/>
          </w:tcPr>
          <w:p>
            <w:pPr>
              <w:pStyle w:val="TableContents"/>
              <w:bidi w:val="0"/>
              <w:spacing w:before="0" w:after="283"/>
              <w:jc w:val="left"/>
              <w:rPr/>
            </w:pPr>
            <w:r>
              <w:rPr/>
              <w:t>Second Merger</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Securities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2.5(g)</w:t>
            </w:r>
          </w:p>
        </w:tc>
      </w:tr>
      <w:tr>
        <w:trPr/>
        <w:tc>
          <w:tcPr>
            <w:tcW w:w="3755" w:type="dxa"/>
            <w:tcBorders/>
            <w:vAlign w:val="center"/>
          </w:tcPr>
          <w:p>
            <w:pPr>
              <w:pStyle w:val="TableContents"/>
              <w:bidi w:val="0"/>
              <w:spacing w:before="0" w:after="283"/>
              <w:jc w:val="left"/>
              <w:rPr/>
            </w:pPr>
            <w:r>
              <w:rPr/>
              <w:t>Stockholder Notice</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6.2(b)</w:t>
            </w:r>
          </w:p>
        </w:tc>
      </w:tr>
      <w:tr>
        <w:trPr/>
        <w:tc>
          <w:tcPr>
            <w:tcW w:w="3755" w:type="dxa"/>
            <w:tcBorders/>
            <w:vAlign w:val="center"/>
          </w:tcPr>
          <w:p>
            <w:pPr>
              <w:pStyle w:val="TableContents"/>
              <w:bidi w:val="0"/>
              <w:spacing w:before="0" w:after="283"/>
              <w:jc w:val="left"/>
              <w:rPr/>
            </w:pPr>
            <w:r>
              <w:rPr/>
              <w:t>Subscription Agreement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Recital</w:t>
            </w:r>
          </w:p>
        </w:tc>
      </w:tr>
      <w:tr>
        <w:trPr/>
        <w:tc>
          <w:tcPr>
            <w:tcW w:w="3755" w:type="dxa"/>
            <w:tcBorders/>
            <w:vAlign w:val="center"/>
          </w:tcPr>
          <w:p>
            <w:pPr>
              <w:pStyle w:val="TableContents"/>
              <w:bidi w:val="0"/>
              <w:spacing w:before="0" w:after="283"/>
              <w:jc w:val="left"/>
              <w:rPr/>
            </w:pPr>
            <w:r>
              <w:rPr/>
              <w:t>Surviving Entity</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2.1</w:t>
            </w:r>
          </w:p>
        </w:tc>
      </w:tr>
      <w:tr>
        <w:trPr/>
        <w:tc>
          <w:tcPr>
            <w:tcW w:w="3755" w:type="dxa"/>
            <w:tcBorders/>
            <w:vAlign w:val="center"/>
          </w:tcPr>
          <w:p>
            <w:pPr>
              <w:pStyle w:val="TableContents"/>
              <w:bidi w:val="0"/>
              <w:spacing w:before="0" w:after="283"/>
              <w:jc w:val="left"/>
              <w:rPr/>
            </w:pPr>
            <w:r>
              <w:rPr/>
              <w:t>Tax Certificates</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6.10(c)</w:t>
            </w:r>
          </w:p>
        </w:tc>
      </w:tr>
      <w:tr>
        <w:trPr/>
        <w:tc>
          <w:tcPr>
            <w:tcW w:w="3755" w:type="dxa"/>
            <w:tcBorders/>
            <w:vAlign w:val="center"/>
          </w:tcPr>
          <w:p>
            <w:pPr>
              <w:pStyle w:val="TableContents"/>
              <w:bidi w:val="0"/>
              <w:spacing w:before="0" w:after="283"/>
              <w:jc w:val="left"/>
              <w:rPr/>
            </w:pPr>
            <w:r>
              <w:rPr/>
              <w:t>Transaction Litigation</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6.4(c)</w:t>
            </w:r>
          </w:p>
        </w:tc>
      </w:tr>
      <w:tr>
        <w:trPr/>
        <w:tc>
          <w:tcPr>
            <w:tcW w:w="3755" w:type="dxa"/>
            <w:tcBorders/>
            <w:vAlign w:val="center"/>
          </w:tcPr>
          <w:p>
            <w:pPr>
              <w:pStyle w:val="TableContents"/>
              <w:bidi w:val="0"/>
              <w:spacing w:before="0" w:after="283"/>
              <w:jc w:val="left"/>
              <w:rPr/>
            </w:pPr>
            <w:r>
              <w:rPr/>
              <w:t>WARN Act</w:t>
            </w:r>
          </w:p>
        </w:tc>
        <w:tc>
          <w:tcPr>
            <w:tcW w:w="12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3.17(k)</w:t>
            </w:r>
          </w:p>
        </w:tc>
      </w:tr>
    </w:tbl>
    <w:p>
      <w:pPr>
        <w:pStyle w:val="TextBody"/>
        <w:bidi w:val="0"/>
        <w:spacing w:before="240" w:after="0"/>
        <w:jc w:val="left"/>
        <w:rPr>
          <w:rFonts w:ascii="Times New Roman" w:hAnsi="Times New Roman"/>
          <w:sz w:val="20"/>
        </w:rPr>
      </w:pPr>
      <w:bookmarkStart w:id="52" w:name="anxa111069_3"/>
      <w:bookmarkEnd w:id="52"/>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Letter or the Parent Disclosure Letter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53" w:name="anxa111069_4"/>
      <w:bookmarkEnd w:id="53"/>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4" w:name="anxa111069_5"/>
      <w:bookmarkEnd w:id="54"/>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hAnsi="Times New Roman"/>
          <w:b/>
          <w:sz w:val="20"/>
        </w:rPr>
        <w:t>First Step</w:t>
      </w:r>
      <w:r>
        <w:rPr>
          <w:rFonts w:ascii="Times New Roman" w:hAnsi="Times New Roman"/>
          <w:sz w:val="20"/>
        </w:rPr>
        <w:t xml:space="preserve"> </w:t>
      </w:r>
      <w:r>
        <w:rPr>
          <w:rFonts w:ascii="Times New Roman" w:hAnsi="Times New Roman"/>
          <w:b/>
          <w:sz w:val="20"/>
        </w:rPr>
        <w:t>Surviving Corporation</w:t>
      </w:r>
      <w:r>
        <w:rPr>
          <w:rFonts w:ascii="Times New Roman" w:hAnsi="Times New Roman"/>
          <w:sz w:val="20"/>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b/>
          <w:sz w:val="20"/>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5" w:name="anxa111069_6"/>
      <w:bookmarkEnd w:id="55"/>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 </w:t>
      </w:r>
    </w:p>
    <w:p>
      <w:pPr>
        <w:pStyle w:val="TextBody"/>
        <w:bidi w:val="0"/>
        <w:spacing w:before="240" w:after="0"/>
        <w:jc w:val="left"/>
        <w:rPr>
          <w:rFonts w:ascii="Times New Roman" w:hAnsi="Times New Roman"/>
          <w:sz w:val="20"/>
        </w:rPr>
      </w:pPr>
      <w:bookmarkStart w:id="56" w:name="anxa111069_7"/>
      <w:bookmarkEnd w:id="56"/>
      <w:r>
        <w:rPr>
          <w:rFonts w:ascii="Times New Roman" w:hAnsi="Times New Roman"/>
          <w:sz w:val="20"/>
        </w:rPr>
        <w:t xml:space="preserve">2.3 </w:t>
      </w:r>
      <w:r>
        <w:rPr>
          <w:rFonts w:ascii="Times New Roman" w:hAnsi="Times New Roman"/>
          <w:sz w:val="20"/>
          <w:u w:val="single"/>
        </w:rPr>
        <w:t>Closing; First Effective Time; Second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xml:space="preserve">.”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hAnsi="Times New Roman"/>
          <w:sz w:val="20"/>
          <w:u w:val="single"/>
        </w:rPr>
        <w:t>Exhibit D-1</w:t>
      </w:r>
      <w:r>
        <w:rPr>
          <w:rFonts w:ascii="Times New Roman" w:hAnsi="Times New Roman"/>
          <w:sz w:val="20"/>
        </w:rPr>
        <w:t xml:space="preserve"> and incorporated herein by reference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Certificate of Merger</w:t>
      </w:r>
      <w:r>
        <w:rPr>
          <w:rFonts w:ascii="Times New Roman" w:hAnsi="Times New Roman"/>
          <w:sz w:val="20"/>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hAnsi="Times New Roman"/>
          <w:sz w:val="20"/>
          <w:u w:val="single"/>
        </w:rPr>
        <w:t>Exhibit D-2</w:t>
      </w:r>
      <w:r>
        <w:rPr>
          <w:rFonts w:ascii="Times New Roman" w:hAnsi="Times New Roman"/>
          <w:sz w:val="20"/>
        </w:rPr>
        <w:t xml:space="preserve"> and incorporated herein by reference (the “</w:t>
      </w:r>
      <w:r>
        <w:rPr>
          <w:rFonts w:ascii="Times New Roman" w:hAnsi="Times New Roman"/>
          <w:b/>
          <w:sz w:val="20"/>
        </w:rPr>
        <w:t>Second Certificate of Merger</w:t>
      </w:r>
      <w:r>
        <w:rPr>
          <w:rFonts w:ascii="Times New Roman" w:hAnsi="Times New Roman"/>
          <w:sz w:val="20"/>
        </w:rPr>
        <w:t>” and together with the First Certificate of Merger, the “</w:t>
      </w:r>
      <w:r>
        <w:rPr>
          <w:rFonts w:ascii="Times New Roman" w:hAnsi="Times New Roman"/>
          <w:b/>
          <w:sz w:val="20"/>
        </w:rPr>
        <w:t>Certificate of Merger</w:t>
      </w:r>
      <w:r>
        <w:rPr>
          <w:rFonts w:ascii="Times New Roman" w:hAnsi="Times New Roman"/>
          <w:sz w:val="20"/>
        </w:rPr>
        <w:t>”). The First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b/>
          <w:sz w:val="20"/>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7" w:name="anxa111069_8"/>
      <w:bookmarkEnd w:id="57"/>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incorporation of the First Step Surviving Corporation shall be amended and restated in the Merger to read as set forth on </w:t>
      </w:r>
      <w:r>
        <w:rPr>
          <w:rFonts w:ascii="Times New Roman" w:hAnsi="Times New Roman"/>
          <w:sz w:val="20"/>
          <w:u w:val="single"/>
        </w:rPr>
        <w:t>Exhibit A</w:t>
      </w:r>
      <w:r>
        <w:rPr>
          <w:rFonts w:ascii="Times New Roman" w:hAnsi="Times New Roman"/>
          <w:sz w:val="20"/>
        </w:rPr>
        <w:t xml:space="preserve"> to the First Certificate of Merger, until thereafter amended as provided by the DGCL and such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(ii) The bylaws of the First Step Surviving Corporation shall be identical to the bylaws of the Company as in effect immediately prior to the First Effective Time, until thereafter amended as provided by the DGCL and such bylaws; and </w:t>
      </w:r>
    </w:p>
    <w:p>
      <w:pPr>
        <w:pStyle w:val="TextBody"/>
        <w:bidi w:val="0"/>
        <w:spacing w:before="120" w:after="0"/>
        <w:jc w:val="left"/>
        <w:rPr>
          <w:rFonts w:ascii="Times New Roman" w:hAnsi="Times New Roman"/>
          <w:sz w:val="20"/>
        </w:rPr>
      </w:pPr>
      <w:r>
        <w:rPr>
          <w:rFonts w:ascii="Times New Roman" w:hAnsi="Times New Roman"/>
          <w:sz w:val="20"/>
        </w:rPr>
        <w:t xml:space="preserve">(iii) The directors and officers of the First Step Surviving Corporation, each to hold office in accordance with the certificate of incorporation and bylaws of the First Step Surviving Corporation, shall be such persons as are set forth in </w:t>
      </w:r>
      <w:r>
        <w:rPr>
          <w:rFonts w:ascii="Times New Roman" w:hAnsi="Times New Roman"/>
          <w:sz w:val="20"/>
          <w:u w:val="single"/>
        </w:rPr>
        <w:t>Section 6.12</w:t>
      </w:r>
      <w:r>
        <w:rPr>
          <w:rFonts w:ascii="Times New Roman" w:hAnsi="Times New Roman"/>
          <w:sz w:val="20"/>
        </w:rPr>
        <w:t xml:space="preserve"> of the Company Disclosure Letter, unless otherwise designated by the Company prior to the First Effective Time. </w:t>
      </w:r>
    </w:p>
    <w:p>
      <w:pPr>
        <w:pStyle w:val="TextBody"/>
        <w:bidi w:val="0"/>
        <w:spacing w:before="240" w:after="0"/>
        <w:jc w:val="left"/>
        <w:rPr>
          <w:rFonts w:ascii="Times New Roman" w:hAnsi="Times New Roman"/>
          <w:sz w:val="20"/>
        </w:rPr>
      </w:pP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 xml:space="preserve">At the Second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Second Effective Time (as part of the Second Certificate of Merger), the certificate of formation shall be amended to (A) change the name of the Surviving Entity to “Korsana Biosciences Operating Company LLC,” and (B) make such other changes as are directed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the Second Effective Time (but as soon thereafter as practicable), the limited liability company agreement shall be amended to change the name of the Surviving Entity to “Korsana Biosciences Operating Company LLC”; </w:t>
      </w:r>
    </w:p>
    <w:p>
      <w:pPr>
        <w:pStyle w:val="TextBody"/>
        <w:bidi w:val="0"/>
        <w:spacing w:before="120" w:after="0"/>
        <w:jc w:val="left"/>
        <w:rPr>
          <w:rFonts w:ascii="Times New Roman" w:hAnsi="Times New Roman"/>
          <w:sz w:val="20"/>
        </w:rPr>
      </w:pPr>
      <w:r>
        <w:rPr>
          <w:rFonts w:ascii="Times New Roman" w:hAnsi="Times New Roman"/>
          <w:sz w:val="20"/>
        </w:rPr>
        <w:t xml:space="preserve">(iii) 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hAnsi="Times New Roman"/>
          <w:b/>
          <w:sz w:val="20"/>
        </w:rPr>
        <w:t>Parent Articles of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directors and officers of Parent, each to hold office in accordance with the articles of organization and bylaws of Parent, shall be as set forth in </w:t>
      </w:r>
      <w:r>
        <w:rPr>
          <w:rFonts w:ascii="Times New Roman" w:hAnsi="Times New Roman"/>
          <w:sz w:val="20"/>
          <w:u w:val="single"/>
        </w:rPr>
        <w:t>Section 6.12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 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 </w:t>
      </w:r>
    </w:p>
    <w:p>
      <w:pPr>
        <w:pStyle w:val="TextBody"/>
        <w:bidi w:val="0"/>
        <w:spacing w:before="240" w:after="0"/>
        <w:jc w:val="left"/>
        <w:rPr>
          <w:rFonts w:ascii="Times New Roman" w:hAnsi="Times New Roman"/>
          <w:sz w:val="20"/>
        </w:rPr>
      </w:pPr>
      <w:bookmarkStart w:id="58" w:name="anxa111069_9"/>
      <w:bookmarkEnd w:id="58"/>
      <w:r>
        <w:rPr>
          <w:rFonts w:ascii="Times New Roman" w:hAnsi="Times New Roman"/>
          <w:sz w:val="20"/>
        </w:rPr>
        <w:t xml:space="preserve">2.5 </w:t>
      </w:r>
      <w:r>
        <w:rPr>
          <w:rFonts w:ascii="Times New Roman" w:hAnsi="Times New Roman"/>
          <w:sz w:val="20"/>
          <w:u w:val="single"/>
        </w:rPr>
        <w:t>Conversion of Company, First Merger Sub and Second Merger Sub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by virtue of the Merger and without any further action on the part of Parent, Merger Subs, the Company or any stockholder of the Company or shareholder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First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and </w:t>
      </w:r>
      <w:r>
        <w:rPr>
          <w:rFonts w:ascii="Times New Roman" w:hAnsi="Times New Roman"/>
          <w:sz w:val="20"/>
          <w:u w:val="single"/>
        </w:rPr>
        <w:t>Section 2.5(a)(iii)</w:t>
      </w:r>
      <w:r>
        <w:rPr>
          <w:rFonts w:ascii="Times New Roman" w:hAnsi="Times New Roman"/>
          <w:sz w:val="20"/>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Common Stock equal to the Exchange Ratio (the “</w:t>
      </w:r>
      <w:r>
        <w:rPr>
          <w:rFonts w:ascii="Times New Roman" w:hAnsi="Times New Roman"/>
          <w:b/>
          <w:sz w:val="20"/>
        </w:rPr>
        <w:t>Parent Common Stock Payment Shares</w:t>
      </w:r>
      <w:r>
        <w:rPr>
          <w:rFonts w:ascii="Times New Roman" w:hAnsi="Times New Roman"/>
          <w:sz w:val="20"/>
        </w:rPr>
        <w:t>”); provided, however, that, in the event the aggregate number of shares of Parent Common Stock issuable to any holder of Company 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hAnsi="Times New Roman"/>
          <w:b/>
          <w:sz w:val="20"/>
        </w:rPr>
        <w:t>Remaining Entitlement</w:t>
      </w:r>
      <w:r>
        <w:rPr>
          <w:rFonts w:ascii="Times New Roman" w:hAnsi="Times New Roman"/>
          <w:sz w:val="20"/>
        </w:rPr>
        <w:t>”), pre-funded warrants, substantially in the form attached hereto as Exhibit G (“</w:t>
      </w:r>
      <w:r>
        <w:rPr>
          <w:rFonts w:ascii="Times New Roman" w:hAnsi="Times New Roman"/>
          <w:b/>
          <w:sz w:val="20"/>
        </w:rPr>
        <w:t>Pre-Funded Warrants</w:t>
      </w:r>
      <w:r>
        <w:rPr>
          <w:rFonts w:ascii="Times New Roman" w:hAnsi="Times New Roman"/>
          <w:sz w:val="20"/>
        </w:rPr>
        <w:t xml:space="preserve">”), to purchase a number of shares of Parent Common Stock upon exercise of such Pre-Funded Warrants equal to the Remaining Entitlement, in such manner to provide any such holder of Company Capital Stock with the same economic effect as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2.5(c)</w:t>
      </w:r>
      <w:r>
        <w:rPr>
          <w:rFonts w:ascii="Times New Roman" w:hAnsi="Times New Roman"/>
          <w:sz w:val="20"/>
        </w:rPr>
        <w:t xml:space="preserve"> and notwithstanding </w:t>
      </w:r>
      <w:r>
        <w:rPr>
          <w:rFonts w:ascii="Times New Roman" w:hAnsi="Times New Roman"/>
          <w:sz w:val="20"/>
          <w:u w:val="single"/>
        </w:rPr>
        <w:t>Section 2.5(a)(ii)</w:t>
      </w:r>
      <w:r>
        <w:rPr>
          <w:rFonts w:ascii="Times New Roman" w:hAnsi="Times New Roman"/>
          <w:sz w:val="20"/>
        </w:rPr>
        <w:t xml:space="preserve"> above, each share of Company Series Seed Preferred Stock outstanding immediately prior to the First Effective Time (excluding shares of Company Series Seed Preferred Stock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a number of shares of Parent Convertible Preferred Stock equal to (x) the Exchange Ratio </w:t>
      </w:r>
      <w:r>
        <w:rPr>
          <w:rFonts w:ascii="Times New Roman" w:hAnsi="Times New Roman"/>
          <w:i/>
          <w:sz w:val="20"/>
          <w:u w:val="single"/>
        </w:rPr>
        <w:t>divided by</w:t>
      </w:r>
      <w:r>
        <w:rPr>
          <w:rFonts w:ascii="Times New Roman" w:hAnsi="Times New Roman"/>
          <w:sz w:val="20"/>
        </w:rPr>
        <w:t xml:space="preserve"> (y) 1,000 (such shares of Parent Convertible Preferred Stock, together with the Parent Common Stock Payment Shares and Pre-Funded Warrants described in </w:t>
      </w:r>
      <w:r>
        <w:rPr>
          <w:rFonts w:ascii="Times New Roman" w:hAnsi="Times New Roman"/>
          <w:sz w:val="20"/>
          <w:u w:val="single"/>
        </w:rPr>
        <w:t>Section 2.5(a)(ii)</w:t>
      </w:r>
      <w:r>
        <w:rPr>
          <w:rFonts w:ascii="Times New Roman" w:hAnsi="Times New Roman"/>
          <w:sz w:val="20"/>
        </w:rPr>
        <w:t>,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hAnsi="Times New Roman"/>
          <w:sz w:val="20"/>
          <w:u w:val="single"/>
        </w:rPr>
        <w:t>Section 2.7</w:t>
      </w:r>
      <w:r>
        <w:rPr>
          <w:rFonts w:ascii="Times New Roman" w:hAnsi="Times New Roman"/>
          <w:sz w:val="20"/>
        </w:rPr>
        <w:t xml:space="preserve"> and any accompanying documents as required therein, rounded up to the nearest whole share of Parent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(including any Service Provider Grants) outstanding immediately prior to the First Effective Time shall be treated in accordance with </w:t>
      </w:r>
      <w:r>
        <w:rPr>
          <w:rFonts w:ascii="Times New Roman" w:hAnsi="Times New Roman"/>
          <w:sz w:val="20"/>
          <w:u w:val="single"/>
        </w:rPr>
        <w:t>Section 6.5(a)</w:t>
      </w:r>
      <w:r>
        <w:rPr>
          <w:rFonts w:ascii="Times New Roman" w:hAnsi="Times New Roman"/>
          <w:sz w:val="20"/>
        </w:rPr>
        <w:t>. All Company Warrants outstanding immediately prior to the First Effective Time shall be treated in accordance with </w:t>
      </w:r>
      <w:r>
        <w:rPr>
          <w:rFonts w:ascii="Times New Roman" w:hAnsi="Times New Roman"/>
          <w:sz w:val="20"/>
          <w:u w:val="single"/>
        </w:rPr>
        <w:t>Section 6.5(c)</w:t>
      </w:r>
      <w:r>
        <w:rPr>
          <w:rFonts w:ascii="Times New Roman" w:hAnsi="Times New Roman"/>
          <w:sz w:val="20"/>
        </w:rPr>
        <w:t>. All Company RSUs outstanding immediately prior to the First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Capital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For purposes of this Agreement, the “</w:t>
      </w:r>
      <w:r>
        <w:rPr>
          <w:rFonts w:ascii="Times New Roman" w:hAnsi="Times New Roman"/>
          <w:b/>
          <w:sz w:val="20"/>
        </w:rPr>
        <w:t>Beneficial Ownership Limitation</w:t>
      </w:r>
      <w:r>
        <w:rPr>
          <w:rFonts w:ascii="Times New Roman" w:hAnsi="Times New Roman"/>
          <w:sz w:val="20"/>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hAnsi="Times New Roman"/>
          <w:b/>
          <w:sz w:val="20"/>
        </w:rPr>
        <w:t>Securities</w:t>
      </w:r>
      <w:r>
        <w:rPr>
          <w:rFonts w:ascii="Times New Roman" w:hAnsi="Times New Roman"/>
          <w:sz w:val="20"/>
        </w:rPr>
        <w:t xml:space="preserve">”); provided that such percentage shall be set at 9.99% for any holder of Company Capital Stock that does not make such designation to the Company at least ten (10) 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hAnsi="Times New Roman"/>
          <w:sz w:val="20"/>
          <w:u w:val="single"/>
        </w:rPr>
        <w:t>Section 2.5(h)</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59" w:name="anxa111069_10"/>
      <w:bookmarkEnd w:id="59"/>
      <w:r>
        <w:rPr>
          <w:rFonts w:ascii="Times New Roman" w:hAnsi="Times New Roman"/>
          <w:sz w:val="20"/>
        </w:rPr>
        <w:t xml:space="preserve">2.6 </w:t>
      </w:r>
      <w:r>
        <w:rPr>
          <w:rFonts w:ascii="Times New Roman" w:hAnsi="Times New Roman"/>
          <w:sz w:val="20"/>
          <w:u w:val="single"/>
        </w:rPr>
        <w:t>Closing of the Company’s Transfer Books</w:t>
      </w:r>
      <w:r>
        <w:rPr>
          <w:rFonts w:ascii="Times New Roman" w:hAnsi="Times New Roman"/>
          <w:sz w:val="20"/>
        </w:rPr>
        <w:t xml:space="preserve">. At the First Effective Time: (a) all Company Capital Stock outstanding immediately prior to the First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 </w:t>
      </w:r>
    </w:p>
    <w:p>
      <w:pPr>
        <w:pStyle w:val="TextBody"/>
        <w:bidi w:val="0"/>
        <w:spacing w:before="240" w:after="0"/>
        <w:jc w:val="left"/>
        <w:rPr>
          <w:rFonts w:ascii="Times New Roman" w:hAnsi="Times New Roman"/>
          <w:sz w:val="20"/>
        </w:rPr>
      </w:pPr>
      <w:bookmarkStart w:id="60" w:name="anxa111069_11"/>
      <w:bookmarkEnd w:id="60"/>
      <w:r>
        <w:rPr>
          <w:rFonts w:ascii="Times New Roman" w:hAnsi="Times New Roman"/>
          <w:sz w:val="20"/>
        </w:rPr>
        <w:t xml:space="preserve">2.7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First Effective Time, Parent shall deposit with the Exchange Agent evidence of book-entry shares representing the shares of Parent Capital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hAnsi="Times New Roman"/>
          <w:b/>
          <w:sz w:val="20"/>
        </w:rPr>
        <w:t>Company Stock Certificates</w:t>
      </w:r>
      <w:r>
        <w:rPr>
          <w:rFonts w:ascii="Times New Roman" w:hAnsi="Times New Roman"/>
          <w:sz w:val="20"/>
        </w:rPr>
        <w:t xml:space="preserve">”)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 (ii) 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Capital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w:t>
      </w:r>
      <w:r>
        <w:rPr>
          <w:rFonts w:ascii="Times New Roman" w:hAnsi="Times New Roman"/>
          <w:sz w:val="20"/>
          <w:u w:val="single"/>
        </w:rPr>
        <w:t>Section 2.5(c)</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2.7(b)</w:t>
      </w:r>
      <w:r>
        <w:rPr>
          <w:rFonts w:ascii="Times New Roman" w:hAnsi="Times New Roman"/>
          <w:sz w:val="20"/>
        </w:rPr>
        <w:t xml:space="preserve">,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lost, stolen or destroyed Company Stock Certificate or any Parent Capital Stock issued in exchange therefor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2.7</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hAnsi="Times New Roman"/>
          <w:sz w:val="20"/>
          <w:u w:val="single"/>
        </w:rPr>
        <w:t>Section 2.7</w:t>
      </w:r>
      <w:r>
        <w:rPr>
          <w:rFonts w:ascii="Times New Roman" w:hAnsi="Times New Roman"/>
          <w:sz w:val="20"/>
        </w:rPr>
        <w:t xml:space="preserve"> shall thereafter look only to Parent for satisfaction of their claims for Parent Capital Stock and any dividends or distributions with respect to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61" w:name="anxa111069_12"/>
      <w:bookmarkEnd w:id="61"/>
      <w:r>
        <w:rPr>
          <w:rFonts w:ascii="Times New Roman" w:hAnsi="Times New Roman"/>
          <w:sz w:val="20"/>
        </w:rPr>
        <w:t xml:space="preserve">2.8 </w:t>
      </w:r>
      <w:r>
        <w:rPr>
          <w:rFonts w:ascii="Times New Roman" w:hAnsi="Times New Roman"/>
          <w:sz w:val="20"/>
          <w:u w:val="single"/>
        </w:rPr>
        <w:t>Calculation of Parent Net Cash and Company Valuation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date of the Parent Shareholder Meeting set forth in the Proxy Statement (the “</w:t>
      </w:r>
      <w:r>
        <w:rPr>
          <w:rFonts w:ascii="Times New Roman" w:hAnsi="Times New Roman"/>
          <w:b/>
          <w:sz w:val="20"/>
        </w:rPr>
        <w:t>Calculation Date</w:t>
      </w:r>
      <w:r>
        <w:rPr>
          <w:rFonts w:ascii="Times New Roman" w:hAnsi="Times New Roman"/>
          <w:sz w:val="20"/>
        </w:rPr>
        <w:t>”), Parent will deliver to the Company a schedule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Parent’s good faith, estimated calculation of the components of Parent Net Cash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and the date of delivery of such schedule being the “</w:t>
      </w:r>
      <w:r>
        <w:rPr>
          <w:rFonts w:ascii="Times New Roman" w:hAnsi="Times New Roman"/>
          <w:b/>
          <w:sz w:val="20"/>
        </w:rPr>
        <w:t>Parent Net Cash Schedule Delivery Date</w:t>
      </w:r>
      <w:r>
        <w:rPr>
          <w:rFonts w:ascii="Times New Roman" w:hAnsi="Times New Roman"/>
          <w:sz w:val="20"/>
        </w:rPr>
        <w:t>”) as of 11:59 p.m. on the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via certificate in the form reasonably acceptable to the Company,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internal finance personnel and its accountants and counsel during Parent’s normal business hours and upon reasonably advanced written notice. The Parent Net Cash Calculation shall include Parent’s determination, as of the Cash Determination Time, of the defined terms in </w:t>
      </w:r>
      <w:r>
        <w:rPr>
          <w:rFonts w:ascii="Times New Roman" w:hAnsi="Times New Roman"/>
          <w:sz w:val="20"/>
          <w:u w:val="single"/>
        </w:rPr>
        <w:t>Section 1.1(b)</w:t>
      </w:r>
      <w:r>
        <w:rPr>
          <w:rFonts w:ascii="Times New Roman" w:hAnsi="Times New Roman"/>
          <w:sz w:val="20"/>
        </w:rPr>
        <w:t xml:space="preserve"> necessary to calculate the Exchange Ratio. During the period beginning on the Parent Net Cash Schedule Delivery Date and ending on the Calculation Date, the Company shall have an opportunity to review the Parent Net Cash Schedule and Parent shall 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 </w:t>
      </w:r>
    </w:p>
    <w:p>
      <w:pPr>
        <w:pStyle w:val="TextBody"/>
        <w:bidi w:val="0"/>
        <w:spacing w:before="240" w:after="0"/>
        <w:jc w:val="left"/>
        <w:rPr>
          <w:rFonts w:ascii="Times New Roman" w:hAnsi="Times New Roman"/>
          <w:sz w:val="20"/>
        </w:rPr>
      </w:pPr>
      <w:r>
        <w:rPr>
          <w:rFonts w:ascii="Times New Roman" w:hAnsi="Times New Roman"/>
          <w:sz w:val="20"/>
        </w:rPr>
        <w:t>(b) No later than the Calculation Date, the Company will deliver to Parent a schedule (the “</w:t>
      </w:r>
      <w:r>
        <w:rPr>
          <w:rFonts w:ascii="Times New Roman" w:hAnsi="Times New Roman"/>
          <w:b/>
          <w:sz w:val="20"/>
        </w:rPr>
        <w:t>Company Valuation Schedule</w:t>
      </w:r>
      <w:r>
        <w:rPr>
          <w:rFonts w:ascii="Times New Roman" w:hAnsi="Times New Roman"/>
          <w:sz w:val="20"/>
        </w:rPr>
        <w:t>”) setting forth, in reasonable detail, the Company’s good faith, estimated calculations of the components of the Company Valuation (the “</w:t>
      </w:r>
      <w:r>
        <w:rPr>
          <w:rFonts w:ascii="Times New Roman" w:hAnsi="Times New Roman"/>
          <w:b/>
          <w:sz w:val="20"/>
        </w:rPr>
        <w:t>Company Valuation Calculation</w:t>
      </w:r>
      <w:r>
        <w:rPr>
          <w:rFonts w:ascii="Times New Roman" w:hAnsi="Times New Roman"/>
          <w:sz w:val="20"/>
        </w:rPr>
        <w:t>,” and the date of delivery of such schedule being the “</w:t>
      </w:r>
      <w:r>
        <w:rPr>
          <w:rFonts w:ascii="Times New Roman" w:hAnsi="Times New Roman"/>
          <w:b/>
          <w:sz w:val="20"/>
        </w:rPr>
        <w:t>Company Valuation Delivery Date</w:t>
      </w:r>
      <w:r>
        <w:rPr>
          <w:rFonts w:ascii="Times New Roman" w:hAnsi="Times New Roman"/>
          <w:sz w:val="20"/>
        </w:rPr>
        <w:t xml:space="preserve">”) as of 11:59 p.m. on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Day prior to the Anticipated Closing Date (the “</w:t>
      </w:r>
      <w:r>
        <w:rPr>
          <w:rFonts w:ascii="Times New Roman" w:hAnsi="Times New Roman"/>
          <w:b/>
          <w:sz w:val="20"/>
        </w:rPr>
        <w:t>Company Valuation Determination Time</w:t>
      </w:r>
      <w:r>
        <w:rPr>
          <w:rFonts w:ascii="Times New Roman" w:hAnsi="Times New Roman"/>
          <w:sz w:val="20"/>
        </w:rPr>
        <w:t xml:space="preserve">”)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 </w:t>
      </w:r>
    </w:p>
    <w:p>
      <w:pPr>
        <w:pStyle w:val="TextBody"/>
        <w:bidi w:val="0"/>
        <w:spacing w:before="240" w:after="0"/>
        <w:jc w:val="left"/>
        <w:rPr>
          <w:rFonts w:ascii="Times New Roman" w:hAnsi="Times New Roman"/>
          <w:sz w:val="20"/>
        </w:rPr>
      </w:pPr>
      <w:r>
        <w:rPr>
          <w:rFonts w:ascii="Times New Roman" w:hAnsi="Times New Roman"/>
          <w:sz w:val="20"/>
        </w:rPr>
        <w:t>(c) No later than three (3) Business Days after the Parent Net Cash Schedule Delivery Date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(d) No later than three (3) Business Days after the Company Valuation Delivery Date (the last day of such period, the “</w:t>
      </w:r>
      <w:r>
        <w:rPr>
          <w:rFonts w:ascii="Times New Roman" w:hAnsi="Times New Roman"/>
          <w:b/>
          <w:sz w:val="20"/>
        </w:rPr>
        <w:t>Company Valuation Response Date</w:t>
      </w:r>
      <w:r>
        <w:rPr>
          <w:rFonts w:ascii="Times New Roman" w:hAnsi="Times New Roman"/>
          <w:sz w:val="20"/>
        </w:rPr>
        <w:t>”), Parent shall have the right to dispute any part of the Company Valuation Calculation by delivering a written notice to that effect to the Company (a “</w:t>
      </w:r>
      <w:r>
        <w:rPr>
          <w:rFonts w:ascii="Times New Roman" w:hAnsi="Times New Roman"/>
          <w:b/>
          <w:sz w:val="20"/>
        </w:rPr>
        <w:t>Company Valuation Dispute Notice</w:t>
      </w:r>
      <w:r>
        <w:rPr>
          <w:rFonts w:ascii="Times New Roman" w:hAnsi="Times New Roman"/>
          <w:sz w:val="20"/>
        </w:rPr>
        <w:t xml:space="preserve">”)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(e)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2.8(c)</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hAnsi="Times New Roman"/>
          <w:sz w:val="20"/>
          <w:u w:val="single"/>
        </w:rPr>
        <w:t>Section 2.8(d)</w:t>
      </w:r>
      <w:r>
        <w:rPr>
          <w:rFonts w:ascii="Times New Roman" w:hAnsi="Times New Roman"/>
          <w:sz w:val="20"/>
        </w:rPr>
        <w:t xml:space="preserve">, then the Company Valuation Calculation as set forth in the Company Valuation Schedule shall be deemed to have been finally determined for purposes of this Agreement and to represent the Company Valuation at the Company Valuation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hAnsi="Times New Roman"/>
          <w:sz w:val="20"/>
          <w:u w:val="single"/>
        </w:rPr>
        <w:t>Section 2.8(g)</w:t>
      </w:r>
      <w:r>
        <w:rPr>
          <w:rFonts w:ascii="Times New Roman" w:hAnsi="Times New Roman"/>
          <w:sz w:val="20"/>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hAnsi="Times New Roman"/>
          <w:sz w:val="20"/>
          <w:u w:val="single"/>
        </w:rPr>
        <w:t>Section 2.8(h)</w:t>
      </w:r>
      <w:r>
        <w:rPr>
          <w:rFonts w:ascii="Times New Roman" w:hAnsi="Times New Roman"/>
          <w:sz w:val="20"/>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hAnsi="Times New Roman"/>
          <w:sz w:val="20"/>
          <w:u w:val="single"/>
        </w:rPr>
        <w:t>Section 2.8(h)</w:t>
      </w:r>
      <w:r>
        <w:rPr>
          <w:rFonts w:ascii="Times New Roman" w:hAnsi="Times New Roman"/>
          <w:sz w:val="20"/>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hAnsi="Times New Roman"/>
          <w:sz w:val="20"/>
          <w:u w:val="single"/>
        </w:rPr>
        <w:t>Section 2.8(h)</w:t>
      </w:r>
      <w:r>
        <w:rPr>
          <w:rFonts w:ascii="Times New Roman" w:hAnsi="Times New Roman"/>
          <w:sz w:val="20"/>
        </w:rPr>
        <w:t xml:space="preserve">,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 </w:t>
      </w:r>
    </w:p>
    <w:p>
      <w:pPr>
        <w:pStyle w:val="TextBody"/>
        <w:bidi w:val="0"/>
        <w:spacing w:before="240" w:after="0"/>
        <w:jc w:val="left"/>
        <w:rPr>
          <w:rFonts w:ascii="Times New Roman" w:hAnsi="Times New Roman"/>
          <w:sz w:val="20"/>
        </w:rPr>
      </w:pPr>
      <w:bookmarkStart w:id="62" w:name="anxa111069_13"/>
      <w:bookmarkEnd w:id="62"/>
      <w:r>
        <w:rPr>
          <w:rFonts w:ascii="Times New Roman" w:hAnsi="Times New Roman"/>
          <w:sz w:val="20"/>
        </w:rPr>
        <w:t xml:space="preserve">2.9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First Effective Time, Parent shall declare a distribution (the “</w:t>
      </w:r>
      <w:r>
        <w:rPr>
          <w:rFonts w:ascii="Times New Roman" w:hAnsi="Times New Roman"/>
          <w:b/>
          <w:sz w:val="20"/>
        </w:rPr>
        <w:t>Closing Distribution</w:t>
      </w:r>
      <w:r>
        <w:rPr>
          <w:rFonts w:ascii="Times New Roman" w:hAnsi="Times New Roman"/>
          <w:sz w:val="20"/>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hAnsi="Times New Roman"/>
          <w:sz w:val="20"/>
          <w:u w:val="single"/>
        </w:rPr>
        <w:t>Section 6.6(e))</w:t>
      </w:r>
      <w:r>
        <w:rPr>
          <w:rFonts w:ascii="Times New Roman" w:hAnsi="Times New Roman"/>
          <w:sz w:val="20"/>
        </w:rPr>
        <w:t xml:space="preserve"> of the right to receive one contingent value right (each, a “</w:t>
      </w:r>
      <w:r>
        <w:rPr>
          <w:rFonts w:ascii="Times New Roman" w:hAnsi="Times New Roman"/>
          <w:b/>
          <w:sz w:val="20"/>
        </w:rPr>
        <w:t>CVR</w:t>
      </w:r>
      <w:r>
        <w:rPr>
          <w:rFonts w:ascii="Times New Roman" w:hAnsi="Times New Roman"/>
          <w:sz w:val="20"/>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hAnsi="Times New Roman"/>
          <w:b/>
          <w:sz w:val="20"/>
        </w:rPr>
        <w:t>CVR Agreement</w:t>
      </w:r>
      <w:r>
        <w:rPr>
          <w:rFonts w:ascii="Times New Roman" w:hAnsi="Times New Roman"/>
          <w:sz w:val="20"/>
        </w:rPr>
        <w:t xml:space="preserve">”). The record date for the Closing Distribution shall be the close of business on the Business Day prior to the date on which the First Effective Time occurs and the payment date for which shall be three (3) Business Days after the First Effective Time; provided that the payment of such distribution may be conditioned upon the occurrence of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pay all costs and fees associated with any action contemplated by this </w:t>
      </w:r>
      <w:r>
        <w:rPr>
          <w:rFonts w:ascii="Times New Roman" w:hAnsi="Times New Roman"/>
          <w:sz w:val="20"/>
          <w:u w:val="single"/>
        </w:rPr>
        <w:t>Section 2.9</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63" w:name="anxa111069_14"/>
      <w:bookmarkEnd w:id="63"/>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 </w:t>
      </w:r>
    </w:p>
    <w:p>
      <w:pPr>
        <w:pStyle w:val="TextBody"/>
        <w:bidi w:val="0"/>
        <w:spacing w:before="240" w:after="0"/>
        <w:jc w:val="left"/>
        <w:rPr>
          <w:rFonts w:ascii="Times New Roman" w:hAnsi="Times New Roman"/>
          <w:sz w:val="20"/>
        </w:rPr>
      </w:pPr>
      <w:bookmarkStart w:id="64" w:name="anxa111069_15"/>
      <w:bookmarkEnd w:id="64"/>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1.368-3(a). </w:t>
      </w:r>
    </w:p>
    <w:p>
      <w:pPr>
        <w:pStyle w:val="TextBody"/>
        <w:bidi w:val="0"/>
        <w:spacing w:before="240" w:after="0"/>
        <w:jc w:val="left"/>
        <w:rPr>
          <w:rFonts w:ascii="Times New Roman" w:hAnsi="Times New Roman"/>
          <w:sz w:val="20"/>
        </w:rPr>
      </w:pPr>
      <w:bookmarkStart w:id="65" w:name="anxa111069_16"/>
      <w:bookmarkEnd w:id="65"/>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 </w:t>
      </w:r>
    </w:p>
    <w:p>
      <w:pPr>
        <w:pStyle w:val="TextBody"/>
        <w:bidi w:val="0"/>
        <w:spacing w:before="240" w:after="0"/>
        <w:jc w:val="left"/>
        <w:rPr>
          <w:rFonts w:ascii="Times New Roman" w:hAnsi="Times New Roman"/>
          <w:sz w:val="20"/>
        </w:rPr>
      </w:pPr>
      <w:bookmarkStart w:id="66" w:name="anxa111069_17"/>
      <w:bookmarkEnd w:id="66"/>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prompt written notice of any demands by dissenting stockholders or beneficial owners received by the Company, withdrawals of such demands and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67" w:name="anxa111069_18"/>
      <w:bookmarkEnd w:id="67"/>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set forth in the written disclosure document delivered by the Company to Parent (the “</w:t>
      </w:r>
      <w:r>
        <w:rPr>
          <w:rFonts w:ascii="Times New Roman" w:hAnsi="Times New Roman"/>
          <w:b/>
          <w:sz w:val="20"/>
        </w:rPr>
        <w:t>Company Disclosure Letter</w:t>
      </w:r>
      <w:r>
        <w:rPr>
          <w:rFonts w:ascii="Times New Roman" w:hAnsi="Times New Roman"/>
          <w:sz w:val="20"/>
        </w:rPr>
        <w:t xml:space="preserve">”) concurrently with the execution of this Agreement, the Company represents and warrants to Parent and Merger Subs as follows: </w:t>
      </w:r>
    </w:p>
    <w:p>
      <w:pPr>
        <w:pStyle w:val="TextBody"/>
        <w:bidi w:val="0"/>
        <w:spacing w:before="120" w:after="0"/>
        <w:jc w:val="left"/>
        <w:rPr>
          <w:rFonts w:ascii="Times New Roman" w:hAnsi="Times New Roman"/>
          <w:sz w:val="20"/>
        </w:rPr>
      </w:pPr>
      <w:bookmarkStart w:id="68" w:name="anxa111069_19"/>
      <w:bookmarkEnd w:id="68"/>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69" w:name="anxa111069_20"/>
      <w:bookmarkEnd w:id="69"/>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70" w:name="anxa111069_21"/>
      <w:bookmarkEnd w:id="70"/>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sz w:val="20"/>
        </w:rPr>
        <w:t xml:space="preserve">.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71" w:name="anxa111069_22"/>
      <w:bookmarkEnd w:id="71"/>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xml:space="preserve">. The affirmative vote (or written consent) of the holders of (a) a majority of the shares of Company Capital Stock outstanding on the record date, voting as a single class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2" w:name="anxa111069_23"/>
      <w:bookmarkEnd w:id="72"/>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representations set forth in </w:t>
      </w:r>
      <w:r>
        <w:rPr>
          <w:rFonts w:ascii="Times New Roman" w:hAnsi="Times New Roman"/>
          <w:sz w:val="20"/>
          <w:u w:val="single"/>
        </w:rPr>
        <w:t>Section 4.5</w:t>
      </w:r>
      <w:r>
        <w:rPr>
          <w:rFonts w:ascii="Times New Roman" w:hAnsi="Times New Roman"/>
          <w:sz w:val="20"/>
        </w:rPr>
        <w:t xml:space="preserve"> hereof, except (i) as set forth in </w:t>
      </w:r>
      <w:r>
        <w:rPr>
          <w:rFonts w:ascii="Times New Roman" w:hAnsi="Times New Roman"/>
          <w:sz w:val="20"/>
          <w:u w:val="single"/>
        </w:rPr>
        <w:t>Section 3.5(a)</w:t>
      </w:r>
      <w:r>
        <w:rPr>
          <w:rFonts w:ascii="Times New Roman" w:hAnsi="Times New Roman"/>
          <w:sz w:val="20"/>
        </w:rPr>
        <w:t xml:space="preserve"> of the Company Disclosure Letter, (ii) the Required Company Stockholder Vote, (iii) compliance with any applicable requirements of the HSR Act (if applicable) and (iv) 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hAnsi="Times New Roman"/>
          <w:sz w:val="20"/>
          <w:u w:val="single"/>
        </w:rPr>
        <w:t>Section 3.5(b)</w:t>
      </w:r>
      <w:r>
        <w:rPr>
          <w:rFonts w:ascii="Times New Roman" w:hAnsi="Times New Roman"/>
          <w:sz w:val="20"/>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state takeover statute or similar Law applies or purports to apply to the Merger, this Agreement, the Company Stockholder Support Agreements or any of the Contemplated Transactions. </w:t>
      </w:r>
    </w:p>
    <w:p>
      <w:pPr>
        <w:pStyle w:val="TextBody"/>
        <w:bidi w:val="0"/>
        <w:spacing w:before="240" w:after="0"/>
        <w:jc w:val="left"/>
        <w:rPr>
          <w:rFonts w:ascii="Times New Roman" w:hAnsi="Times New Roman"/>
          <w:sz w:val="20"/>
        </w:rPr>
      </w:pPr>
      <w:bookmarkStart w:id="73" w:name="anxa111069_24"/>
      <w:bookmarkEnd w:id="73"/>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(i) 122,363,552 shares of Company Common Stock of which 6,000,000 shares have been issued and are outstanding as of the date hereof, and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hAnsi="Times New Roman"/>
          <w:sz w:val="20"/>
          <w:u w:val="single"/>
        </w:rPr>
        <w:t>Section 3.6(a)</w:t>
      </w:r>
      <w:r>
        <w:rPr>
          <w:rFonts w:ascii="Times New Roman" w:hAnsi="Times New Roman"/>
          <w:sz w:val="20"/>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hAnsi="Times New Roman"/>
          <w:sz w:val="20"/>
          <w:u w:val="single"/>
        </w:rPr>
        <w:t>Section 3.6(c)</w:t>
      </w:r>
      <w:r>
        <w:rPr>
          <w:rFonts w:ascii="Times New Roman" w:hAnsi="Times New Roman"/>
          <w:sz w:val="20"/>
        </w:rPr>
        <w:t xml:space="preserve"> of the Company Disclosure Letter, the Company does not have any stock option plan or any other plan, program, agreement or arrangement providing for any equity-based compensation for any Person. </w:t>
      </w:r>
      <w:r>
        <w:rPr>
          <w:rFonts w:ascii="Times New Roman" w:hAnsi="Times New Roman"/>
          <w:sz w:val="20"/>
          <w:u w:val="single"/>
        </w:rPr>
        <w:t>Section 3.6(c)</w:t>
      </w:r>
      <w:r>
        <w:rPr>
          <w:rFonts w:ascii="Times New Roman" w:hAnsi="Times New Roman"/>
          <w:sz w:val="20"/>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74" w:name="anxa111069_25"/>
      <w:bookmarkEnd w:id="74"/>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delivered to Parent accurate and complete copies of its unaudited financial statements for the period ended December 31, 2025 (the “</w:t>
      </w:r>
      <w:r>
        <w:rPr>
          <w:rFonts w:ascii="Times New Roman" w:hAnsi="Times New Roman"/>
          <w:b/>
          <w:sz w:val="20"/>
        </w:rPr>
        <w:t>Balance Sheet Date</w:t>
      </w:r>
      <w:r>
        <w:rPr>
          <w:rFonts w:ascii="Times New Roman" w:hAnsi="Times New Roman"/>
          <w:sz w:val="20"/>
        </w:rPr>
        <w:t>”) (collectively, the “</w:t>
      </w:r>
      <w:r>
        <w:rPr>
          <w:rFonts w:ascii="Times New Roman" w:hAnsi="Times New Roman"/>
          <w:b/>
          <w:sz w:val="20"/>
        </w:rPr>
        <w:t>Company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75" w:name="anxa111069_26"/>
      <w:bookmarkEnd w:id="75"/>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76" w:name="anxa111069_27"/>
      <w:bookmarkEnd w:id="76"/>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Since the Balance Sheet Date,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except for: (a) Liabilities disclosed, reflected or reserved against (or to be disclosed, reflected or reserved against) in Company Financial Statements, (b) normal and recurring current Liabilities that have been incurred by the Company since the date hereof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(e) Liabilities described in </w:t>
      </w:r>
      <w:r>
        <w:rPr>
          <w:rFonts w:ascii="Times New Roman" w:hAnsi="Times New Roman"/>
          <w:sz w:val="20"/>
          <w:u w:val="single"/>
        </w:rPr>
        <w:t>Section 3.9</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77" w:name="anxa111069_28"/>
      <w:bookmarkEnd w:id="77"/>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78" w:name="anxa111069_29"/>
      <w:bookmarkEnd w:id="78"/>
      <w:r>
        <w:rPr>
          <w:rFonts w:ascii="Times New Roman" w:hAnsi="Times New Roman"/>
          <w:sz w:val="20"/>
        </w:rPr>
        <w:t xml:space="preserve">3.11 </w:t>
      </w:r>
      <w:r>
        <w:rPr>
          <w:rFonts w:ascii="Times New Roman" w:hAnsi="Times New Roman"/>
          <w:sz w:val="20"/>
          <w:u w:val="single"/>
        </w:rPr>
        <w:t>Real Property; Leasehold</w:t>
      </w:r>
      <w:r>
        <w:rPr>
          <w:rFonts w:ascii="Times New Roman" w:hAnsi="Times New Roman"/>
          <w:sz w:val="20"/>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the Company or to the Company’s Knowledge, the other party thereto. </w:t>
      </w:r>
    </w:p>
    <w:p>
      <w:pPr>
        <w:pStyle w:val="TextBody"/>
        <w:bidi w:val="0"/>
        <w:spacing w:before="240" w:after="0"/>
        <w:jc w:val="left"/>
        <w:rPr>
          <w:rFonts w:ascii="Times New Roman" w:hAnsi="Times New Roman"/>
          <w:sz w:val="20"/>
        </w:rPr>
      </w:pPr>
      <w:bookmarkStart w:id="79" w:name="anxa111069_30"/>
      <w:bookmarkEnd w:id="79"/>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Letter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3.12(c)</w:t>
      </w:r>
      <w:r>
        <w:rPr>
          <w:rFonts w:ascii="Times New Roman" w:hAnsi="Times New Roman"/>
          <w:sz w:val="20"/>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exclusively owns all right, title and interest to and in Company IP Rights (other than (i) Company IP Rights licensed to the Company, or co-owned rights each as identified in </w:t>
      </w:r>
      <w:r>
        <w:rPr>
          <w:rFonts w:ascii="Times New Roman" w:hAnsi="Times New Roman"/>
          <w:sz w:val="20"/>
          <w:u w:val="single"/>
        </w:rPr>
        <w:t>Section 3.12(e)</w:t>
      </w:r>
      <w:r>
        <w:rPr>
          <w:rFonts w:ascii="Times New Roman" w:hAnsi="Times New Roman"/>
          <w:sz w:val="20"/>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delivered or made available to Parent, a complete and accurate copy of all Company IP Rights Agreements. With respect to each of the Company IP Rights Agreements: (i) each such agreement is valid and binding on the Company and in full force and effect, (ii) 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240" w:after="0"/>
        <w:jc w:val="left"/>
        <w:rPr>
          <w:rFonts w:ascii="Times New Roman" w:hAnsi="Times New Roman"/>
          <w:sz w:val="20"/>
        </w:rPr>
      </w:pPr>
      <w:r>
        <w:rPr>
          <w:rFonts w:ascii="Times New Roman" w:hAnsi="Times New Roman"/>
          <w:sz w:val="20"/>
        </w:rPr>
        <w:t xml:space="preserve">(i) 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Sections 3.12(b)</w:t>
      </w:r>
      <w:r>
        <w:rPr>
          <w:rFonts w:ascii="Times New Roman" w:hAnsi="Times New Roman"/>
          <w:sz w:val="20"/>
        </w:rPr>
        <w:t xml:space="preserve">, </w:t>
      </w:r>
      <w:r>
        <w:rPr>
          <w:rFonts w:ascii="Times New Roman" w:hAnsi="Times New Roman"/>
          <w:sz w:val="20"/>
          <w:u w:val="single"/>
        </w:rPr>
        <w:t>3.12(c)</w:t>
      </w:r>
      <w:r>
        <w:rPr>
          <w:rFonts w:ascii="Times New Roman" w:hAnsi="Times New Roman"/>
          <w:sz w:val="20"/>
        </w:rPr>
        <w:t xml:space="preserve"> or </w:t>
      </w:r>
      <w:r>
        <w:rPr>
          <w:rFonts w:ascii="Times New Roman" w:hAnsi="Times New Roman"/>
          <w:sz w:val="20"/>
          <w:u w:val="single"/>
        </w:rPr>
        <w:t>3.12(k)</w:t>
      </w:r>
      <w:r>
        <w:rPr>
          <w:rFonts w:ascii="Times New Roman" w:hAnsi="Times New Roman"/>
          <w:sz w:val="20"/>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bookmarkStart w:id="80" w:name="anxa111069_31"/>
      <w:bookmarkEnd w:id="80"/>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Letter lists the following Company Contracts in effect as of the date of this Agreement other than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Company Contract relating to capital expenditures and requiring payments after the date of this Agreement in excess of $250,000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containing any royalty, dividend or similar arrangement based on the revenues or profits of the Company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to which the Company is a party or by which any of its assets and properties is currently bound, which involves annual obligations of payment by, or annual payments to, the Company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entered into in settlement of any Legal Proceeding or other dispute pursuant to which the Company has outstanding obligations to pay consideration in excess of $250,000;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 </w:t>
      </w:r>
    </w:p>
    <w:p>
      <w:pPr>
        <w:pStyle w:val="TextBody"/>
        <w:bidi w:val="0"/>
        <w:spacing w:before="120" w:after="0"/>
        <w:jc w:val="left"/>
        <w:rPr>
          <w:rFonts w:ascii="Times New Roman" w:hAnsi="Times New Roman"/>
          <w:sz w:val="20"/>
        </w:rPr>
      </w:pPr>
      <w:r>
        <w:rPr>
          <w:rFonts w:ascii="Times New Roman" w:hAnsi="Times New Roman"/>
          <w:sz w:val="20"/>
        </w:rPr>
        <w:t xml:space="preserve">(xiii) Company Real Estate Leases.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81" w:name="anxa111069_32"/>
      <w:bookmarkEnd w:id="81"/>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hAnsi="Times New Roman"/>
          <w:b/>
          <w:sz w:val="20"/>
        </w:rPr>
        <w:t>Drug/Device Regulatory Agency</w:t>
      </w:r>
      <w:r>
        <w:rPr>
          <w:rFonts w:ascii="Times New Roman" w:hAnsi="Times New Roman"/>
          <w:sz w:val="20"/>
        </w:rPr>
        <w:t>”), the Company holds all required Governmental Authorizations for the operation of the business of the Company as 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Letter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w:t>
      </w:r>
      <w:r>
        <w:rPr>
          <w:rFonts w:ascii="Times New Roman" w:hAnsi="Times New Roman"/>
          <w:b/>
          <w:sz w:val="20"/>
        </w:rPr>
        <w:t>FDCA</w:t>
      </w:r>
      <w:r>
        <w:rPr>
          <w:rFonts w:ascii="Times New Roman" w:hAnsi="Times New Roman"/>
          <w:sz w:val="20"/>
        </w:rPr>
        <w:t>”), the Public Health Service Act (“</w:t>
      </w:r>
      <w:r>
        <w:rPr>
          <w:rFonts w:ascii="Times New Roman" w:hAnsi="Times New Roman"/>
          <w:b/>
          <w:sz w:val="20"/>
        </w:rPr>
        <w:t>PHSA</w:t>
      </w:r>
      <w:r>
        <w:rPr>
          <w:rFonts w:ascii="Times New Roman" w:hAnsi="Times New Roman"/>
          <w:sz w:val="20"/>
        </w:rPr>
        <w:t xml:space="preserve">”),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hAnsi="Times New Roman"/>
          <w:b/>
          <w:sz w:val="20"/>
        </w:rPr>
        <w:t>Company Product Candidates</w:t>
      </w:r>
      <w:r>
        <w:rPr>
          <w:rFonts w:ascii="Times New Roman" w:hAnsi="Times New Roman"/>
          <w:sz w:val="20"/>
        </w:rPr>
        <w:t>”) (collectively, the “</w:t>
      </w:r>
      <w:r>
        <w:rPr>
          <w:rFonts w:ascii="Times New Roman" w:hAnsi="Times New Roman"/>
          <w:b/>
          <w:sz w:val="20"/>
        </w:rPr>
        <w:t>Company Regulatory Permits</w:t>
      </w:r>
      <w:r>
        <w:rPr>
          <w:rFonts w:ascii="Times New Roman" w:hAnsi="Times New Roman"/>
          <w:sz w:val="20"/>
        </w:rPr>
        <w:t xml:space="preserve">”), and no such Company Regulatory Permit has been (i) revoked, withdrawn, suspended, cancelled or terminated or (ii) modified in any adverse manner, other than immaterial adverse modifications. </w:t>
      </w:r>
      <w:r>
        <w:rPr>
          <w:rFonts w:ascii="Times New Roman" w:hAnsi="Times New Roman"/>
          <w:sz w:val="20"/>
          <w:u w:val="single"/>
        </w:rPr>
        <w:t>Section 3.14(d)</w:t>
      </w:r>
      <w:r>
        <w:rPr>
          <w:rFonts w:ascii="Times New Roman" w:hAnsi="Times New Roman"/>
          <w:sz w:val="20"/>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 </w:t>
      </w:r>
    </w:p>
    <w:p>
      <w:pPr>
        <w:pStyle w:val="TextBody"/>
        <w:bidi w:val="0"/>
        <w:spacing w:before="240" w:after="0"/>
        <w:jc w:val="left"/>
        <w:rPr>
          <w:rFonts w:ascii="Times New Roman" w:hAnsi="Times New Roman"/>
          <w:sz w:val="20"/>
        </w:rPr>
      </w:pPr>
      <w:bookmarkStart w:id="82" w:name="anxa111069_33"/>
      <w:bookmarkEnd w:id="82"/>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 </w:t>
      </w:r>
    </w:p>
    <w:p>
      <w:pPr>
        <w:pStyle w:val="TextBody"/>
        <w:bidi w:val="0"/>
        <w:spacing w:before="240" w:after="0"/>
        <w:jc w:val="left"/>
        <w:rPr>
          <w:rFonts w:ascii="Times New Roman" w:hAnsi="Times New Roman"/>
          <w:sz w:val="20"/>
        </w:rPr>
      </w:pPr>
      <w:bookmarkStart w:id="83" w:name="anxa111069_34"/>
      <w:bookmarkEnd w:id="83"/>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(5)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aware of any facts or circumstances and has not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84" w:name="anxa111069_35"/>
      <w:bookmarkEnd w:id="84"/>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employees is terminable by the Company at will. The Company has made available to Parent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provides for, and the Company has not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(k)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employees of the Company: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the Company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w:t>
      </w:r>
    </w:p>
    <w:p>
      <w:pPr>
        <w:pStyle w:val="TextBody"/>
        <w:bidi w:val="0"/>
        <w:spacing w:before="240" w:after="0"/>
        <w:jc w:val="left"/>
        <w:rPr>
          <w:rFonts w:ascii="Times New Roman" w:hAnsi="Times New Roman"/>
          <w:sz w:val="20"/>
        </w:rPr>
      </w:pPr>
      <w:bookmarkStart w:id="85" w:name="anxa111069_36"/>
      <w:bookmarkEnd w:id="85"/>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6" w:name="anxa111069_37"/>
      <w:bookmarkEnd w:id="86"/>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87" w:name="anxa111069_38"/>
      <w:bookmarkEnd w:id="87"/>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88" w:name="anxa111069_39"/>
      <w:bookmarkEnd w:id="88"/>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89" w:name="anxa111069_40"/>
      <w:bookmarkEnd w:id="89"/>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hAnsi="Times New Roman"/>
          <w:b/>
          <w:sz w:val="20"/>
        </w:rPr>
        <w:t>Privacy Policies</w:t>
      </w:r>
      <w:r>
        <w:rPr>
          <w:rFonts w:ascii="Times New Roman" w:hAnsi="Times New Roman"/>
          <w:sz w:val="20"/>
        </w:rPr>
        <w:t xml:space="preserve">”)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0" w:name="anxa111069_41"/>
      <w:bookmarkEnd w:id="90"/>
      <w:r>
        <w:rPr>
          <w:rFonts w:ascii="Times New Roman" w:hAnsi="Times New Roman"/>
          <w:sz w:val="20"/>
        </w:rPr>
        <w:t xml:space="preserve">3.23 </w:t>
      </w:r>
      <w:r>
        <w:rPr>
          <w:rFonts w:ascii="Times New Roman" w:hAnsi="Times New Roman"/>
          <w:sz w:val="20"/>
          <w:u w:val="single"/>
        </w:rPr>
        <w:t>Trade Control Laws</w:t>
      </w:r>
      <w:r>
        <w:rPr>
          <w:rFonts w:ascii="Times New Roman" w:hAnsi="Times New Roman"/>
          <w:sz w:val="20"/>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 (the “</w:t>
      </w:r>
      <w:r>
        <w:rPr>
          <w:rFonts w:ascii="Times New Roman" w:hAnsi="Times New Roman"/>
          <w:b/>
          <w:sz w:val="20"/>
        </w:rPr>
        <w:t>Trade Laws</w:t>
      </w:r>
      <w:r>
        <w:rPr>
          <w:rFonts w:ascii="Times New Roman" w:hAnsi="Times New Roman"/>
          <w:sz w:val="20"/>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hAnsi="Times New Roman"/>
          <w:b/>
          <w:sz w:val="20"/>
        </w:rPr>
        <w:t>Trade Approvals</w:t>
      </w:r>
      <w:r>
        <w:rPr>
          <w:rFonts w:ascii="Times New Roman" w:hAnsi="Times New Roman"/>
          <w:sz w:val="20"/>
        </w:rPr>
        <w:t xml:space="preserve">”). There are no pending or threatened claims against the Company,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91" w:name="anxa111069_42"/>
      <w:bookmarkEnd w:id="91"/>
      <w:r>
        <w:rPr>
          <w:rFonts w:ascii="Times New Roman" w:hAnsi="Times New Roman"/>
          <w:sz w:val="20"/>
        </w:rPr>
        <w:t xml:space="preserve">3.24 </w:t>
      </w:r>
      <w:r>
        <w:rPr>
          <w:rFonts w:ascii="Times New Roman" w:hAnsi="Times New Roman"/>
          <w:sz w:val="20"/>
          <w:u w:val="single"/>
        </w:rPr>
        <w:t>Ownership of Parent Capital Stock</w:t>
      </w:r>
      <w:r>
        <w:rPr>
          <w:rFonts w:ascii="Times New Roman" w:hAnsi="Times New Roman"/>
          <w:sz w:val="20"/>
        </w:rPr>
        <w:t xml:space="preserve">.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 </w:t>
      </w:r>
    </w:p>
    <w:p>
      <w:pPr>
        <w:pStyle w:val="TextBody"/>
        <w:bidi w:val="0"/>
        <w:spacing w:before="240" w:after="0"/>
        <w:jc w:val="left"/>
        <w:rPr>
          <w:rFonts w:ascii="Times New Roman" w:hAnsi="Times New Roman"/>
          <w:sz w:val="20"/>
        </w:rPr>
      </w:pPr>
      <w:bookmarkStart w:id="92" w:name="anxa111069_43"/>
      <w:bookmarkEnd w:id="92"/>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Letter))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93" w:name="anxa111069_44"/>
      <w:bookmarkEnd w:id="93"/>
      <w:r>
        <w:rPr>
          <w:rFonts w:ascii="Times New Roman" w:hAnsi="Times New Roman"/>
          <w:sz w:val="20"/>
        </w:rPr>
        <w:t xml:space="preserve">Section 4. </w:t>
      </w:r>
      <w:r>
        <w:rPr>
          <w:rFonts w:ascii="Times New Roman" w:hAnsi="Times New Roman"/>
          <w:sz w:val="20"/>
          <w:u w:val="single"/>
        </w:rPr>
        <w:t>Representations and Warranties of Parent, First Merger Sub and Second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document delivered by Parent to the Company (the “</w:t>
      </w:r>
      <w:r>
        <w:rPr>
          <w:rFonts w:ascii="Times New Roman" w:hAnsi="Times New Roman"/>
          <w:b/>
          <w:sz w:val="20"/>
        </w:rPr>
        <w:t>Parent Disclosure Letter</w:t>
      </w:r>
      <w:r>
        <w:rPr>
          <w:rFonts w:ascii="Times New Roman" w:hAnsi="Times New Roman"/>
          <w:sz w:val="20"/>
        </w:rPr>
        <w:t xml:space="preserve">”)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 </w:t>
      </w:r>
    </w:p>
    <w:p>
      <w:pPr>
        <w:pStyle w:val="TextBody"/>
        <w:bidi w:val="0"/>
        <w:spacing w:before="240" w:after="0"/>
        <w:jc w:val="left"/>
        <w:rPr>
          <w:rFonts w:ascii="Times New Roman" w:hAnsi="Times New Roman"/>
          <w:sz w:val="20"/>
        </w:rPr>
      </w:pPr>
      <w:bookmarkStart w:id="94" w:name="anxa111069_45"/>
      <w:bookmarkEnd w:id="94"/>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its incorporation, Merger Subs have not engaged in any activities other than in connection with or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hAnsi="Times New Roman"/>
          <w:sz w:val="20"/>
          <w:u w:val="single"/>
        </w:rPr>
        <w:t>Section 4.1(c)</w:t>
      </w:r>
      <w:r>
        <w:rPr>
          <w:rFonts w:ascii="Times New Roman" w:hAnsi="Times New Roman"/>
          <w:sz w:val="20"/>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95" w:name="anxa111069_46"/>
      <w:bookmarkEnd w:id="95"/>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Parent’s Organizational Documents. Parent is not in breach or violation of its Organizational Documents in any material respect. </w:t>
      </w:r>
    </w:p>
    <w:p>
      <w:pPr>
        <w:pStyle w:val="TextBody"/>
        <w:bidi w:val="0"/>
        <w:spacing w:before="240" w:after="0"/>
        <w:jc w:val="left"/>
        <w:rPr>
          <w:rFonts w:ascii="Times New Roman" w:hAnsi="Times New Roman"/>
          <w:sz w:val="20"/>
        </w:rPr>
      </w:pPr>
      <w:bookmarkStart w:id="96" w:name="anxa111069_47"/>
      <w:bookmarkEnd w:id="96"/>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hAnsi="Times New Roman"/>
          <w:sz w:val="20"/>
          <w:u w:val="single"/>
        </w:rPr>
        <w:t>Section 3.24</w:t>
      </w:r>
      <w:r>
        <w:rPr>
          <w:rFonts w:ascii="Times New Roman" w:hAnsi="Times New Roman"/>
          <w:sz w:val="20"/>
        </w:rPr>
        <w:t xml:space="preserve">, constitutes the legal, valid and binding obligation of Parent and Merger Subs, enforceable against each of Parent and Merger Subs in accordance with its terms, subject to the Enforceability Exceptions. </w:t>
      </w:r>
    </w:p>
    <w:p>
      <w:pPr>
        <w:pStyle w:val="TextBody"/>
        <w:bidi w:val="0"/>
        <w:spacing w:before="240" w:after="0"/>
        <w:jc w:val="left"/>
        <w:rPr>
          <w:rFonts w:ascii="Times New Roman" w:hAnsi="Times New Roman"/>
          <w:sz w:val="20"/>
        </w:rPr>
      </w:pPr>
      <w:bookmarkStart w:id="97" w:name="anxa111069_48"/>
      <w:bookmarkEnd w:id="97"/>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xml:space="preserve">,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change of control of Parent resulting from the Contemplated Transactions, in each case pursuant to the Nasdaq rules and (b) clauses (ii) through (vi)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8" w:name="anxa111069_49"/>
      <w:bookmarkEnd w:id="98"/>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hAnsi="Times New Roman"/>
          <w:sz w:val="20"/>
          <w:u w:val="single"/>
        </w:rPr>
        <w:t>Section 3.5</w:t>
      </w:r>
      <w:r>
        <w:rPr>
          <w:rFonts w:ascii="Times New Roman" w:hAnsi="Times New Roman"/>
          <w:sz w:val="20"/>
        </w:rPr>
        <w:t xml:space="preserve"> hereof, neither (x) the execution, delivery or performance of this Agreement by Parent or Merger Subs,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Subsidiaries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4.5(a)</w:t>
      </w:r>
      <w:r>
        <w:rPr>
          <w:rFonts w:ascii="Times New Roman" w:hAnsi="Times New Roman"/>
          <w:sz w:val="20"/>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 (iv) 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99" w:name="anxa111069_50"/>
      <w:bookmarkEnd w:id="99"/>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Parent Capital Stock consists of (i) 400,000,000 shares of Parent Common Stock, no par value per share, of which 4,330,314 shares have been issued and are outstanding as of March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2026 (the “</w:t>
      </w:r>
      <w:r>
        <w:rPr>
          <w:rFonts w:ascii="Times New Roman" w:hAnsi="Times New Roman"/>
          <w:b/>
          <w:sz w:val="20"/>
        </w:rPr>
        <w:t>Capitalization Date</w:t>
      </w:r>
      <w:r>
        <w:rPr>
          <w:rFonts w:ascii="Times New Roman" w:hAnsi="Times New Roman"/>
          <w:sz w:val="20"/>
        </w:rPr>
        <w:t xml:space="preserve">”),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the 2019 Equity Incentive Plan and Amended and Restated 2010 Employee, Director and Consultant Equity Incentive Plan (as may be amended from time to time, the “</w:t>
      </w:r>
      <w:r>
        <w:rPr>
          <w:rFonts w:ascii="Times New Roman" w:hAnsi="Times New Roman"/>
          <w:b/>
          <w:sz w:val="20"/>
        </w:rPr>
        <w:t>Parent Stock Plans</w:t>
      </w:r>
      <w:r>
        <w:rPr>
          <w:rFonts w:ascii="Times New Roman" w:hAnsi="Times New Roman"/>
          <w:sz w:val="20"/>
        </w:rPr>
        <w:t xml:space="preserve">”), the Parent 2019 Employee Stock Purchase Plan and except as set forth on </w:t>
      </w:r>
      <w:r>
        <w:rPr>
          <w:rFonts w:ascii="Times New Roman" w:hAnsi="Times New Roman"/>
          <w:sz w:val="20"/>
          <w:u w:val="single"/>
        </w:rPr>
        <w:t>Section 4.6(c)</w:t>
      </w:r>
      <w:r>
        <w:rPr>
          <w:rFonts w:ascii="Times New Roman" w:hAnsi="Times New Roman"/>
          <w:sz w:val="20"/>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hAnsi="Times New Roman"/>
          <w:sz w:val="20"/>
          <w:u w:val="single"/>
        </w:rPr>
        <w:t>Section 4.6(c)</w:t>
      </w:r>
      <w:r>
        <w:rPr>
          <w:rFonts w:ascii="Times New Roman" w:hAnsi="Times New Roman"/>
          <w:sz w:val="20"/>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 (iv) 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Except for outstanding shares of (x) Parent Preferred Stock, (y) Parent Options or Parent Restricted Stock Awards, or (z) as set forth on </w:t>
      </w:r>
      <w:r>
        <w:rPr>
          <w:rFonts w:ascii="Times New Roman" w:hAnsi="Times New Roman"/>
          <w:sz w:val="20"/>
          <w:u w:val="single"/>
        </w:rPr>
        <w:t>Section 4.6(d)</w:t>
      </w:r>
      <w:r>
        <w:rPr>
          <w:rFonts w:ascii="Times New Roman" w:hAnsi="Times New Roman"/>
          <w:sz w:val="20"/>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hAnsi="Times New Roman"/>
          <w:sz w:val="20"/>
          <w:u w:val="single"/>
        </w:rPr>
        <w:t>Section 4.6(d)</w:t>
      </w:r>
      <w:r>
        <w:rPr>
          <w:rFonts w:ascii="Times New Roman" w:hAnsi="Times New Roman"/>
          <w:sz w:val="20"/>
        </w:rPr>
        <w:t xml:space="preserve"> of the Parent Disclosure Letter,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 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hAnsi="Times New Roman"/>
          <w:b/>
          <w:sz w:val="20"/>
        </w:rPr>
        <w:t>Parent Grant Date</w:t>
      </w:r>
      <w:r>
        <w:rPr>
          <w:rFonts w:ascii="Times New Roman" w:hAnsi="Times New Roman"/>
          <w:sz w:val="20"/>
        </w:rPr>
        <w:t xml:space="preserve">”)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 </w:t>
      </w:r>
    </w:p>
    <w:p>
      <w:pPr>
        <w:pStyle w:val="TextBody"/>
        <w:bidi w:val="0"/>
        <w:spacing w:before="240" w:after="0"/>
        <w:jc w:val="left"/>
        <w:rPr>
          <w:rFonts w:ascii="Times New Roman" w:hAnsi="Times New Roman"/>
          <w:sz w:val="20"/>
        </w:rPr>
      </w:pPr>
      <w:bookmarkStart w:id="100" w:name="anxa111069_51"/>
      <w:bookmarkEnd w:id="100"/>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4.7(d)</w:t>
      </w:r>
      <w:r>
        <w:rPr>
          <w:rFonts w:ascii="Times New Roman" w:hAnsi="Times New Roman"/>
          <w:sz w:val="20"/>
        </w:rPr>
        <w:t xml:space="preserve"> of the Parent Disclosure Letter (“</w:t>
      </w:r>
      <w:r>
        <w:rPr>
          <w:rFonts w:ascii="Times New Roman" w:hAnsi="Times New Roman"/>
          <w:b/>
          <w:sz w:val="20"/>
        </w:rPr>
        <w:t>Prior Nasdaq Notice</w:t>
      </w:r>
      <w:r>
        <w:rPr>
          <w:rFonts w:ascii="Times New Roman" w:hAnsi="Times New Roman"/>
          <w:sz w:val="20"/>
        </w:rPr>
        <w:t xml:space="preserve">”), Parent has not received any comment letter from the SEC or the staff thereof or any correspondence from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 </w:t>
      </w:r>
    </w:p>
    <w:p>
      <w:pPr>
        <w:pStyle w:val="TextBody"/>
        <w:bidi w:val="0"/>
        <w:spacing w:before="240" w:after="0"/>
        <w:jc w:val="left"/>
        <w:rPr>
          <w:rFonts w:ascii="Times New Roman" w:hAnsi="Times New Roman"/>
          <w:sz w:val="20"/>
        </w:rPr>
      </w:pPr>
      <w:bookmarkStart w:id="101" w:name="anxa111069_52"/>
      <w:bookmarkEnd w:id="101"/>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102" w:name="anxa111069_53"/>
      <w:bookmarkEnd w:id="102"/>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the Balance Sheet Date, neither Parent nor any of its Subsidiaries has any Liability except for: (a) Liabilities disclosed, reflected or reserved against in the Parent Balance Sheet, (b) normal and recurring current Liabilities that have been incurred by Parent or its Subsidiaries since the date of the Parent Balance Sheet in the Ordinary Course of Business (none of which relates to any breach of contract, breach of warranty, tort, infringement or violation of Law), (c) Liabilities for performance of obligations of Parent or any of its Subsidiaries under Parent Contracts, (d) Liabilities incurred in connection with the Contemplated Transactions, and (e) Liabilities described in </w:t>
      </w:r>
      <w:r>
        <w:rPr>
          <w:rFonts w:ascii="Times New Roman" w:hAnsi="Times New Roman"/>
          <w:sz w:val="20"/>
          <w:u w:val="single"/>
        </w:rPr>
        <w:t>Section 4.9</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03" w:name="anxa111069_54"/>
      <w:bookmarkEnd w:id="103"/>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104" w:name="anxa111069_55"/>
      <w:bookmarkEnd w:id="104"/>
      <w:r>
        <w:rPr>
          <w:rFonts w:ascii="Times New Roman" w:hAnsi="Times New Roman"/>
          <w:sz w:val="20"/>
        </w:rPr>
        <w:t xml:space="preserve">4.11 </w:t>
      </w:r>
      <w:r>
        <w:rPr>
          <w:rFonts w:ascii="Times New Roman" w:hAnsi="Times New Roman"/>
          <w:sz w:val="20"/>
          <w:u w:val="single"/>
        </w:rPr>
        <w:t>Real Property</w:t>
      </w:r>
      <w:r>
        <w:rPr>
          <w:rFonts w:ascii="Times New Roman" w:hAnsi="Times New Roman"/>
          <w:sz w:val="20"/>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by Parent or its Subsidiaries or, to Parent’s Knowledge, the other party thereto. </w:t>
      </w:r>
    </w:p>
    <w:p>
      <w:pPr>
        <w:pStyle w:val="TextBody"/>
        <w:bidi w:val="0"/>
        <w:spacing w:before="240" w:after="0"/>
        <w:jc w:val="left"/>
        <w:rPr>
          <w:rFonts w:ascii="Times New Roman" w:hAnsi="Times New Roman"/>
          <w:sz w:val="20"/>
        </w:rPr>
      </w:pPr>
      <w:bookmarkStart w:id="105" w:name="anxa111069_56"/>
      <w:bookmarkEnd w:id="105"/>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Letter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4.12(c)</w:t>
      </w:r>
      <w:r>
        <w:rPr>
          <w:rFonts w:ascii="Times New Roman" w:hAnsi="Times New Roman"/>
          <w:sz w:val="20"/>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Parent or one of its Subsidiaries exclusively owns all right, title, and interest to and in the Parent IP Rights (other than (i) Parent IP Rights licensed to Parent, or co-owned rights each as identified in </w:t>
      </w:r>
      <w:r>
        <w:rPr>
          <w:rFonts w:ascii="Times New Roman" w:hAnsi="Times New Roman"/>
          <w:sz w:val="20"/>
          <w:u w:val="single"/>
        </w:rPr>
        <w:t>Section 4.12(e)</w:t>
      </w:r>
      <w:r>
        <w:rPr>
          <w:rFonts w:ascii="Times New Roman" w:hAnsi="Times New Roman"/>
          <w:sz w:val="20"/>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any of its Subsidiaries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each of its Subsidiaries has taken reasonable steps to maintain the confidentiality of and otherwise protect and enforce its rights in all proprietary information that Parent or such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Parent or any of its Subsidiaries has not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Parent has delivered, or made available to the Company, a complete and accurate copy of all material Parent IP Rights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p>
    <w:p>
      <w:pPr>
        <w:pStyle w:val="TextBody"/>
        <w:bidi w:val="0"/>
        <w:spacing w:before="240" w:after="0"/>
        <w:jc w:val="left"/>
        <w:rPr>
          <w:rFonts w:ascii="Times New Roman" w:hAnsi="Times New Roman"/>
          <w:sz w:val="20"/>
        </w:rPr>
      </w:pPr>
      <w:r>
        <w:rPr>
          <w:rFonts w:ascii="Times New Roman" w:hAnsi="Times New Roman"/>
          <w:sz w:val="20"/>
        </w:rPr>
        <w:t xml:space="preserve">(j) Except as may be set forth in the Contracts listed on </w:t>
      </w:r>
      <w:r>
        <w:rPr>
          <w:rFonts w:ascii="Times New Roman" w:hAnsi="Times New Roman"/>
          <w:sz w:val="20"/>
          <w:u w:val="single"/>
        </w:rPr>
        <w:t>Section 4.12(b)</w:t>
      </w:r>
      <w:r>
        <w:rPr>
          <w:rFonts w:ascii="Times New Roman" w:hAnsi="Times New Roman"/>
          <w:sz w:val="20"/>
        </w:rPr>
        <w:t xml:space="preserve">, </w:t>
      </w:r>
      <w:r>
        <w:rPr>
          <w:rFonts w:ascii="Times New Roman" w:hAnsi="Times New Roman"/>
          <w:sz w:val="20"/>
          <w:u w:val="single"/>
        </w:rPr>
        <w:t>4.12(c)</w:t>
      </w:r>
      <w:r>
        <w:rPr>
          <w:rFonts w:ascii="Times New Roman" w:hAnsi="Times New Roman"/>
          <w:sz w:val="20"/>
        </w:rPr>
        <w:t xml:space="preserve"> or </w:t>
      </w:r>
      <w:r>
        <w:rPr>
          <w:rFonts w:ascii="Times New Roman" w:hAnsi="Times New Roman"/>
          <w:sz w:val="20"/>
          <w:u w:val="single"/>
        </w:rPr>
        <w:t>4.12(k)</w:t>
      </w:r>
      <w:r>
        <w:rPr>
          <w:rFonts w:ascii="Times New Roman" w:hAnsi="Times New Roman"/>
          <w:sz w:val="20"/>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bookmarkStart w:id="106" w:name="anxa111069_57"/>
      <w:bookmarkEnd w:id="106"/>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w:t>
      </w:r>
      <w:r>
        <w:rPr>
          <w:rFonts w:ascii="Times New Roman" w:hAnsi="Times New Roman"/>
          <w:sz w:val="20"/>
        </w:rPr>
        <w:t xml:space="preserve"> of the Parent Disclosure Letter identifies each Parent Contract that is in effect as of the date of this Agreement other than a Parent Employee Plan (each, an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containing any royalty, dividend or similar arrangement based on the revenues or profits of Parent, any of its Subsidiaries, or of a product;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relating to the disposition or acquisition of material assets or any ownership interest in any Entity, in each case, involving payments in excess of $100,000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entered into in settlement of any Legal Proceeding or other dispute pursuant to which Parent or any of its Subsidiaries has outstanding obligations to pay consideration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(xii) 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(xiii) any Parent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Letter;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bookmarkStart w:id="107" w:name="anxa111069_58"/>
      <w:bookmarkEnd w:id="107"/>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sale, marketing, advertising, distribution and importation or exportation, as currently conducted, of any of its product candidates (the “</w:t>
      </w:r>
      <w:r>
        <w:rPr>
          <w:rFonts w:ascii="Times New Roman" w:hAnsi="Times New Roman"/>
          <w:b/>
          <w:sz w:val="20"/>
        </w:rPr>
        <w:t>Parent Product Candidates</w:t>
      </w:r>
      <w:r>
        <w:rPr>
          <w:rFonts w:ascii="Times New Roman" w:hAnsi="Times New Roman"/>
          <w:sz w:val="20"/>
        </w:rPr>
        <w:t>”) (the “</w:t>
      </w:r>
      <w:r>
        <w:rPr>
          <w:rFonts w:ascii="Times New Roman" w:hAnsi="Times New Roman"/>
          <w:b/>
          <w:sz w:val="20"/>
        </w:rPr>
        <w:t>Parent Regulatory Permits</w:t>
      </w:r>
      <w:r>
        <w:rPr>
          <w:rFonts w:ascii="Times New Roman" w:hAnsi="Times New Roman"/>
          <w:sz w:val="20"/>
        </w:rPr>
        <w:t xml:space="preserve">”), and no such Parent Regulatory Permit has been (i) revoked, withdrawn, suspended, cancelled or terminated or (ii) modified in any adverse manner other than immaterial adverse modifications. </w:t>
      </w:r>
      <w:r>
        <w:rPr>
          <w:rFonts w:ascii="Times New Roman" w:hAnsi="Times New Roman"/>
          <w:sz w:val="20"/>
          <w:u w:val="single"/>
        </w:rPr>
        <w:t>Section 4.14(d)</w:t>
      </w:r>
      <w:r>
        <w:rPr>
          <w:rFonts w:ascii="Times New Roman" w:hAnsi="Times New Roman"/>
          <w:sz w:val="20"/>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threatened against Parent, any of its Subsidiaries, and to the Knowledge of the Parent, any contract manufacturer with respect to any Parent Product Candidate, or any of its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any of its Subsidiaries, and to the Knowledge of Parent, any manufacturing site of a contract manufacturer or laboratory, with respect to any Parent Product Candidate, (i) is subject to a Drug/Device Regulatory Agency shutdown or import or export prohibition or (ii) 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 </w:t>
      </w:r>
    </w:p>
    <w:p>
      <w:pPr>
        <w:pStyle w:val="TextBody"/>
        <w:bidi w:val="0"/>
        <w:spacing w:before="240" w:after="0"/>
        <w:jc w:val="left"/>
        <w:rPr>
          <w:rFonts w:ascii="Times New Roman" w:hAnsi="Times New Roman"/>
          <w:sz w:val="20"/>
        </w:rPr>
      </w:pPr>
      <w:bookmarkStart w:id="108" w:name="anxa111069_59"/>
      <w:bookmarkEnd w:id="108"/>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 </w:t>
      </w:r>
    </w:p>
    <w:p>
      <w:pPr>
        <w:pStyle w:val="TextBody"/>
        <w:bidi w:val="0"/>
        <w:spacing w:before="240" w:after="0"/>
        <w:jc w:val="left"/>
        <w:rPr>
          <w:rFonts w:ascii="Times New Roman" w:hAnsi="Times New Roman"/>
          <w:sz w:val="20"/>
        </w:rPr>
      </w:pPr>
      <w:bookmarkStart w:id="109" w:name="anxa111069_60"/>
      <w:bookmarkEnd w:id="109"/>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or any of its Subsidiaries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Encumbrances described in clause (a) of the definition of “Permitted Encumbrances”) upon any of the assets of Parent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any of its Subsidiaries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is aware of any facts or circumstances or has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bookmarkStart w:id="110" w:name="anxa111069_61"/>
      <w:bookmarkEnd w:id="110"/>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 (6) years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(j)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(k) Parent is in material compliance with all Employment-Related Laws and in each case, with respect to the employees of Parent: (i) 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(m) 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(n)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w:t>
      </w:r>
    </w:p>
    <w:p>
      <w:pPr>
        <w:pStyle w:val="TextBody"/>
        <w:bidi w:val="0"/>
        <w:spacing w:before="240" w:after="0"/>
        <w:jc w:val="left"/>
        <w:rPr>
          <w:rFonts w:ascii="Times New Roman" w:hAnsi="Times New Roman"/>
          <w:sz w:val="20"/>
        </w:rPr>
      </w:pPr>
      <w:r>
        <w:rPr>
          <w:rFonts w:ascii="Times New Roman" w:hAnsi="Times New Roman"/>
          <w:sz w:val="20"/>
        </w:rPr>
        <w:t xml:space="preserve">(o) There is no contract, agreement, plan or arrangement to which Parent or any of its Subsidiaries is a party or by which it is bound to compensate any of its employees or other service providers for any income or excise taxes paid pursuant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 </w:t>
      </w:r>
    </w:p>
    <w:p>
      <w:pPr>
        <w:pStyle w:val="TextBody"/>
        <w:bidi w:val="0"/>
        <w:spacing w:before="240" w:after="0"/>
        <w:jc w:val="left"/>
        <w:rPr>
          <w:rFonts w:ascii="Times New Roman" w:hAnsi="Times New Roman"/>
          <w:sz w:val="20"/>
        </w:rPr>
      </w:pPr>
      <w:bookmarkStart w:id="111" w:name="anxa111069_62"/>
      <w:bookmarkEnd w:id="111"/>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documents in the Parent’s possession or control relating to the Parent and its Subsidiaries, including the Parent’s and its Subsidiaries’ business and current or former facilities. </w:t>
      </w:r>
    </w:p>
    <w:p>
      <w:pPr>
        <w:pStyle w:val="TextBody"/>
        <w:bidi w:val="0"/>
        <w:spacing w:before="240" w:after="0"/>
        <w:jc w:val="left"/>
        <w:rPr>
          <w:rFonts w:ascii="Times New Roman" w:hAnsi="Times New Roman"/>
          <w:sz w:val="20"/>
        </w:rPr>
      </w:pPr>
      <w:bookmarkStart w:id="112" w:name="anxa111069_63"/>
      <w:bookmarkEnd w:id="112"/>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before="240" w:after="0"/>
        <w:jc w:val="left"/>
        <w:rPr>
          <w:rFonts w:ascii="Times New Roman" w:hAnsi="Times New Roman"/>
          <w:sz w:val="20"/>
        </w:rPr>
      </w:pPr>
      <w:bookmarkStart w:id="113" w:name="anxa111069_64"/>
      <w:bookmarkEnd w:id="113"/>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 </w:t>
      </w:r>
    </w:p>
    <w:p>
      <w:pPr>
        <w:pStyle w:val="TextBody"/>
        <w:bidi w:val="0"/>
        <w:spacing w:before="240" w:after="0"/>
        <w:jc w:val="left"/>
        <w:rPr>
          <w:rFonts w:ascii="Times New Roman" w:hAnsi="Times New Roman"/>
          <w:sz w:val="20"/>
        </w:rPr>
      </w:pPr>
      <w:bookmarkStart w:id="114" w:name="anxa111069_65"/>
      <w:bookmarkEnd w:id="114"/>
      <w:r>
        <w:rPr>
          <w:rFonts w:ascii="Times New Roman" w:hAnsi="Times New Roman"/>
          <w:sz w:val="20"/>
        </w:rPr>
        <w:t xml:space="preserve">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bookmarkStart w:id="115" w:name="anxa111069_66"/>
      <w:bookmarkEnd w:id="115"/>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 </w:t>
      </w:r>
    </w:p>
    <w:p>
      <w:pPr>
        <w:pStyle w:val="TextBody"/>
        <w:bidi w:val="0"/>
        <w:spacing w:before="240" w:after="0"/>
        <w:jc w:val="left"/>
        <w:rPr>
          <w:rFonts w:ascii="Times New Roman" w:hAnsi="Times New Roman"/>
          <w:sz w:val="20"/>
        </w:rPr>
      </w:pPr>
      <w:bookmarkStart w:id="116" w:name="anxa111069_67"/>
      <w:bookmarkEnd w:id="116"/>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 </w:t>
      </w:r>
    </w:p>
    <w:p>
      <w:pPr>
        <w:pStyle w:val="TextBody"/>
        <w:bidi w:val="0"/>
        <w:spacing w:before="240" w:after="0"/>
        <w:jc w:val="left"/>
        <w:rPr>
          <w:rFonts w:ascii="Times New Roman" w:hAnsi="Times New Roman"/>
          <w:sz w:val="20"/>
        </w:rPr>
      </w:pPr>
      <w:bookmarkStart w:id="117" w:name="anxa111069_68"/>
      <w:bookmarkEnd w:id="117"/>
      <w:r>
        <w:rPr>
          <w:rFonts w:ascii="Times New Roman" w:hAnsi="Times New Roman"/>
          <w:sz w:val="20"/>
        </w:rPr>
        <w:t xml:space="preserve">4.24 </w:t>
      </w:r>
      <w:r>
        <w:rPr>
          <w:rFonts w:ascii="Times New Roman" w:hAnsi="Times New Roman"/>
          <w:sz w:val="20"/>
          <w:u w:val="single"/>
        </w:rPr>
        <w:t>Trade Control Laws</w:t>
      </w:r>
      <w:r>
        <w:rPr>
          <w:rFonts w:ascii="Times New Roman" w:hAnsi="Times New Roman"/>
          <w:sz w:val="20"/>
        </w:rPr>
        <w:t xml:space="preserve">.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 </w:t>
      </w:r>
    </w:p>
    <w:p>
      <w:pPr>
        <w:pStyle w:val="TextBody"/>
        <w:bidi w:val="0"/>
        <w:spacing w:before="240" w:after="0"/>
        <w:jc w:val="left"/>
        <w:rPr>
          <w:rFonts w:ascii="Times New Roman" w:hAnsi="Times New Roman"/>
          <w:sz w:val="20"/>
        </w:rPr>
      </w:pPr>
      <w:bookmarkStart w:id="118" w:name="anxa111069_69"/>
      <w:bookmarkEnd w:id="118"/>
      <w:r>
        <w:rPr>
          <w:rFonts w:ascii="Times New Roman" w:hAnsi="Times New Roman"/>
          <w:sz w:val="20"/>
        </w:rPr>
        <w:t xml:space="preserve">4.25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Letter)) none of Parent, Merger Subs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119" w:name="anxa111069_70"/>
      <w:bookmarkEnd w:id="119"/>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0" w:name="anxa111069_71"/>
      <w:bookmarkEnd w:id="120"/>
      <w:r>
        <w:rPr>
          <w:rFonts w:ascii="Times New Roman" w:hAnsi="Times New Roman"/>
          <w:sz w:val="20"/>
        </w:rPr>
        <w:t xml:space="preserve">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in </w:t>
      </w:r>
      <w:r>
        <w:rPr>
          <w:rFonts w:ascii="Times New Roman" w:hAnsi="Times New Roman"/>
          <w:sz w:val="20"/>
          <w:u w:val="single"/>
        </w:rPr>
        <w:t>Section 5.1(a)</w:t>
      </w:r>
      <w:r>
        <w:rPr>
          <w:rFonts w:ascii="Times New Roman" w:hAnsi="Times New Roman"/>
          <w:sz w:val="20"/>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First Effective Time (the “</w:t>
      </w:r>
      <w:r>
        <w:rPr>
          <w:rFonts w:ascii="Times New Roman" w:hAnsi="Times New Roman"/>
          <w:b/>
          <w:sz w:val="20"/>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 </w:t>
      </w:r>
    </w:p>
    <w:p>
      <w:pPr>
        <w:pStyle w:val="TextBody"/>
        <w:bidi w:val="0"/>
        <w:spacing w:before="120" w:after="0"/>
        <w:jc w:val="left"/>
        <w:rPr>
          <w:rFonts w:ascii="Times New Roman" w:hAnsi="Times New Roman"/>
          <w:sz w:val="20"/>
        </w:rPr>
      </w:pPr>
      <w:r>
        <w:rPr>
          <w:rFonts w:ascii="Times New Roman" w:hAnsi="Times New Roman"/>
          <w:sz w:val="20"/>
        </w:rPr>
        <w:t xml:space="preserve">(vii)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sell, assign, transfer, license, sublicense or otherwise dispose of any material Parent IP Rights (other than pursuant to non-exclusive licenses in the Ordinary Course of Business or pursuant to the consummation of any Parent Legacy Transaction);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(xiii)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delay or fail to repay when due any material obligation, including accounts payable and accrued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enter into, amend in a manner adverse to Parent or terminate any Parent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xml:space="preserve">), Parent: </w:t>
      </w:r>
    </w:p>
    <w:p>
      <w:pPr>
        <w:pStyle w:val="TextBody"/>
        <w:bidi w:val="0"/>
        <w:spacing w:before="120" w:after="0"/>
        <w:jc w:val="left"/>
        <w:rPr>
          <w:rFonts w:ascii="Times New Roman" w:hAnsi="Times New Roman"/>
          <w:sz w:val="20"/>
        </w:rPr>
      </w:pPr>
      <w:r>
        <w:rPr>
          <w:rFonts w:ascii="Times New Roman" w:hAnsi="Times New Roman"/>
          <w:sz w:val="20"/>
        </w:rPr>
        <w:t>(i) 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hAnsi="Times New Roman"/>
          <w:b/>
          <w:sz w:val="20"/>
        </w:rPr>
        <w:t>Parent Legacy Transaction</w:t>
      </w:r>
      <w:r>
        <w:rPr>
          <w:rFonts w:ascii="Times New Roman" w:hAnsi="Times New Roman"/>
          <w:sz w:val="20"/>
        </w:rPr>
        <w:t xml:space="preserve">”) and, in connection with any Parent Legacy Transaction, (A) establish one or more Subsidiaries to hold assets of the Parent 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 </w:t>
      </w:r>
    </w:p>
    <w:p>
      <w:pPr>
        <w:pStyle w:val="TextBody"/>
        <w:bidi w:val="0"/>
        <w:spacing w:before="120" w:after="0"/>
        <w:jc w:val="left"/>
        <w:rPr>
          <w:rFonts w:ascii="Times New Roman" w:hAnsi="Times New Roman"/>
          <w:sz w:val="20"/>
        </w:rPr>
      </w:pPr>
      <w:r>
        <w:rPr>
          <w:rFonts w:ascii="Times New Roman" w:hAnsi="Times New Roman"/>
          <w:sz w:val="20"/>
        </w:rPr>
        <w:t xml:space="preserve">(ii) 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hAnsi="Times New Roman"/>
          <w:sz w:val="20"/>
          <w:u w:val="single"/>
        </w:rPr>
        <w:t>Section 2.8</w:t>
      </w:r>
      <w:r>
        <w:rPr>
          <w:rFonts w:ascii="Times New Roman" w:hAnsi="Times New Roman"/>
          <w:sz w:val="20"/>
        </w:rPr>
        <w:t>, equal to the aggregate of Parent’s reasonable, good faith approximation of the amount by which Parent Net Cash will exceed $0 (such dividend, the “</w:t>
      </w:r>
      <w:r>
        <w:rPr>
          <w:rFonts w:ascii="Times New Roman" w:hAnsi="Times New Roman"/>
          <w:b/>
          <w:sz w:val="20"/>
        </w:rPr>
        <w:t>Parent Pre-Closing Dividend</w:t>
      </w:r>
      <w:r>
        <w:rPr>
          <w:rFonts w:ascii="Times New Roman" w:hAnsi="Times New Roman"/>
          <w:sz w:val="20"/>
        </w:rPr>
        <w:t>” and such amount, the “</w:t>
      </w:r>
      <w:r>
        <w:rPr>
          <w:rFonts w:ascii="Times New Roman" w:hAnsi="Times New Roman"/>
          <w:b/>
          <w:sz w:val="20"/>
        </w:rPr>
        <w:t>Parent Pre-Closing Dividend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1" w:name="anxa111069_72"/>
      <w:bookmarkEnd w:id="121"/>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or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Letter, (iii) as required by applicable Law, (iv) with respect to any Company Pre-Closing Financing, which is expressly permitted, or (v)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 and the requirements of all Contracts that constitute Company Material Contracts. For the avoidance of doubt, during the Pre-Closing Period, Ordinary Course of Business, with respect to the Company, shall also include such build-out, expansion, and development activities as are customary and reasonable for biotechnology companies at a stage of development substantially similar to that of the Company as of the date hereof,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5.2</w:t>
      </w:r>
      <w:r>
        <w:rPr>
          <w:rFonts w:ascii="Times New Roman" w:hAnsi="Times New Roman"/>
          <w:sz w:val="20"/>
        </w:rPr>
        <w:t xml:space="preserve"> shall be construed to permit the Company to take any action that is expressly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or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Letter, (iii) as required by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other than in the Ordinary Course of Business,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or (C) guarantee any debt securities of others; </w:t>
      </w:r>
    </w:p>
    <w:p>
      <w:pPr>
        <w:pStyle w:val="TextBody"/>
        <w:bidi w:val="0"/>
        <w:spacing w:before="120" w:after="0"/>
        <w:jc w:val="left"/>
        <w:rPr>
          <w:rFonts w:ascii="Times New Roman" w:hAnsi="Times New Roman"/>
          <w:sz w:val="20"/>
        </w:rPr>
      </w:pPr>
      <w:r>
        <w:rPr>
          <w:rFonts w:ascii="Times New Roman" w:hAnsi="Times New Roman"/>
          <w:sz w:val="20"/>
        </w:rPr>
        <w:t xml:space="preserve">(vi) sell, lease, license or otherwise irrevocably dispose of any of its assets or properties, or grant any Encumbrance with respect to such assets or properties,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assign, transfer, license, sublicense or otherwise dispose of any material Company IP Rights (other than pursuant to non-exclusive licenses); </w:t>
      </w:r>
    </w:p>
    <w:p>
      <w:pPr>
        <w:pStyle w:val="TextBody"/>
        <w:bidi w:val="0"/>
        <w:spacing w:before="120" w:after="0"/>
        <w:jc w:val="left"/>
        <w:rPr>
          <w:rFonts w:ascii="Times New Roman" w:hAnsi="Times New Roman"/>
          <w:sz w:val="20"/>
        </w:rPr>
      </w:pPr>
      <w:r>
        <w:rPr>
          <w:rFonts w:ascii="Times New Roman" w:hAnsi="Times New Roman"/>
          <w:sz w:val="20"/>
        </w:rPr>
        <w:t xml:space="preserve">(viii)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 enter into, amend in a manner adverse to the Company or terminate any Company Material Contract outside of the Ordinary Course of Business; or </w:t>
      </w:r>
    </w:p>
    <w:p>
      <w:pPr>
        <w:pStyle w:val="TextBody"/>
        <w:bidi w:val="0"/>
        <w:spacing w:before="120" w:after="0"/>
        <w:jc w:val="left"/>
        <w:rPr>
          <w:rFonts w:ascii="Times New Roman" w:hAnsi="Times New Roman"/>
          <w:sz w:val="20"/>
        </w:rPr>
      </w:pPr>
      <w:r>
        <w:rPr>
          <w:rFonts w:ascii="Times New Roman" w:hAnsi="Times New Roman"/>
          <w:sz w:val="20"/>
        </w:rPr>
        <w:t xml:space="preserve">(xi)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22" w:name="anxa111069_73"/>
      <w:bookmarkEnd w:id="122"/>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123" w:name="anxa111069_74"/>
      <w:bookmarkEnd w:id="123"/>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hAnsi="Times New Roman"/>
          <w:sz w:val="20"/>
          <w:u w:val="single"/>
        </w:rPr>
        <w:t>Section 5.4</w:t>
      </w:r>
      <w:r>
        <w:rPr>
          <w:rFonts w:ascii="Times New Roman" w:hAnsi="Times New Roman"/>
          <w:sz w:val="20"/>
        </w:rPr>
        <w:t xml:space="preserve">), (iv) approve, endorse or recommend any Acquisition Proposal,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 however</w:t>
      </w:r>
      <w:r>
        <w:rPr>
          <w:rFonts w:ascii="Times New Roman" w:hAnsi="Times New Roman"/>
          <w:sz w:val="20"/>
        </w:rPr>
        <w:t xml:space="preserve">, that, (x) any public disclosures made in compliance with </w:t>
      </w:r>
      <w:r>
        <w:rPr>
          <w:rFonts w:ascii="Times New Roman" w:hAnsi="Times New Roman"/>
          <w:sz w:val="20"/>
          <w:u w:val="single"/>
        </w:rPr>
        <w:t>Section 6.3</w:t>
      </w:r>
      <w:r>
        <w:rPr>
          <w:rFonts w:ascii="Times New Roman" w:hAnsi="Times New Roman"/>
          <w:sz w:val="20"/>
        </w:rPr>
        <w:t xml:space="preserve">(e) shall not constitute a violation of this </w:t>
      </w:r>
      <w:r>
        <w:rPr>
          <w:rFonts w:ascii="Times New Roman" w:hAnsi="Times New Roman"/>
          <w:sz w:val="20"/>
          <w:u w:val="single"/>
        </w:rPr>
        <w:t>Section 5.4</w:t>
      </w:r>
      <w:r>
        <w:rPr>
          <w:rFonts w:ascii="Times New Roman" w:hAnsi="Times New Roman"/>
          <w:sz w:val="20"/>
        </w:rPr>
        <w:t xml:space="preserve"> and (y)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 </w:t>
      </w:r>
    </w:p>
    <w:p>
      <w:pPr>
        <w:pStyle w:val="TextBody"/>
        <w:bidi w:val="0"/>
        <w:spacing w:before="240" w:after="0"/>
        <w:jc w:val="left"/>
        <w:rPr>
          <w:rFonts w:ascii="Times New Roman" w:hAnsi="Times New Roman"/>
          <w:sz w:val="20"/>
        </w:rPr>
      </w:pPr>
      <w:bookmarkStart w:id="124" w:name="anxa111069_75"/>
      <w:bookmarkEnd w:id="124"/>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made with such Party’s Knowledge that such failure to provide notice would reasonably be expected to constitute a breach of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5" w:name="anxa111069_76"/>
      <w:bookmarkEnd w:id="125"/>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6" w:name="anxa111069_77"/>
      <w:bookmarkEnd w:id="126"/>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Parent,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a proxy statement relating to the Parent Shareholder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under the Securities Act of the shares of Parent Common Stock (including any Parent Common Stock issuable upon (I) conversion of the Parent Convertible Preferred Stock or (II) 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Parent a consent letter of the Company’s independent 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bookmarkStart w:id="127" w:name="anxa111069_78"/>
      <w:bookmarkEnd w:id="127"/>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if any.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shall be subject to Parent’s advance review (the period of time starting upon delivery of any such materials to Parent and ending upon resolution of any good faith comments raised by Parent, the “</w:t>
      </w:r>
      <w:r>
        <w:rPr>
          <w:rFonts w:ascii="Times New Roman" w:hAnsi="Times New Roman"/>
          <w:b/>
          <w:sz w:val="20"/>
        </w:rPr>
        <w:t>Company Stockholder Consent Review Period</w:t>
      </w:r>
      <w:r>
        <w:rPr>
          <w:rFonts w:ascii="Times New Roman" w:hAnsi="Times New Roman"/>
          <w:sz w:val="20"/>
        </w:rPr>
        <w:t xml:space="preserve">”), and the Company shall consider in good faith any comments raised by Parent in connection with Parent’s review.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subject to </w:t>
      </w:r>
      <w:r>
        <w:rPr>
          <w:rFonts w:ascii="Times New Roman" w:hAnsi="Times New Roman"/>
          <w:sz w:val="20"/>
          <w:u w:val="single"/>
        </w:rPr>
        <w:t>Section 6.2(d)</w:t>
      </w:r>
      <w:r>
        <w:rPr>
          <w:rFonts w:ascii="Times New Roman" w:hAnsi="Times New Roman"/>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hAnsi="Times New Roman"/>
          <w:sz w:val="20"/>
          <w:u w:val="single"/>
        </w:rPr>
        <w:t>Section 5.4</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 (3) 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hAnsi="Times New Roman"/>
          <w:b/>
          <w:sz w:val="20"/>
        </w:rPr>
        <w:t>Company Intervening Event</w:t>
      </w:r>
      <w:r>
        <w:rPr>
          <w:rFonts w:ascii="Times New Roman" w:hAnsi="Times New Roman"/>
          <w:sz w:val="20"/>
        </w:rPr>
        <w:t>”), the Company Board may withhold, amend, withdraw or modify the Company Board Recommendation (or publicly propose to withhold, amend, withdraw or modify the Company Board Recommendation) in a manner adverse to Parent (collectively, a “</w:t>
      </w:r>
      <w:r>
        <w:rPr>
          <w:rFonts w:ascii="Times New Roman" w:hAnsi="Times New Roman"/>
          <w:b/>
          <w:sz w:val="20"/>
        </w:rPr>
        <w:t>Company Board Adverse Recommendation Change</w:t>
      </w:r>
      <w:r>
        <w:rPr>
          <w:rFonts w:ascii="Times New Roman" w:hAnsi="Times New Roman"/>
          <w:sz w:val="20"/>
        </w:rPr>
        <w:t>”) if, but only if, (x) in the case of a Superior Offer, following the receipt of and on account of such Superior 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hAnsi="Times New Roman"/>
          <w:sz w:val="20"/>
          <w:u w:val="single"/>
        </w:rPr>
        <w:t>Section 6.2(d)</w:t>
      </w:r>
      <w:r>
        <w:rPr>
          <w:rFonts w:ascii="Times New Roman" w:hAnsi="Times New Roman"/>
          <w:sz w:val="20"/>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 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 </w:t>
      </w:r>
    </w:p>
    <w:p>
      <w:pPr>
        <w:pStyle w:val="TextBody"/>
        <w:bidi w:val="0"/>
        <w:spacing w:before="240" w:after="0"/>
        <w:jc w:val="left"/>
        <w:rPr>
          <w:rFonts w:ascii="Times New Roman" w:hAnsi="Times New Roman"/>
          <w:sz w:val="20"/>
        </w:rPr>
      </w:pPr>
      <w:bookmarkStart w:id="128" w:name="anxa111069_79"/>
      <w:bookmarkEnd w:id="128"/>
      <w:r>
        <w:rPr>
          <w:rFonts w:ascii="Times New Roman" w:hAnsi="Times New Roman"/>
          <w:sz w:val="20"/>
        </w:rPr>
        <w:t xml:space="preserve">6.3 </w:t>
      </w:r>
      <w:r>
        <w:rPr>
          <w:rFonts w:ascii="Times New Roman" w:hAnsi="Times New Roman"/>
          <w:sz w:val="20"/>
          <w:u w:val="single"/>
        </w:rPr>
        <w:t>Parent Shareholder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hAnsi="Times New Roman"/>
          <w:b/>
          <w:sz w:val="20"/>
        </w:rPr>
        <w:t>Parent Shareholder Matters</w:t>
      </w:r>
      <w:r>
        <w:rPr>
          <w:rFonts w:ascii="Times New Roman" w:hAnsi="Times New Roman"/>
          <w:sz w:val="20"/>
        </w:rPr>
        <w:t>” and such meeting, the “</w:t>
      </w:r>
      <w:r>
        <w:rPr>
          <w:rFonts w:ascii="Times New Roman" w:hAnsi="Times New Roman"/>
          <w:b/>
          <w:sz w:val="20"/>
        </w:rPr>
        <w:t>Parent Shareholder Meeting</w:t>
      </w:r>
      <w:r>
        <w:rPr>
          <w:rFonts w:ascii="Times New Roman" w:hAnsi="Times New Roman"/>
          <w:sz w:val="20"/>
        </w:rPr>
        <w:t xml:space="preserve">”). The Parent Shareholder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 </w:t>
      </w:r>
    </w:p>
    <w:p>
      <w:pPr>
        <w:pStyle w:val="TextBody"/>
        <w:bidi w:val="0"/>
        <w:spacing w:before="24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statement to the effect that the Parent Board recommends that Parent’s shareholders vote to approve the Parent Shareholder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Section 6.3(b),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the Parent Board may withhold, amend, withdraw or modify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Board Recommendation (or publicly propose to withhold, amend, withdraw or modify the Parent Board Recommendation) in a manner adverse to the Company (a “</w:t>
      </w:r>
      <w:r>
        <w:rPr>
          <w:rFonts w:ascii="Times New Roman" w:hAnsi="Times New Roman"/>
          <w:b/>
          <w:sz w:val="20"/>
        </w:rPr>
        <w:t>Parent Board Adverse Recommendation Change</w:t>
      </w:r>
      <w:r>
        <w:rPr>
          <w:rFonts w:ascii="Times New Roman" w:hAnsi="Times New Roman"/>
          <w:sz w:val="20"/>
        </w:rPr>
        <w:t>”) if, at any time prior to approval and adoption of this Agreement by the Required Parent Shareholder Vote, (i) Parent receives a bona fide written Acquisition Proposal that the 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hAnsi="Times New Roman"/>
          <w:b/>
          <w:sz w:val="20"/>
        </w:rPr>
        <w:t>Parent Intervening Event</w:t>
      </w:r>
      <w:r>
        <w:rPr>
          <w:rFonts w:ascii="Times New Roman" w:hAnsi="Times New Roman"/>
          <w:sz w:val="20"/>
        </w:rPr>
        <w:t xml:space="preserve">”), if, but only if, (x) 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Shareholder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Acquisition Proposal or Acquisition Inquiry,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(i)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determines in good faith, after consultation with its outside legal counsel, that such 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hAnsi="Times New Roman"/>
          <w:sz w:val="20"/>
          <w:u w:val="single"/>
        </w:rPr>
        <w:t>Section 5.4</w:t>
      </w:r>
      <w:r>
        <w:rPr>
          <w:rFonts w:ascii="Times New Roman" w:hAnsi="Times New Roman"/>
          <w:sz w:val="20"/>
        </w:rPr>
        <w:t xml:space="preserve">; or (iv) 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 </w:t>
      </w:r>
    </w:p>
    <w:p>
      <w:pPr>
        <w:pStyle w:val="TextBody"/>
        <w:bidi w:val="0"/>
        <w:spacing w:before="240" w:after="0"/>
        <w:jc w:val="left"/>
        <w:rPr>
          <w:rFonts w:ascii="Times New Roman" w:hAnsi="Times New Roman"/>
          <w:sz w:val="20"/>
        </w:rPr>
      </w:pPr>
      <w:bookmarkStart w:id="129" w:name="anxa111069_80"/>
      <w:bookmarkEnd w:id="129"/>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hAnsi="Times New Roman"/>
          <w:b/>
          <w:sz w:val="20"/>
        </w:rPr>
        <w:t>Antitrust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hAnsi="Times New Roman"/>
          <w:sz w:val="20"/>
          <w:u w:val="single"/>
        </w:rPr>
        <w:t>provided</w:t>
      </w:r>
      <w:r>
        <w:rPr>
          <w:rFonts w:ascii="Times New Roman" w:hAnsi="Times New Roman"/>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 </w:t>
      </w:r>
    </w:p>
    <w:p>
      <w:pPr>
        <w:pStyle w:val="TextBody"/>
        <w:bidi w:val="0"/>
        <w:spacing w:before="240" w:after="0"/>
        <w:jc w:val="left"/>
        <w:rPr>
          <w:rFonts w:ascii="Times New Roman" w:hAnsi="Times New Roman"/>
          <w:sz w:val="20"/>
        </w:rPr>
      </w:pPr>
      <w:bookmarkStart w:id="130" w:name="anxa111069_81"/>
      <w:bookmarkEnd w:id="130"/>
      <w:r>
        <w:rPr>
          <w:rFonts w:ascii="Times New Roman" w:hAnsi="Times New Roman"/>
          <w:sz w:val="20"/>
        </w:rPr>
        <w:t xml:space="preserve">6.5 </w:t>
      </w:r>
      <w:r>
        <w:rPr>
          <w:rFonts w:ascii="Times New Roman" w:hAnsi="Times New Roman"/>
          <w:sz w:val="20"/>
          <w:u w:val="single"/>
        </w:rPr>
        <w:t>Company Options; Company RSUs; Company 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hAnsi="Times New Roman"/>
          <w:b/>
          <w:sz w:val="20"/>
        </w:rPr>
        <w:t>Assumed RSU Award</w:t>
      </w:r>
      <w:r>
        <w:rPr>
          <w:rFonts w:ascii="Times New Roman" w:hAnsi="Times New Roman"/>
          <w:sz w:val="20"/>
        </w:rPr>
        <w:t xml:space="preserve">”),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 (ii) the Exchange Ratio, rounded down, if necessary, to the nearest whole share of Parent Common Stock; </w:t>
      </w:r>
      <w:r>
        <w:rPr>
          <w:rFonts w:ascii="Times New Roman" w:hAnsi="Times New Roman"/>
          <w:sz w:val="20"/>
          <w:u w:val="single"/>
        </w:rPr>
        <w:t>provided</w:t>
      </w:r>
      <w:r>
        <w:rPr>
          <w:rFonts w:ascii="Times New Roman" w:hAnsi="Times New Roman"/>
          <w:sz w:val="20"/>
        </w:rPr>
        <w:t xml:space="preserve">,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(c) 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hAnsi="Times New Roman"/>
          <w:b/>
          <w:sz w:val="20"/>
        </w:rPr>
        <w:t>Assumed Warrant</w:t>
      </w:r>
      <w:r>
        <w:rPr>
          <w:rFonts w:ascii="Times New Roman" w:hAnsi="Times New Roman"/>
          <w:sz w:val="20"/>
        </w:rPr>
        <w:t xml:space="preserve">”),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 </w:t>
      </w:r>
    </w:p>
    <w:p>
      <w:pPr>
        <w:pStyle w:val="TextBody"/>
        <w:bidi w:val="0"/>
        <w:spacing w:before="240" w:after="0"/>
        <w:jc w:val="left"/>
        <w:rPr>
          <w:rFonts w:ascii="Times New Roman" w:hAnsi="Times New Roman"/>
          <w:sz w:val="20"/>
        </w:rPr>
      </w:pPr>
      <w:bookmarkStart w:id="131" w:name="anxa111069_82"/>
      <w:bookmarkEnd w:id="131"/>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(b) From and after the First Effective Time, with respect to each benefit plan maintained by Parent or the Surviving Entity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401(k) Plan</w:t>
      </w:r>
      <w:r>
        <w:rPr>
          <w:rFonts w:ascii="Times New Roman" w:hAnsi="Times New Roman"/>
          <w:sz w:val="20"/>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hAnsi="Times New Roman"/>
          <w:b/>
          <w:sz w:val="20"/>
        </w:rPr>
        <w:t>401(k) Plans</w:t>
      </w:r>
      <w:r>
        <w:rPr>
          <w:rFonts w:ascii="Times New Roman" w:hAnsi="Times New Roman"/>
          <w:sz w:val="20"/>
        </w:rPr>
        <w:t xml:space="preserve">”) in compliance with such 401(k) Plan’s terms and the requirements of applicable Law, (ii) made all employee and employer contributions to the 401(k) Plans for all periods of 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Options</w:t>
      </w:r>
      <w:r>
        <w:rPr>
          <w:rFonts w:ascii="Times New Roman" w:hAnsi="Times New Roman"/>
          <w:sz w:val="20"/>
        </w:rPr>
        <w:t xml:space="preserve">.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equal to the product obtained by multiplying (A) the excess of the Parent Closing Price over the exercise price per share of the Parent Common Stock underlying such Parent Option by (B) the number of shares of the Parent Common Stock underlying such Parent Option (such amount, the “</w:t>
      </w:r>
      <w:r>
        <w:rPr>
          <w:rFonts w:ascii="Times New Roman" w:hAnsi="Times New Roman"/>
          <w:b/>
          <w:sz w:val="20"/>
        </w:rPr>
        <w:t>Parent Stock Option Cash Consideration</w:t>
      </w:r>
      <w:r>
        <w:rPr>
          <w:rFonts w:ascii="Times New Roman" w:hAnsi="Times New Roman"/>
          <w:sz w:val="20"/>
        </w:rPr>
        <w:t xml:space="preserve">”).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Restricted Stock Awards</w:t>
      </w:r>
      <w:r>
        <w:rPr>
          <w:rFonts w:ascii="Times New Roman" w:hAnsi="Times New Roman"/>
          <w:sz w:val="20"/>
        </w:rPr>
        <w:t xml:space="preserve">.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 </w:t>
      </w:r>
    </w:p>
    <w:p>
      <w:pPr>
        <w:pStyle w:val="TextBody"/>
        <w:bidi w:val="0"/>
        <w:spacing w:before="240" w:after="0"/>
        <w:jc w:val="left"/>
        <w:rPr>
          <w:rFonts w:ascii="Times New Roman" w:hAnsi="Times New Roman"/>
          <w:sz w:val="20"/>
        </w:rPr>
      </w:pPr>
      <w:bookmarkStart w:id="132" w:name="anxa111069_83"/>
      <w:bookmarkEnd w:id="132"/>
      <w:r>
        <w:rPr>
          <w:rFonts w:ascii="Times New Roman" w:hAnsi="Times New Roman"/>
          <w:sz w:val="20"/>
        </w:rPr>
        <w:t xml:space="preserve">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Parent, to the 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First Effective Time, Parent shall pay all expenses, including reasonable attorneys’ fees, that are incurred by the persons referred to in this </w:t>
      </w:r>
      <w:r>
        <w:rPr>
          <w:rFonts w:ascii="Times New Roman" w:hAnsi="Times New Roman"/>
          <w:sz w:val="20"/>
          <w:u w:val="single"/>
        </w:rPr>
        <w:t>Section 6.7</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6.7</w:t>
      </w:r>
      <w:r>
        <w:rPr>
          <w:rFonts w:ascii="Times New Roman" w:hAnsi="Times New Roman"/>
          <w:sz w:val="20"/>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6.7</w:t>
      </w:r>
      <w:r>
        <w:rPr>
          <w:rFonts w:ascii="Times New Roman" w:hAnsi="Times New Roman"/>
          <w:sz w:val="20"/>
        </w:rPr>
        <w:t xml:space="preserve">. Parent shall cause the Surviving Entity to perform all of the obligations of the Surviving Entity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3" w:name="anxa111069_84"/>
      <w:bookmarkEnd w:id="133"/>
      <w:r>
        <w:rPr>
          <w:rFonts w:ascii="Times New Roman" w:hAnsi="Times New Roman"/>
          <w:sz w:val="20"/>
        </w:rPr>
        <w:t xml:space="preserve">6.8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statements made by the Company or Parent in compliance with this </w:t>
      </w:r>
      <w:r>
        <w:rPr>
          <w:rFonts w:ascii="Times New Roman" w:hAnsi="Times New Roman"/>
          <w:sz w:val="20"/>
          <w:u w:val="single"/>
        </w:rPr>
        <w:t>Section 6.8</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111069_85"/>
      <w:bookmarkEnd w:id="134"/>
      <w:r>
        <w:rPr>
          <w:rFonts w:ascii="Times New Roman" w:hAnsi="Times New Roman"/>
          <w:sz w:val="20"/>
        </w:rPr>
        <w:t xml:space="preserve">6.9 </w:t>
      </w:r>
      <w:r>
        <w:rPr>
          <w:rFonts w:ascii="Times New Roman" w:hAnsi="Times New Roman"/>
          <w:sz w:val="20"/>
          <w:u w:val="single"/>
        </w:rPr>
        <w:t>Listing</w:t>
      </w:r>
      <w:r>
        <w:rPr>
          <w:rFonts w:ascii="Times New Roman" w:hAnsi="Times New Roman"/>
          <w:sz w:val="20"/>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 (d) 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6.9</w:t>
      </w:r>
      <w:r>
        <w:rPr>
          <w:rFonts w:ascii="Times New Roman" w:hAnsi="Times New Roman"/>
          <w:sz w:val="20"/>
        </w:rPr>
        <w:t xml:space="preserve">. The Company and Parent shall each pay 50% of Nasdaq fees associated with any action contemplated by this </w:t>
      </w:r>
      <w:r>
        <w:rPr>
          <w:rFonts w:ascii="Times New Roman" w:hAnsi="Times New Roman"/>
          <w:sz w:val="20"/>
          <w:u w:val="single"/>
        </w:rPr>
        <w:t>Section 6.9</w:t>
      </w:r>
      <w:r>
        <w:rPr>
          <w:rFonts w:ascii="Times New Roman" w:hAnsi="Times New Roman"/>
          <w:sz w:val="20"/>
        </w:rPr>
        <w:t>, including any fees related to the engagement of a consultant (the “</w:t>
      </w:r>
      <w:r>
        <w:rPr>
          <w:rFonts w:ascii="Times New Roman" w:hAnsi="Times New Roman"/>
          <w:b/>
          <w:sz w:val="20"/>
        </w:rPr>
        <w:t>Nasdaq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5" w:name="anxa111069_86"/>
      <w:bookmarkEnd w:id="135"/>
      <w:r>
        <w:rPr>
          <w:rFonts w:ascii="Times New Roman" w:hAnsi="Times New Roman"/>
          <w:sz w:val="20"/>
        </w:rPr>
        <w:t xml:space="preserve">6.10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hAnsi="Times New Roman"/>
          <w:b/>
          <w:sz w:val="20"/>
        </w:rPr>
        <w:t>Tax Certificates</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bookmarkStart w:id="136" w:name="anxa111069_87"/>
      <w:bookmarkEnd w:id="136"/>
      <w:r>
        <w:rPr>
          <w:rFonts w:ascii="Times New Roman" w:hAnsi="Times New Roman"/>
          <w:sz w:val="20"/>
        </w:rPr>
        <w:t xml:space="preserve">6.11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 </w:t>
      </w:r>
    </w:p>
    <w:p>
      <w:pPr>
        <w:pStyle w:val="TextBody"/>
        <w:bidi w:val="0"/>
        <w:spacing w:before="240" w:after="0"/>
        <w:jc w:val="left"/>
        <w:rPr>
          <w:rFonts w:ascii="Times New Roman" w:hAnsi="Times New Roman"/>
          <w:sz w:val="20"/>
        </w:rPr>
      </w:pPr>
      <w:bookmarkStart w:id="137" w:name="anxa111069_88"/>
      <w:bookmarkEnd w:id="137"/>
      <w:r>
        <w:rPr>
          <w:rFonts w:ascii="Times New Roman" w:hAnsi="Times New Roman"/>
          <w:sz w:val="20"/>
        </w:rPr>
        <w:t xml:space="preserve">6.12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take all necessary action so that the Persons listed on </w:t>
      </w:r>
      <w:r>
        <w:rPr>
          <w:rFonts w:ascii="Times New Roman" w:hAnsi="Times New Roman"/>
          <w:sz w:val="20"/>
          <w:u w:val="single"/>
        </w:rPr>
        <w:t>Section 6.12</w:t>
      </w:r>
      <w:r>
        <w:rPr>
          <w:rFonts w:ascii="Times New Roman" w:hAnsi="Times New Roman"/>
          <w:sz w:val="20"/>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hAnsi="Times New Roman"/>
          <w:sz w:val="20"/>
          <w:u w:val="single"/>
        </w:rPr>
        <w:t>Section 6.12</w:t>
      </w:r>
      <w:r>
        <w:rPr>
          <w:rFonts w:ascii="Times New Roman" w:hAnsi="Times New Roman"/>
          <w:sz w:val="20"/>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hAnsi="Times New Roman"/>
          <w:sz w:val="20"/>
          <w:u w:val="single"/>
        </w:rPr>
        <w:t>Section 6.12</w:t>
      </w:r>
      <w:r>
        <w:rPr>
          <w:rFonts w:ascii="Times New Roman" w:hAnsi="Times New Roman"/>
          <w:sz w:val="20"/>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38" w:name="anxa111069_89"/>
      <w:bookmarkEnd w:id="138"/>
      <w:r>
        <w:rPr>
          <w:rFonts w:ascii="Times New Roman" w:hAnsi="Times New Roman"/>
          <w:sz w:val="20"/>
        </w:rPr>
        <w:t xml:space="preserve">6.13 </w:t>
      </w:r>
      <w:r>
        <w:rPr>
          <w:rFonts w:ascii="Times New Roman" w:hAnsi="Times New Roman"/>
          <w:sz w:val="20"/>
          <w:u w:val="single"/>
        </w:rPr>
        <w:t>Termination of Certain Agreements and Rights</w:t>
      </w:r>
      <w:r>
        <w:rPr>
          <w:rFonts w:ascii="Times New Roman" w:hAnsi="Times New Roman"/>
          <w:sz w:val="20"/>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hAnsi="Times New Roman"/>
          <w:b/>
          <w:sz w:val="20"/>
        </w:rPr>
        <w:t>Investor Agreements</w:t>
      </w:r>
      <w:r>
        <w:rPr>
          <w:rFonts w:ascii="Times New Roman" w:hAnsi="Times New Roman"/>
          <w:sz w:val="20"/>
        </w:rPr>
        <w:t xml:space="preserve">”),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 </w:t>
      </w:r>
    </w:p>
    <w:p>
      <w:pPr>
        <w:pStyle w:val="TextBody"/>
        <w:bidi w:val="0"/>
        <w:spacing w:before="240" w:after="0"/>
        <w:jc w:val="left"/>
        <w:rPr>
          <w:rFonts w:ascii="Times New Roman" w:hAnsi="Times New Roman"/>
          <w:sz w:val="20"/>
        </w:rPr>
      </w:pPr>
      <w:bookmarkStart w:id="139" w:name="anxa111069_90"/>
      <w:bookmarkEnd w:id="139"/>
      <w:r>
        <w:rPr>
          <w:rFonts w:ascii="Times New Roman" w:hAnsi="Times New Roman"/>
          <w:sz w:val="20"/>
        </w:rPr>
        <w:t xml:space="preserve">6.14 </w:t>
      </w:r>
      <w:r>
        <w:rPr>
          <w:rFonts w:ascii="Times New Roman" w:hAnsi="Times New Roman"/>
          <w:sz w:val="20"/>
          <w:u w:val="single"/>
        </w:rPr>
        <w:t>Section 16 Matters</w:t>
      </w:r>
      <w:r>
        <w:rPr>
          <w:rFonts w:ascii="Times New Roman" w:hAnsi="Times New Roman"/>
          <w:sz w:val="20"/>
        </w:rPr>
        <w:t xml:space="preserve">.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40" w:name="anxa111069_91"/>
      <w:bookmarkEnd w:id="140"/>
      <w:r>
        <w:rPr>
          <w:rFonts w:ascii="Times New Roman" w:hAnsi="Times New Roman"/>
          <w:sz w:val="20"/>
        </w:rPr>
        <w:t xml:space="preserve">6.15 </w:t>
      </w:r>
      <w:r>
        <w:rPr>
          <w:rFonts w:ascii="Times New Roman" w:hAnsi="Times New Roman"/>
          <w:sz w:val="20"/>
          <w:u w:val="single"/>
        </w:rPr>
        <w:t>Allocation Information</w:t>
      </w:r>
      <w:r>
        <w:rPr>
          <w:rFonts w:ascii="Times New Roman" w:hAnsi="Times New Roman"/>
          <w:sz w:val="20"/>
        </w:rPr>
        <w:t xml:space="preserve">. The Company will prepare and deliver to Parent prior to the Closing a spreadsheet setting forth (as of immediately prior to the First Effective Time) (a) each holder of (i)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Capital Stock, (ii) Company Options, (iii) Company RSUs, and (iv) 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1" w:name="anxa111069_92"/>
      <w:bookmarkEnd w:id="141"/>
      <w:r>
        <w:rPr>
          <w:rFonts w:ascii="Times New Roman" w:hAnsi="Times New Roman"/>
          <w:sz w:val="20"/>
        </w:rPr>
        <w:t xml:space="preserve">6.16 </w:t>
      </w:r>
      <w:r>
        <w:rPr>
          <w:rFonts w:ascii="Times New Roman" w:hAnsi="Times New Roman"/>
          <w:sz w:val="20"/>
          <w:u w:val="single"/>
        </w:rPr>
        <w:t>Parent SEC Documents</w:t>
      </w:r>
      <w:r>
        <w:rPr>
          <w:rFonts w:ascii="Times New Roman" w:hAnsi="Times New Roman"/>
          <w:sz w:val="20"/>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bookmarkStart w:id="142" w:name="anxa111069_93"/>
      <w:bookmarkEnd w:id="142"/>
      <w:r>
        <w:rPr>
          <w:rFonts w:ascii="Times New Roman" w:hAnsi="Times New Roman"/>
          <w:sz w:val="20"/>
        </w:rPr>
        <w:t xml:space="preserve">6.17 </w:t>
      </w:r>
      <w:r>
        <w:rPr>
          <w:rFonts w:ascii="Times New Roman" w:hAnsi="Times New Roman"/>
          <w:sz w:val="20"/>
          <w:u w:val="single"/>
        </w:rPr>
        <w:t>Obligations of Merger Subs</w:t>
      </w:r>
      <w:r>
        <w:rPr>
          <w:rFonts w:ascii="Times New Roman" w:hAnsi="Times New Roman"/>
          <w:sz w:val="20"/>
        </w:rPr>
        <w:t xml:space="preserve">. Parent will take all action necessary to cause each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43" w:name="anxa111069_94"/>
      <w:bookmarkEnd w:id="143"/>
      <w:r>
        <w:rPr>
          <w:rFonts w:ascii="Times New Roman" w:hAnsi="Times New Roman"/>
          <w:sz w:val="20"/>
        </w:rPr>
        <w:t xml:space="preserve">6.18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 </w:t>
      </w:r>
    </w:p>
    <w:p>
      <w:pPr>
        <w:pStyle w:val="TextBody"/>
        <w:bidi w:val="0"/>
        <w:spacing w:before="240" w:after="0"/>
        <w:jc w:val="left"/>
        <w:rPr>
          <w:rFonts w:ascii="Times New Roman" w:hAnsi="Times New Roman"/>
          <w:sz w:val="20"/>
        </w:rPr>
      </w:pPr>
      <w:bookmarkStart w:id="144" w:name="anxa111069_95"/>
      <w:bookmarkEnd w:id="144"/>
      <w:r>
        <w:rPr>
          <w:rFonts w:ascii="Times New Roman" w:hAnsi="Times New Roman"/>
          <w:sz w:val="20"/>
        </w:rPr>
        <w:t xml:space="preserve">6.19 </w:t>
      </w:r>
      <w:r>
        <w:rPr>
          <w:rFonts w:ascii="Times New Roman" w:hAnsi="Times New Roman"/>
          <w:sz w:val="20"/>
          <w:u w:val="single"/>
        </w:rPr>
        <w:t>Company Pre-Closing Financing</w:t>
      </w:r>
      <w:r>
        <w:rPr>
          <w:rFonts w:ascii="Times New Roman" w:hAnsi="Times New Roman"/>
          <w:sz w:val="20"/>
        </w:rPr>
        <w:t xml:space="preserve">.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 </w:t>
      </w:r>
    </w:p>
    <w:p>
      <w:pPr>
        <w:pStyle w:val="TextBody"/>
        <w:bidi w:val="0"/>
        <w:spacing w:before="240" w:after="0"/>
        <w:jc w:val="left"/>
        <w:rPr>
          <w:rFonts w:ascii="Times New Roman" w:hAnsi="Times New Roman"/>
          <w:sz w:val="20"/>
        </w:rPr>
      </w:pPr>
      <w:bookmarkStart w:id="145" w:name="anxa111069_96"/>
      <w:bookmarkEnd w:id="145"/>
      <w:r>
        <w:rPr>
          <w:rFonts w:ascii="Times New Roman" w:hAnsi="Times New Roman"/>
          <w:sz w:val="20"/>
        </w:rPr>
        <w:t xml:space="preserve">6.20 </w:t>
      </w:r>
      <w:r>
        <w:rPr>
          <w:rFonts w:ascii="Times New Roman" w:hAnsi="Times New Roman"/>
          <w:sz w:val="20"/>
          <w:u w:val="single"/>
        </w:rPr>
        <w:t>Termination of Certain Agreements</w:t>
      </w:r>
      <w:r>
        <w:rPr>
          <w:rFonts w:ascii="Times New Roman" w:hAnsi="Times New Roman"/>
          <w:sz w:val="20"/>
        </w:rPr>
        <w:t xml:space="preserve">. Promptly following the date hereof, Parent will take all action necessary to terminate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46" w:name="anxa111069_97"/>
      <w:bookmarkEnd w:id="146"/>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each Party to effect the Merger and otherwise consummate the Contemplated Transactions to be consummated at the Closing are subject to the satisfaction or, to the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bookmarkStart w:id="147" w:name="anxa111069_98"/>
      <w:bookmarkEnd w:id="147"/>
      <w:r>
        <w:rPr>
          <w:rFonts w:ascii="Times New Roman" w:hAnsi="Times New Roman"/>
          <w:sz w:val="20"/>
        </w:rPr>
        <w:t xml:space="preserve">7.1 </w:t>
      </w:r>
      <w:r>
        <w:rPr>
          <w:rFonts w:ascii="Times New Roman" w:hAnsi="Times New Roman"/>
          <w:sz w:val="20"/>
          <w:u w:val="single"/>
        </w:rPr>
        <w:t>Regulatory Approvals</w:t>
      </w:r>
      <w:r>
        <w:rPr>
          <w:rFonts w:ascii="Times New Roman" w:hAnsi="Times New Roman"/>
          <w:sz w:val="20"/>
        </w:rPr>
        <w:t xml:space="preserve">. Any applicable waiting periods (or any extensions thereof) under the HSR Act and any applicable foreign Law relating to antitrust or competition matters shall have expired or otherwise been terminated. </w:t>
      </w:r>
    </w:p>
    <w:p>
      <w:pPr>
        <w:pStyle w:val="TextBody"/>
        <w:bidi w:val="0"/>
        <w:spacing w:before="240" w:after="0"/>
        <w:jc w:val="left"/>
        <w:rPr>
          <w:rFonts w:ascii="Times New Roman" w:hAnsi="Times New Roman"/>
          <w:sz w:val="20"/>
        </w:rPr>
      </w:pPr>
      <w:bookmarkStart w:id="148" w:name="anxa111069_99"/>
      <w:bookmarkEnd w:id="148"/>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149" w:name="anxa111069_100"/>
      <w:bookmarkEnd w:id="149"/>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Parent shall have obtained the Required Parent Shareholder Vote (but solely with respect to such items as are necessary to consummate the transactions contemplated by this Agreement) and (b) the Company shall have obtained the Required Company Stockholder Vote. </w:t>
      </w:r>
    </w:p>
    <w:p>
      <w:pPr>
        <w:pStyle w:val="TextBody"/>
        <w:bidi w:val="0"/>
        <w:spacing w:before="240" w:after="0"/>
        <w:jc w:val="left"/>
        <w:rPr>
          <w:rFonts w:ascii="Times New Roman" w:hAnsi="Times New Roman"/>
          <w:sz w:val="20"/>
        </w:rPr>
      </w:pPr>
      <w:bookmarkStart w:id="150" w:name="anxa111069_101"/>
      <w:bookmarkEnd w:id="150"/>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Nasdaq Listing Application shall have been approved by Nasdaq. </w:t>
      </w:r>
    </w:p>
    <w:p>
      <w:pPr>
        <w:pStyle w:val="TextBody"/>
        <w:bidi w:val="0"/>
        <w:spacing w:before="240" w:after="0"/>
        <w:jc w:val="left"/>
        <w:rPr>
          <w:rFonts w:ascii="Times New Roman" w:hAnsi="Times New Roman"/>
          <w:sz w:val="20"/>
        </w:rPr>
      </w:pPr>
      <w:bookmarkStart w:id="151" w:name="anxa111069_102"/>
      <w:bookmarkEnd w:id="151"/>
      <w:r>
        <w:rPr>
          <w:rFonts w:ascii="Times New Roman" w:hAnsi="Times New Roman"/>
          <w:sz w:val="20"/>
        </w:rPr>
        <w:t xml:space="preserve">7.5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Legal Proceeding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152" w:name="anxa111069_103"/>
      <w:bookmarkEnd w:id="152"/>
      <w:r>
        <w:rPr>
          <w:rFonts w:ascii="Times New Roman" w:hAnsi="Times New Roman"/>
          <w:sz w:val="20"/>
        </w:rPr>
        <w:t xml:space="preserve">Section 8. </w:t>
      </w:r>
      <w:r>
        <w:rPr>
          <w:rFonts w:ascii="Times New Roman" w:hAnsi="Times New Roman"/>
          <w:sz w:val="20"/>
          <w:u w:val="single"/>
        </w:rPr>
        <w:t>Additional Conditions Precedent to Obligations of Parent and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and Merger Subs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bookmarkStart w:id="153" w:name="anxa111069_104"/>
      <w:bookmarkEnd w:id="153"/>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54" w:name="anxa111069_105"/>
      <w:bookmarkEnd w:id="154"/>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5" w:name="anxa111069_106"/>
      <w:bookmarkEnd w:id="155"/>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6.15</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Valuation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Allocation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(e) the Lock-Up Agreements, duly executed by the Persons listed on Section B of the Company Disclosure Letter, which shall be in full force and effect. </w:t>
      </w:r>
    </w:p>
    <w:p>
      <w:pPr>
        <w:pStyle w:val="TextBody"/>
        <w:bidi w:val="0"/>
        <w:spacing w:before="240" w:after="0"/>
        <w:jc w:val="left"/>
        <w:rPr>
          <w:rFonts w:ascii="Times New Roman" w:hAnsi="Times New Roman"/>
          <w:sz w:val="20"/>
        </w:rPr>
      </w:pPr>
      <w:bookmarkStart w:id="156" w:name="anxa111069_107"/>
      <w:bookmarkEnd w:id="156"/>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240" w:after="0"/>
        <w:jc w:val="left"/>
        <w:rPr>
          <w:rFonts w:ascii="Times New Roman" w:hAnsi="Times New Roman"/>
          <w:sz w:val="20"/>
        </w:rPr>
      </w:pPr>
      <w:bookmarkStart w:id="157" w:name="anxa111069_108"/>
      <w:bookmarkEnd w:id="157"/>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collectively constituting the Required Company Stockholder Vote shall have been obtained and remain in full force and effect. </w:t>
      </w:r>
    </w:p>
    <w:p>
      <w:pPr>
        <w:pStyle w:val="TextBody"/>
        <w:bidi w:val="0"/>
        <w:spacing w:before="240" w:after="0"/>
        <w:jc w:val="left"/>
        <w:rPr>
          <w:rFonts w:ascii="Times New Roman" w:hAnsi="Times New Roman"/>
          <w:sz w:val="20"/>
        </w:rPr>
      </w:pPr>
      <w:bookmarkStart w:id="158" w:name="anxa111069_109"/>
      <w:bookmarkEnd w:id="158"/>
      <w:r>
        <w:rPr>
          <w:rFonts w:ascii="Times New Roman" w:hAnsi="Times New Roman"/>
          <w:sz w:val="20"/>
        </w:rPr>
        <w:t xml:space="preserve">8.6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 </w:t>
      </w:r>
    </w:p>
    <w:p>
      <w:pPr>
        <w:pStyle w:val="TextBody"/>
        <w:bidi w:val="0"/>
        <w:spacing w:before="240" w:after="0"/>
        <w:jc w:val="left"/>
        <w:rPr>
          <w:rFonts w:ascii="Times New Roman" w:hAnsi="Times New Roman"/>
          <w:sz w:val="20"/>
        </w:rPr>
      </w:pPr>
      <w:bookmarkStart w:id="159" w:name="anxa111069_110"/>
      <w:bookmarkEnd w:id="159"/>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bookmarkStart w:id="160" w:name="anxa111069_111"/>
      <w:bookmarkEnd w:id="160"/>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w:t>
      </w:r>
    </w:p>
    <w:p>
      <w:pPr>
        <w:pStyle w:val="TextBody"/>
        <w:bidi w:val="0"/>
        <w:spacing w:before="240" w:after="0"/>
        <w:jc w:val="left"/>
        <w:rPr>
          <w:rFonts w:ascii="Times New Roman" w:hAnsi="Times New Roman"/>
          <w:sz w:val="20"/>
        </w:rPr>
      </w:pPr>
      <w:bookmarkStart w:id="161" w:name="anxa111069_112"/>
      <w:bookmarkEnd w:id="161"/>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Parent and Merger Subs shall have performed or complied with in all material respects all of their agreements and covenants required to be performed or complied with by each of them under this Agreement at or prior to the First Effective Time. </w:t>
      </w:r>
    </w:p>
    <w:p>
      <w:pPr>
        <w:pStyle w:val="TextBody"/>
        <w:bidi w:val="0"/>
        <w:spacing w:before="240" w:after="0"/>
        <w:jc w:val="left"/>
        <w:rPr>
          <w:rFonts w:ascii="Times New Roman" w:hAnsi="Times New Roman"/>
          <w:sz w:val="20"/>
        </w:rPr>
      </w:pPr>
      <w:bookmarkStart w:id="162" w:name="anxa111069_113"/>
      <w:bookmarkEnd w:id="162"/>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 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6.12</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bookmarkStart w:id="163" w:name="anxa111069_114"/>
      <w:bookmarkEnd w:id="163"/>
      <w:r>
        <w:rPr>
          <w:rFonts w:ascii="Times New Roman" w:hAnsi="Times New Roman"/>
          <w:sz w:val="20"/>
        </w:rPr>
        <w:t xml:space="preserve">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that is continuing. </w:t>
      </w:r>
    </w:p>
    <w:p>
      <w:pPr>
        <w:pStyle w:val="TextBody"/>
        <w:bidi w:val="0"/>
        <w:spacing w:before="240" w:after="0"/>
        <w:jc w:val="left"/>
        <w:rPr>
          <w:rFonts w:ascii="Times New Roman" w:hAnsi="Times New Roman"/>
          <w:sz w:val="20"/>
        </w:rPr>
      </w:pPr>
      <w:bookmarkStart w:id="164" w:name="anxa111069_115"/>
      <w:bookmarkEnd w:id="164"/>
      <w:r>
        <w:rPr>
          <w:rFonts w:ascii="Times New Roman" w:hAnsi="Times New Roman"/>
          <w:sz w:val="20"/>
        </w:rPr>
        <w:t xml:space="preserve">9.5 </w:t>
      </w:r>
      <w:r>
        <w:rPr>
          <w:rFonts w:ascii="Times New Roman" w:hAnsi="Times New Roman"/>
          <w:sz w:val="20"/>
          <w:u w:val="single"/>
        </w:rPr>
        <w:t>Parent Pre-Closing Dividend</w:t>
      </w:r>
      <w:r>
        <w:rPr>
          <w:rFonts w:ascii="Times New Roman" w:hAnsi="Times New Roman"/>
          <w:sz w:val="20"/>
        </w:rPr>
        <w:t xml:space="preserve">.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 </w:t>
      </w:r>
    </w:p>
    <w:p>
      <w:pPr>
        <w:pStyle w:val="TextBody"/>
        <w:bidi w:val="0"/>
        <w:spacing w:before="240" w:after="0"/>
        <w:jc w:val="left"/>
        <w:rPr>
          <w:rFonts w:ascii="Times New Roman" w:hAnsi="Times New Roman"/>
          <w:sz w:val="20"/>
        </w:rPr>
      </w:pPr>
      <w:bookmarkStart w:id="165" w:name="anxa111069_116"/>
      <w:bookmarkEnd w:id="165"/>
      <w:r>
        <w:rPr>
          <w:rFonts w:ascii="Times New Roman" w:hAnsi="Times New Roman"/>
          <w:sz w:val="20"/>
        </w:rPr>
        <w:t xml:space="preserve">9.6 </w:t>
      </w:r>
      <w:r>
        <w:rPr>
          <w:rFonts w:ascii="Times New Roman" w:hAnsi="Times New Roman"/>
          <w:sz w:val="20"/>
          <w:u w:val="single"/>
        </w:rPr>
        <w:t>Parent Articles of Amendment</w:t>
      </w:r>
      <w:r>
        <w:rPr>
          <w:rFonts w:ascii="Times New Roman" w:hAnsi="Times New Roman"/>
          <w:sz w:val="20"/>
        </w:rPr>
        <w:t xml:space="preserve">. The Parent Articles of Amendment shall have been duly filed with the Secretary of the Commonwealth of Massachusetts, containing at least such amendments as are necessary to consummate the transactions contemplated by this Agreement. </w:t>
      </w:r>
    </w:p>
    <w:p>
      <w:pPr>
        <w:pStyle w:val="TextBody"/>
        <w:bidi w:val="0"/>
        <w:spacing w:before="240" w:after="0"/>
        <w:jc w:val="left"/>
        <w:rPr>
          <w:rFonts w:ascii="Times New Roman" w:hAnsi="Times New Roman"/>
          <w:sz w:val="20"/>
        </w:rPr>
      </w:pPr>
      <w:bookmarkStart w:id="166" w:name="anxa111069_117"/>
      <w:bookmarkEnd w:id="166"/>
      <w:r>
        <w:rPr>
          <w:rFonts w:ascii="Times New Roman" w:hAnsi="Times New Roman"/>
          <w:sz w:val="20"/>
        </w:rPr>
        <w:t xml:space="preserve">9.7 </w:t>
      </w:r>
      <w:r>
        <w:rPr>
          <w:rFonts w:ascii="Times New Roman" w:hAnsi="Times New Roman"/>
          <w:sz w:val="20"/>
          <w:u w:val="single"/>
        </w:rPr>
        <w:t>Termination of Agreements</w:t>
      </w:r>
      <w:r>
        <w:rPr>
          <w:rFonts w:ascii="Times New Roman" w:hAnsi="Times New Roman"/>
          <w:sz w:val="20"/>
        </w:rPr>
        <w:t xml:space="preserve">. Parent shall have terminated each of those agreements listed on </w:t>
      </w:r>
      <w:r>
        <w:rPr>
          <w:rFonts w:ascii="Times New Roman" w:hAnsi="Times New Roman"/>
          <w:sz w:val="20"/>
          <w:u w:val="single"/>
        </w:rPr>
        <w:t>Section 6.20</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bookmarkStart w:id="167" w:name="anxa111069_118"/>
      <w:bookmarkEnd w:id="167"/>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8" w:name="anxa111069_119"/>
      <w:bookmarkEnd w:id="168"/>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adoption of this Agreement by the Company’s stockholders and whether before or after approval of the Parent Shareholder Matters by Parent’s shareholders,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(a) by mutual written consent of Parent and the Company</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October 1, 2026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(whether timely or not),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Shareholder Matters by the Required Parent Shareholder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a Delisting Event occurs;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(j)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 w:hAnsi="Times New Roman"/>
          <w:sz w:val="20"/>
          <w:u w:val="single"/>
        </w:rPr>
        <w:t xml:space="preserve">Section 10.1(j) </w:t>
      </w:r>
      <w:r>
        <w:rPr>
          <w:rFonts w:ascii="Times New Roman" w:hAnsi="Times New Roman"/>
          <w:sz w:val="20"/>
        </w:rPr>
        <w:t xml:space="preserve">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10.1(j)</w:t>
      </w:r>
      <w:r>
        <w:rPr>
          <w:rFonts w:ascii="Times New Roman" w:hAnsi="Times New Roman"/>
          <w:sz w:val="20"/>
        </w:rPr>
        <w:t xml:space="preserve"> (it being understood that Parent shall not be permitted to terminate this Agreement pursuant to this </w:t>
      </w:r>
      <w:r>
        <w:rPr>
          <w:rFonts w:ascii="Times New Roman" w:hAnsi="Times New Roman"/>
          <w:sz w:val="20"/>
          <w:u w:val="single"/>
        </w:rPr>
        <w:t>Section 10.1(j)</w:t>
      </w:r>
      <w:r>
        <w:rPr>
          <w:rFonts w:ascii="Times New Roman" w:hAnsi="Times New Roman"/>
          <w:sz w:val="20"/>
        </w:rPr>
        <w:t xml:space="preserve"> as a result of such particular breach or inaccuracy if such breach by the Company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(k) by Parent (at any time prior to the approval of the Parent Shareholder Matters by the Required Parent Shareholder Vote) and following compliance with all of the requirements set forth in the proviso to this </w:t>
      </w:r>
      <w:r>
        <w:rPr>
          <w:rFonts w:ascii="Times New Roman" w:hAnsi="Times New Roman"/>
          <w:sz w:val="20"/>
          <w:u w:val="single"/>
        </w:rPr>
        <w:t>Section 10.1(k)</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69" w:name="anxa111069_120"/>
      <w:bookmarkEnd w:id="169"/>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provided, however,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(other than </w:t>
      </w:r>
      <w:r>
        <w:rPr>
          <w:rFonts w:ascii="Times New Roman" w:hAnsi="Times New Roman"/>
          <w:sz w:val="20"/>
          <w:u w:val="single"/>
        </w:rPr>
        <w:t>Section 11.8</w:t>
      </w:r>
      <w:r>
        <w:rPr>
          <w:rFonts w:ascii="Times New Roman" w:hAnsi="Times New Roman"/>
          <w:sz w:val="20"/>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bookmarkStart w:id="170" w:name="anxa111069_121"/>
      <w:bookmarkEnd w:id="170"/>
      <w:r>
        <w:rPr>
          <w:rFonts w:ascii="Times New Roman" w:hAnsi="Times New Roman"/>
          <w:sz w:val="20"/>
        </w:rPr>
        <w:t xml:space="preserve">10.3 Expenses; Termination Fees.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(i) this Agreement is terminated by Parent pursuant to </w:t>
      </w:r>
      <w:r>
        <w:rPr>
          <w:rFonts w:ascii="Times New Roman" w:hAnsi="Times New Roman"/>
          <w:sz w:val="20"/>
          <w:u w:val="single"/>
        </w:rPr>
        <w:t>Section 10.1(d)</w:t>
      </w:r>
      <w:r>
        <w:rPr>
          <w:rFonts w:ascii="Times New Roman" w:hAnsi="Times New Roman"/>
          <w:sz w:val="20"/>
        </w:rPr>
        <w:t xml:space="preserve"> or to </w:t>
      </w:r>
      <w:r>
        <w:rPr>
          <w:rFonts w:ascii="Times New Roman" w:hAnsi="Times New Roman"/>
          <w:sz w:val="20"/>
          <w:u w:val="single"/>
        </w:rPr>
        <w:t>Section 10.1(g)</w:t>
      </w:r>
      <w:r>
        <w:rPr>
          <w:rFonts w:ascii="Times New Roman" w:hAnsi="Times New Roman"/>
          <w:sz w:val="20"/>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 (12) 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10.3(e)</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1" w:name="anxa111069_122"/>
      <w:bookmarkEnd w:id="171"/>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111069_123"/>
      <w:bookmarkEnd w:id="172"/>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sz w:val="20"/>
          <w:u w:val="single"/>
        </w:rPr>
        <w:t>Section 11</w:t>
      </w:r>
      <w:r>
        <w:rPr>
          <w:rFonts w:ascii="Times New Roman" w:hAnsi="Times New Roman"/>
          <w:sz w:val="20"/>
        </w:rPr>
        <w:t xml:space="preserve"> shall survive the First Effective Time. </w:t>
      </w:r>
    </w:p>
    <w:p>
      <w:pPr>
        <w:pStyle w:val="TextBody"/>
        <w:bidi w:val="0"/>
        <w:spacing w:before="240" w:after="0"/>
        <w:jc w:val="left"/>
        <w:rPr>
          <w:rFonts w:ascii="Times New Roman" w:hAnsi="Times New Roman"/>
          <w:sz w:val="20"/>
        </w:rPr>
      </w:pPr>
      <w:bookmarkStart w:id="173" w:name="anxa111069_124"/>
      <w:bookmarkEnd w:id="173"/>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 </w:t>
      </w:r>
    </w:p>
    <w:p>
      <w:pPr>
        <w:pStyle w:val="TextBody"/>
        <w:bidi w:val="0"/>
        <w:spacing w:before="240" w:after="0"/>
        <w:jc w:val="left"/>
        <w:rPr>
          <w:rFonts w:ascii="Times New Roman" w:hAnsi="Times New Roman"/>
          <w:sz w:val="20"/>
        </w:rPr>
      </w:pPr>
      <w:bookmarkStart w:id="174" w:name="anxa111069_125"/>
      <w:bookmarkEnd w:id="174"/>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175" w:name="anxa111069_126"/>
      <w:bookmarkEnd w:id="175"/>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176" w:name="anxa111069_127"/>
      <w:bookmarkEnd w:id="176"/>
      <w:r>
        <w:rPr>
          <w:rFonts w:ascii="Times New Roman" w:hAnsi="Times New Roman"/>
          <w:sz w:val="20"/>
        </w:rPr>
        <w:t xml:space="preserve">11.5 </w:t>
      </w:r>
      <w:r>
        <w:rPr>
          <w:rFonts w:ascii="Times New Roman" w:hAnsi="Times New Roman"/>
          <w:sz w:val="20"/>
          <w:u w:val="single"/>
        </w:rPr>
        <w:t>Applicable Law; Jurisdiction; WAIVER OF RIGHT TO TRIAL BY JURY</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hAnsi="Times New Roman"/>
          <w:sz w:val="20"/>
          <w:u w:val="single"/>
        </w:rPr>
        <w:t>provided</w:t>
      </w:r>
      <w:r>
        <w:rPr>
          <w:rFonts w:ascii="Times New Roman" w:hAnsi="Times New Roman"/>
          <w:sz w:val="20"/>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177" w:name="anxa111069_128"/>
      <w:bookmarkEnd w:id="177"/>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178" w:name="anxa111069_129"/>
      <w:bookmarkEnd w:id="178"/>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Ropes &amp; Gray LLP </w:t>
      </w:r>
    </w:p>
    <w:p>
      <w:pPr>
        <w:pStyle w:val="TextBody"/>
        <w:bidi w:val="0"/>
        <w:spacing w:before="0" w:after="0"/>
        <w:jc w:val="left"/>
        <w:rPr>
          <w:rFonts w:ascii="Times New Roman" w:hAnsi="Times New Roman"/>
          <w:sz w:val="20"/>
        </w:rPr>
      </w:pPr>
      <w:r>
        <w:rPr>
          <w:rFonts w:ascii="Times New Roman" w:hAnsi="Times New Roman"/>
          <w:sz w:val="20"/>
        </w:rPr>
        <w:t xml:space="preserve">Prudential Tower, 800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02199 </w:t>
      </w:r>
    </w:p>
    <w:p>
      <w:pPr>
        <w:pStyle w:val="TextBody"/>
        <w:bidi w:val="0"/>
        <w:spacing w:before="0" w:after="0"/>
        <w:jc w:val="left"/>
        <w:rPr>
          <w:rFonts w:ascii="Times New Roman" w:hAnsi="Times New Roman"/>
          <w:sz w:val="20"/>
        </w:rPr>
      </w:pPr>
      <w:r>
        <w:rPr>
          <w:rFonts w:ascii="Times New Roman" w:hAnsi="Times New Roman"/>
          <w:sz w:val="20"/>
        </w:rPr>
        <w:t xml:space="preserve">Attention: Zachary R. Blume; William J. Michener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0" w:after="0"/>
        <w:jc w:val="left"/>
        <w:rPr>
          <w:rFonts w:ascii="Times New Roman" w:hAnsi="Times New Roman"/>
          <w:sz w:val="20"/>
        </w:rPr>
      </w:pPr>
      <w:r>
        <w:rPr>
          <w:rFonts w:ascii="Times New Roman" w:hAnsi="Times New Roman"/>
          <w:sz w:val="20"/>
        </w:rPr>
        <w:t xml:space="preserve">221 Crescent Street Building 23, Suite 105 </w:t>
      </w:r>
    </w:p>
    <w:p>
      <w:pPr>
        <w:pStyle w:val="TextBody"/>
        <w:bidi w:val="0"/>
        <w:spacing w:before="0" w:after="0"/>
        <w:jc w:val="left"/>
        <w:rPr>
          <w:rFonts w:ascii="Times New Roman" w:hAnsi="Times New Roman"/>
          <w:sz w:val="20"/>
        </w:rPr>
      </w:pPr>
      <w:r>
        <w:rPr>
          <w:rFonts w:ascii="Times New Roman" w:hAnsi="Times New Roman"/>
          <w:sz w:val="20"/>
        </w:rPr>
        <w:t xml:space="preserve">Waltham, MA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179" w:name="anxa111069_130"/>
      <w:bookmarkEnd w:id="179"/>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180" w:name="anxa111069_131"/>
      <w:bookmarkEnd w:id="180"/>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181" w:name="anxa111069_132"/>
      <w:bookmarkEnd w:id="181"/>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182" w:name="anxa111069_133"/>
      <w:bookmarkEnd w:id="182"/>
      <w:r>
        <w:rPr>
          <w:rFonts w:ascii="Times New Roman" w:hAnsi="Times New Roman"/>
          <w:sz w:val="20"/>
        </w:rPr>
        <w:t xml:space="preserve">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6.7</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CYCLERION THERAPEUTICS,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CARIBOOS MERGER SUB CORP.</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CARIBOOS MERGER SUB II, LLC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/s/ Regina Graul</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Regina Graul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618" w:type="dxa"/>
        <w:jc w:val="left"/>
        <w:tblInd w:w="0" w:type="dxa"/>
        <w:tblLayout w:type="fixed"/>
        <w:tblCellMar>
          <w:top w:w="0" w:type="dxa"/>
          <w:left w:w="0" w:type="dxa"/>
          <w:bottom w:w="0" w:type="dxa"/>
          <w:right w:w="0" w:type="dxa"/>
        </w:tblCellMar>
      </w:tblPr>
      <w:tblGrid>
        <w:gridCol w:w="795"/>
        <w:gridCol w:w="71"/>
        <w:gridCol w:w="2752"/>
      </w:tblGrid>
      <w:tr>
        <w:trPr/>
        <w:tc>
          <w:tcPr>
            <w:tcW w:w="79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vAlign w:val="center"/>
          </w:tcPr>
          <w:p>
            <w:pPr>
              <w:pStyle w:val="TableContents"/>
              <w:bidi w:val="0"/>
              <w:spacing w:before="0" w:after="283"/>
              <w:jc w:val="left"/>
              <w:rPr>
                <w:b/>
              </w:rPr>
            </w:pPr>
            <w:r>
              <w:rPr>
                <w:b/>
              </w:rPr>
              <w:t>KORSANA BIOSCIENCES, INC.</w:t>
            </w:r>
          </w:p>
        </w:tc>
      </w:tr>
      <w:tr>
        <w:trPr/>
        <w:tc>
          <w:tcPr>
            <w:tcW w:w="795" w:type="dxa"/>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By:</w:t>
            </w:r>
          </w:p>
        </w:tc>
        <w:tc>
          <w:tcPr>
            <w:tcW w:w="71" w:type="dxa"/>
            <w:tcBorders>
              <w:bottom w:val="single" w:sz="6" w:space="0" w:color="000000"/>
            </w:tcBorders>
            <w:tcMar>
              <w:bottom w:w="28" w:type="dxa"/>
            </w:tcMar>
            <w:vAlign w:val="center"/>
          </w:tcPr>
          <w:p>
            <w:pPr>
              <w:pStyle w:val="TableContents"/>
              <w:bidi w:val="0"/>
              <w:spacing w:before="0" w:after="283"/>
              <w:jc w:val="left"/>
              <w:rPr/>
            </w:pPr>
            <w:r>
              <w:rPr/>
              <w:t> </w:t>
            </w:r>
          </w:p>
        </w:tc>
        <w:tc>
          <w:tcPr>
            <w:tcW w:w="2752" w:type="dxa"/>
            <w:tcBorders>
              <w:bottom w:val="single" w:sz="6" w:space="0" w:color="000000"/>
            </w:tcBorders>
            <w:tcMar>
              <w:bottom w:w="28" w:type="dxa"/>
            </w:tcMar>
            <w:vAlign w:val="center"/>
          </w:tcPr>
          <w:p>
            <w:pPr>
              <w:pStyle w:val="TableContents"/>
              <w:bidi w:val="0"/>
              <w:spacing w:before="0" w:after="283"/>
              <w:jc w:val="left"/>
              <w:rPr/>
            </w:pPr>
            <w:r>
              <w:rPr/>
              <w:t>/s/ Jonathan Violin</w:t>
            </w:r>
          </w:p>
        </w:tc>
      </w:tr>
      <w:tr>
        <w:trPr/>
        <w:tc>
          <w:tcPr>
            <w:tcW w:w="795" w:type="dxa"/>
            <w:tcBorders/>
            <w:vAlign w:val="center"/>
          </w:tcPr>
          <w:p>
            <w:pPr>
              <w:pStyle w:val="TableContents"/>
              <w:bidi w:val="0"/>
              <w:spacing w:before="0" w:after="283"/>
              <w:jc w:val="left"/>
              <w:rPr/>
            </w:pPr>
            <w:r>
              <w:rPr/>
              <w:t>Name:</w:t>
            </w:r>
          </w:p>
        </w:tc>
        <w:tc>
          <w:tcPr>
            <w:tcW w:w="71"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Jonathan Violin</w:t>
            </w:r>
          </w:p>
        </w:tc>
      </w:tr>
      <w:tr>
        <w:trPr/>
        <w:tc>
          <w:tcPr>
            <w:tcW w:w="795" w:type="dxa"/>
            <w:tcBorders/>
            <w:vAlign w:val="center"/>
          </w:tcPr>
          <w:p>
            <w:pPr>
              <w:pStyle w:val="TableContents"/>
              <w:bidi w:val="0"/>
              <w:spacing w:before="0" w:after="283"/>
              <w:jc w:val="left"/>
              <w:rPr/>
            </w:pPr>
            <w:r>
              <w:rPr/>
              <w:t>Title:</w:t>
            </w:r>
          </w:p>
        </w:tc>
        <w:tc>
          <w:tcPr>
            <w:tcW w:w="71"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Shareholder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First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Second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Parent Articles of Amendment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Confidential</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 xml:space="preserve">THIS AMENDMENT TO AGREEMENT AND PLAN OF MERGER AND REORGANIZATION </w:t>
      </w:r>
      <w:r>
        <w:rPr>
          <w:rFonts w:ascii="Times New Roman" w:hAnsi="Times New Roman"/>
          <w:sz w:val="20"/>
        </w:rPr>
        <w:t>(this “</w:t>
      </w:r>
      <w:r>
        <w:rPr>
          <w:rFonts w:ascii="Times New Roman" w:hAnsi="Times New Roman"/>
          <w:b/>
          <w:sz w:val="20"/>
        </w:rPr>
        <w:t>Amendment</w:t>
      </w:r>
      <w:r>
        <w:rPr>
          <w:rFonts w:ascii="Times New Roman" w:hAnsi="Times New Roman"/>
          <w:sz w:val="20"/>
        </w:rPr>
        <w:t>”) is entered into as of April 17, 2026, by and among Cyclerion Therapeutics, Inc., a Massachusetts corporation (“</w:t>
      </w:r>
      <w:r>
        <w:rPr>
          <w:rFonts w:ascii="Times New Roman" w:hAnsi="Times New Roman"/>
          <w:b/>
          <w:sz w:val="20"/>
        </w:rPr>
        <w:t>Parent</w:t>
      </w:r>
      <w:r>
        <w:rPr>
          <w:rFonts w:ascii="Times New Roman" w:hAnsi="Times New Roman"/>
          <w:sz w:val="20"/>
        </w:rPr>
        <w:t>”), Cariboos Merger Sub Corp., a Delaware corporation and a wholly owned subsidiary of Parent (“</w:t>
      </w:r>
      <w:r>
        <w:rPr>
          <w:rFonts w:ascii="Times New Roman" w:hAnsi="Times New Roman"/>
          <w:b/>
          <w:sz w:val="20"/>
        </w:rPr>
        <w:t>First Merger Sub</w:t>
      </w:r>
      <w:r>
        <w:rPr>
          <w:rFonts w:ascii="Times New Roman" w:hAnsi="Times New Roman"/>
          <w:sz w:val="20"/>
        </w:rPr>
        <w:t>”), Cariboos Merger Sub II, LLC, a Delaware limited liability company and a wholly owned subsidiary of Parent (“</w:t>
      </w:r>
      <w:r>
        <w:rPr>
          <w:rFonts w:ascii="Times New Roman" w:hAnsi="Times New Roman"/>
          <w:b/>
          <w:sz w:val="20"/>
        </w:rPr>
        <w:t>Second Merger Sub</w:t>
      </w:r>
      <w:r>
        <w:rPr>
          <w:rFonts w:ascii="Times New Roman" w:hAnsi="Times New Roman"/>
          <w:sz w:val="20"/>
        </w:rPr>
        <w:t>” and, together with First Merger Sub, “</w:t>
      </w:r>
      <w:r>
        <w:rPr>
          <w:rFonts w:ascii="Times New Roman" w:hAnsi="Times New Roman"/>
          <w:b/>
          <w:sz w:val="20"/>
        </w:rPr>
        <w:t>Merger Subs</w:t>
      </w:r>
      <w:r>
        <w:rPr>
          <w:rFonts w:ascii="Times New Roman" w:hAnsi="Times New Roman"/>
          <w:sz w:val="20"/>
        </w:rPr>
        <w:t>” and each, a “</w:t>
      </w:r>
      <w:r>
        <w:rPr>
          <w:rFonts w:ascii="Times New Roman" w:hAnsi="Times New Roman"/>
          <w:b/>
          <w:sz w:val="20"/>
        </w:rPr>
        <w:t>Merger Sub</w:t>
      </w:r>
      <w:r>
        <w:rPr>
          <w:rFonts w:ascii="Times New Roman" w:hAnsi="Times New Roman"/>
          <w:sz w:val="20"/>
        </w:rPr>
        <w:t>”), and Korsana Biosciences, Inc., a Delaware corporation (the “</w:t>
      </w:r>
      <w:r>
        <w:rPr>
          <w:rFonts w:ascii="Times New Roman" w:hAnsi="Times New Roman"/>
          <w:b/>
          <w:sz w:val="20"/>
        </w:rPr>
        <w:t>Company</w:t>
      </w:r>
      <w:r>
        <w:rPr>
          <w:rFonts w:ascii="Times New Roman" w:hAnsi="Times New Roman"/>
          <w:sz w:val="20"/>
        </w:rPr>
        <w:t>”), and this Amendment amends that certain Agreement and Plan of Merger and Reorganization, entered into as of April 1, 2026, by and among the Parent, Merger Subs and the Company (the “</w:t>
      </w:r>
      <w:r>
        <w:rPr>
          <w:rFonts w:ascii="Times New Roman" w:hAnsi="Times New Roman"/>
          <w:b/>
          <w:sz w:val="20"/>
        </w:rPr>
        <w:t>Merger Agreement</w:t>
      </w:r>
      <w:r>
        <w:rPr>
          <w:rFonts w:ascii="Times New Roman" w:hAnsi="Times New Roman"/>
          <w:sz w:val="20"/>
        </w:rPr>
        <w:t xml:space="preserve">”). Capitalized terms used in this Amendment but not defined herein shall have the meanings given such terms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accordance with </w:t>
      </w:r>
      <w:r>
        <w:rPr>
          <w:rFonts w:ascii="Times New Roman" w:hAnsi="Times New Roman"/>
          <w:sz w:val="20"/>
          <w:u w:val="single"/>
        </w:rPr>
        <w:t>Section 11.2</w:t>
      </w:r>
      <w:r>
        <w:rPr>
          <w:rFonts w:ascii="Times New Roman" w:hAnsi="Times New Roman"/>
          <w:sz w:val="20"/>
        </w:rPr>
        <w:t xml:space="preserve"> of the Merger Agreement, the parties hereto wish to amend the Merger Agreement as specified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Parent, Merger Subs and the Company agree as follows: </w:t>
      </w: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215"/>
        <w:gridCol w:w="9950"/>
      </w:tblGrid>
      <w:tr>
        <w:trPr/>
        <w:tc>
          <w:tcPr>
            <w:tcW w:w="21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Amendment to Section 4.4</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of the Merger Agreement is deleted and replaced in its entirety with the following: </w:t>
            </w:r>
          </w:p>
        </w:tc>
      </w:tr>
    </w:tbl>
    <w:p>
      <w:pPr>
        <w:pStyle w:val="TextBody"/>
        <w:bidi w:val="0"/>
        <w:spacing w:before="120" w:after="0"/>
        <w:jc w:val="left"/>
        <w:rPr/>
      </w:pPr>
      <w:r>
        <w:rPr/>
        <w:t>“</w:t>
      </w: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xml:space="preserve">. Assuming the accuracy of the representations set forth in </w:t>
      </w:r>
      <w:r>
        <w:rPr>
          <w:rFonts w:ascii="Times New Roman" w:hAnsi="Times New Roman"/>
          <w:sz w:val="20"/>
          <w:u w:val="single"/>
        </w:rPr>
        <w:t>Section 3.24</w:t>
      </w:r>
      <w:r>
        <w:rPr>
          <w:rFonts w:ascii="Times New Roman" w:hAnsi="Times New Roman"/>
          <w:sz w:val="20"/>
        </w:rPr>
        <w:t>, (a) the affirmative vote of a majority of the shares of Parent Common Stock properly cast is the only vote of the holders of any class or series of Parent’s capital stock necessary to approve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(b) the affirmative vote of a majority of all shares of Parent Common Stock entitled to vote is the only vote of the holders of any class or series of Parent’s capital stock necessary to approve clauses (ii), (iii) and (v) of the definition of “Parent Articles of Amendment,” and (c) the affirmative vote of two-thirds of all shares of Parent Common Stock entitled to vote is the only vote of the holders of any class or series of Parent’s capital stock necessary to approve clause (iv) of the definition of “Parent Articles of Amendment” (collectively, the “</w:t>
      </w:r>
      <w:r>
        <w:rPr>
          <w:rFonts w:ascii="Times New Roman" w:hAnsi="Times New Roman"/>
          <w:b/>
          <w:sz w:val="20"/>
        </w:rPr>
        <w:t>Required Parent Shareholder Vote</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2.</w:t>
            </w:r>
          </w:p>
        </w:tc>
        <w:tc>
          <w:tcPr>
            <w:tcW w:w="100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Acknowledgment</w:t>
            </w:r>
            <w:r>
              <w:rPr>
                <w:rFonts w:ascii="Times New Roman" w:hAnsi="Times New Roman"/>
                <w:sz w:val="20"/>
              </w:rPr>
              <w:t xml:space="preserve">. The parties hereby acknowledge and agree that (i) the approval contemplated by clause (iv) of the definition of “Parent Articles of Amendment” is not necessary to consummate the transactions contemplated by the Merger Agreement, as such phrase is used in Section 7.3 thereof and (ii) Parent’s failure to obtain the approval contemplated by clause (iv) of the definition of “Parent Articles of Amendment,” in and of itself, shall not give rise to the Company’s ability to terminate the Merger Agreement pursuant to Section 10.1(e)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3.</w:t>
            </w:r>
          </w:p>
        </w:tc>
        <w:tc>
          <w:tcPr>
            <w:tcW w:w="100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Other Terms.</w:t>
            </w:r>
            <w:r>
              <w:rPr>
                <w:rFonts w:ascii="Times New Roman" w:hAnsi="Times New Roman"/>
                <w:sz w:val="20"/>
              </w:rPr>
              <w:t xml:space="preserve"> All of the provisions of this Amendment shall be effective as of the date hereof. Except as specifically provided for in this Amendment, all of the terms of the Merger Agreement shall remain unchanged and are hereby confirmed and remain in full force and effect, and the provisions of </w:t>
            </w:r>
            <w:r>
              <w:rPr>
                <w:rFonts w:ascii="Times New Roman" w:hAnsi="Times New Roman"/>
                <w:sz w:val="20"/>
                <w:u w:val="single"/>
              </w:rPr>
              <w:t>Section 11</w:t>
            </w:r>
            <w:r>
              <w:rPr>
                <w:rFonts w:ascii="Times New Roman" w:hAnsi="Times New Roman"/>
                <w:sz w:val="20"/>
              </w:rPr>
              <w:t xml:space="preserve"> of the Merger Agreement are incorporated herein by reference and shall apply to the terms and provisions of this Amendment and the parties hereto, </w:t>
            </w:r>
            <w:r>
              <w:rPr>
                <w:rFonts w:ascii="Times New Roman" w:hAnsi="Times New Roman"/>
                <w:i/>
                <w:sz w:val="20"/>
              </w:rPr>
              <w:t>mutatis mutandis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Effect of Amendment</w:t>
            </w:r>
            <w:r>
              <w:rPr>
                <w:rFonts w:ascii="Times New Roman" w:hAnsi="Times New Roman"/>
                <w:sz w:val="20"/>
              </w:rPr>
              <w:t xml:space="preserve">. Whenever the Merger Agreement is referred to in the Merger Agreement or in any other agreements, documents or instruments, such reference shall be deemed to be to the Merger Agreement as amended by this Amendment.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5.</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Amendment may be executed in several counterparts, each of which shall be deemed an original and all of which shall constitute one and the same instrument. The exchange of a fully executed Amendment (in counterparts or otherwise) by all parties hereto by electronic transmission in PDF format shall be sufficient to bind the Parties to the terms and conditions of this Amendment. </w:t>
            </w:r>
          </w:p>
        </w:tc>
      </w:tr>
    </w:tbl>
    <w:p>
      <w:pPr>
        <w:pStyle w:val="TextBody"/>
        <w:bidi w:val="0"/>
        <w:spacing w:before="48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 intentionally left blank</w:t>
      </w:r>
      <w:r>
        <w:rPr>
          <w:rFonts w:ascii="Times New Roman" w:hAnsi="Times New Roman"/>
          <w:b/>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Subs and the Company have caused this Amendment to be executed as of the date first above written.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380"/>
        <w:gridCol w:w="60"/>
        <w:gridCol w:w="41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CYCLERION THERAPEUTICS,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CARIBOOS MERGER SUB CORP.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CARIBOOS MERGER SUB II, LLC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Regina Graul</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r>
        <w:trPr/>
        <w:tc>
          <w:tcPr>
            <w:tcW w:w="4630" w:type="dxa"/>
            <w:gridSpan w:val="3"/>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KORSANA BIOSCIENCES,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Violin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Jonathan Violin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to Amendment No. 1]</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3" w:name="tx111069_47"/>
      <w:bookmarkEnd w:id="183"/>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GEMINI VALUATION SERVICES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2000"/>
        <w:gridCol w:w="120"/>
        <w:gridCol w:w="1445"/>
      </w:tblGrid>
      <w:tr>
        <w:trPr/>
        <w:tc>
          <w:tcPr>
            <w:tcW w:w="2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1100 Glendon Ave, 905</w:t>
            </w:r>
          </w:p>
          <w:p>
            <w:pPr>
              <w:pStyle w:val="TableContents"/>
              <w:bidi w:val="0"/>
              <w:spacing w:before="0" w:after="20"/>
              <w:jc w:val="right"/>
              <w:rPr>
                <w:rFonts w:ascii="Times New Roman" w:hAnsi="Times New Roman"/>
                <w:b/>
                <w:sz w:val="20"/>
              </w:rPr>
            </w:pPr>
            <w:r>
              <w:rPr>
                <w:rFonts w:ascii="Times New Roman" w:hAnsi="Times New Roman"/>
                <w:b/>
                <w:sz w:val="20"/>
              </w:rPr>
              <w:t>Los Angeles, CA 90024</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T: 310-696-4001</w:t>
            </w:r>
          </w:p>
          <w:p>
            <w:pPr>
              <w:pStyle w:val="TableContents"/>
              <w:bidi w:val="0"/>
              <w:spacing w:before="0" w:after="20"/>
              <w:jc w:val="right"/>
              <w:rPr>
                <w:rFonts w:ascii="Times New Roman" w:hAnsi="Times New Roman"/>
                <w:b/>
                <w:sz w:val="20"/>
              </w:rPr>
            </w:pPr>
            <w:r>
              <w:rPr>
                <w:rFonts w:ascii="Times New Roman" w:hAnsi="Times New Roman"/>
                <w:b/>
                <w:sz w:val="20"/>
              </w:rPr>
              <w:t>F: 310-696-4007</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March 31, 2026 </w:t>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You have requested the opinion (the “Opinion”) of Gemini Valuation Services, LLC (“GVS” and, for the avoidance of doubt, all references to pronouns such as “we” and “our”) as to the fairness from a financial point of view, of the Exchange Ratio (as defined in the Agreement and Plan of Merger and Reorganization (the “Agreement”) to be entered into by Cyclerion Therapeutics Inc. (the “Parent”), Cariboos Merger Sub Corp. (“First Merger Sub”), Cariboos Merger Sub II, LLC (“Second Merger Sub” and together with First Merger Sub, “Merger Sub”) and Korsana Biosciences, Inc. (“Korsana”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Agreement, among other things, (i) the Company will merge with and into First Merger Sub, with the Company as the surviving entity (the “First Merger”) and (ii) immediately following the First Merger, the Company will merge with and into Second Merger Sub (the “Second Merger” and, together with the First Merger, the “Merger”). Pursuant to the terms and subject to the conditions set forth in the Agreement, (a) each outstanding share of Company common stock and Company preferred stock designated as “Series A Preferred Stock” will be converted into the right to receive a number of shares of Parent common stock equal to the Exchange Ratio; provided, that in the event the aggregate number of shares of Cyclerion common stock issuable to holders of Company capital stock would result in the issuance of shares of Parent common stock to a holder in excess of a specified percentage of total outstanding shares of Parent common stock, then the Parent will issue to any such holder (x) shares of Parent common stock up to such holder’s specified percentage and (y) in lieu of any shares in excess of such holder’s specified percentage, pre-funded warrants (the “Pre-Funded Warrants”), to purchase a number of shares of Cyclerion common stock upon exercise of such Pre-Funded Warrants equal to such excess shares, (b) each outstanding share of Company preferred stock designated as “Series Seed Preferred Stock” will be converted into the right to receive a number of shares of Parent Convertible Preferred Stock (as defined in the Agreement) equal to (x) the Exchange Ratio divided by (y) 1,000, (c) each outstanding option to purchase shares of Company capital stock will be assumed by the Parent, subject to adjustment as set forth in the Agreement, (d) each outstanding restricted stock unit award for shares of Company capital stock will be assumed by the Parent, subject to adjustment as set forth in the Agreement and (e) each outstanding warrant to purchase shares of Company capital stock will be assumed by the Parent, subject to adjustment as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does not address the Parent’s underlying business decision to effect the Merger or the relative merits of the Merger as compared to any alternative business strategies or transactions that might be available to the Parent and does not constitute a recommendation to any shareholder of the Parent as to how such shareholder should vote with respect to the Merger or any other matter. At your direction, we have not been asked to, nor do we, offer any opinion as to (i) the material terms of the Agreement or the form of the Merger or any other contractual arrangement that the parties may enter into in connection with the Merger or (ii) the fairness of the Merger to, or any consideration that may be received in connection therewith by, the individual shareholders, nor do we offer any Opinion as to the relative fairness of the consideration and the consideration to be received by different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assumed, with your consent, that the representations and warranties of all parties to the Agreement are true and correct, that each party to the Agreement and Plan of Merger will perform all of the covenants and agreements required to be performed by such party, that all conditions to the consummation of the Merger will be satisfied without waiver thereof, and that the Merger will be consummated in a timely manner in accordance with the terms described in the Agreement, without any modifications or amendments thereto or any adjustment to the Exchange Ratio. In rendering this Opinion, we have also assumed, with your consent, that the final executed form of the Agreement does not differ in any material respect from the draft that we have examined along with the discussion on the draft. We have not been authorized to and have not solicited indications of interest in a possible transaction with the Parent from any party.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among other things: (i) reviewed the financial statements of the Company; (ii) reviewed certain internal information relating to the business, assets, liabilities, business plan and prospects of the Company furnished to us by the Parent; (iii) conducted discussions with members of senior management and representatives of the Parent concerning the matters described in clauses (i) and (ii) of this paragraph, as well as the business and prospects of the Company generally; (iv) reviewed publicly available financial and stock market data, including valuation levels, for certain other companies in lines of business of the Company that we deemed relevant; (v) reviewed a preliminary draft of the Agreement, dated March 28, 2026; and (vi)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review, we have not assumed any responsibility for independent verification of any of the financial, legal, regulatory, tax accounting and other information supplied to, discussed with, or reviewed by us for the purpose of this Opinion and have, with your consent, relied on such information being complete and accurate in all material respects. In addition, at your direction we have not made any independent evaluation or appraisal of any of the assets or liabilities (contingent, derivative, off-balance-sheet, or otherwise) of the Parent or Korsana, nor have we been furnished with any such evaluation or appraisal. You have directed us to use the assumptions provided by management of Korsana and the Parent for the purposes of our analysis and this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necessarily based on economic, monetary, market and other conditions as in effect on, and the information made available to us as of, the date hereof. In addition, you have not asked us to address, and this Opinion does not address, the fairness to, or any other consideration of, any class of creditors or other constituencies of the Parent, other than the shareholders of the Parent. We also do not express any Opinion as to the fairness of the amount or nature of any compensation to be received by any of the Parent’s officers, directors or employees, or any class of such persons, relative to the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the use and benefit of the Board of Directors of the Parent in the evaluation of the Merger. Based upon and subject to the foregoing, it is our opinion that, as the date hereof, the Exchange Ratio is fair from a financial point of view to the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GEMINI VALUATION SERVICES</w:t>
            </w:r>
          </w:p>
        </w:tc>
      </w:tr>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/s/ Nathan Johnson</w:t>
            </w:r>
          </w:p>
        </w:tc>
      </w:tr>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center"/>
          </w:tcPr>
          <w:p>
            <w:pPr>
              <w:pStyle w:val="TableContents"/>
              <w:bidi w:val="0"/>
              <w:spacing w:before="0" w:after="283"/>
              <w:jc w:val="left"/>
              <w:rPr/>
            </w:pPr>
            <w:r>
              <w:rPr/>
              <w:t>By: Nathan Johnson</w:t>
            </w:r>
          </w:p>
        </w:tc>
      </w:tr>
      <w:tr>
        <w:trPr/>
        <w:tc>
          <w:tcPr>
            <w:tcW w:w="3650" w:type="dxa"/>
            <w:tcBorders/>
            <w:vAlign w:val="center"/>
          </w:tcPr>
          <w:p>
            <w:pPr>
              <w:pStyle w:val="TableContents"/>
              <w:bidi w:val="0"/>
              <w:spacing w:before="0" w:after="283"/>
              <w:jc w:val="left"/>
              <w:rPr/>
            </w:pPr>
            <w:r>
              <w:rPr/>
              <w:t>Its: Managing Director</w:t>
            </w:r>
          </w:p>
        </w:tc>
      </w:tr>
      <w:tr>
        <w:trPr/>
        <w:tc>
          <w:tcPr>
            <w:tcW w:w="3650" w:type="dxa"/>
            <w:tcBorders/>
            <w:vAlign w:val="center"/>
          </w:tcPr>
          <w:p>
            <w:pPr>
              <w:pStyle w:val="TableContents"/>
              <w:bidi w:val="0"/>
              <w:spacing w:before="0" w:after="283"/>
              <w:jc w:val="left"/>
              <w:rPr/>
            </w:pPr>
            <w:r>
              <w:rPr/>
              <w:t>Date: 03/31/2026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4" w:name="anxc"/>
      <w:bookmarkStart w:id="185" w:name="tx111069_48"/>
      <w:bookmarkEnd w:id="184"/>
      <w:bookmarkEnd w:id="185"/>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CYCLERION SUPPORT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shareholder of Parent (the “</w:t>
      </w:r>
      <w:r>
        <w:rPr>
          <w:rFonts w:ascii="Times New Roman" w:hAnsi="Times New Roman"/>
          <w:sz w:val="20"/>
          <w:u w:val="single"/>
        </w:rPr>
        <w:t>Shareholder</w:t>
      </w:r>
      <w:r>
        <w:rPr>
          <w:rFonts w:ascii="Times New Roman" w:hAnsi="Times New Roman"/>
          <w:sz w:val="20"/>
        </w:rPr>
        <w:t>” and each of the Shareholder,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Shareholder is the beneficial owner (as defined in Rule 13d-3 under the Exchange Act) of such number of shares of Parent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the Company to enter into the Merger Agreement, Parent has required that Shareholder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Parent Capital Stock and any other equity securities of Parent beneficially owned by the Shareholder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2(d)</w:t>
      </w:r>
      <w:r>
        <w:rPr>
          <w:rFonts w:ascii="Times New Roman" w:hAnsi="Times New Roman"/>
          <w:sz w:val="20"/>
        </w:rPr>
        <w:t xml:space="preserve">, during the period commencing with the execution and delivery of this Agreement and expiring on the Expiration Date (as defined below), the Shareholder shall not Transfer any of the Shareholder’s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 (ii) 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 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 (x) such Transferred Shares shall continue to be bound by this Agreement and (y)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nothing in this Agreement shall obligate the Shareholder to exercise any option or any other right to acquire any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Shareholder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Shareholder Capacity Only</w:t>
      </w:r>
      <w:r>
        <w:rPr>
          <w:rFonts w:ascii="Times New Roman" w:hAnsi="Times New Roman"/>
          <w:sz w:val="20"/>
        </w:rPr>
        <w:t xml:space="preserve">.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the Company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and that such proxy is given to secure the obligations of the Shareholder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Representations and Warranties of the Shareholder</w:t>
      </w:r>
      <w:r>
        <w:rPr>
          <w:rFonts w:ascii="Times New Roman" w:hAnsi="Times New Roman"/>
          <w:sz w:val="20"/>
        </w:rPr>
        <w:t xml:space="preserve">. The Shareholder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Shareholder is the beneficial or record owner of the shares of Parent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Shareholder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Shareholder do not and will not require any consent, approval, authorization or permit of, action by, filing with or notification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10</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10(c)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10(h)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619" w:type="dxa"/>
        <w:jc w:val="left"/>
        <w:tblInd w:w="0" w:type="dxa"/>
        <w:tblLayout w:type="fixed"/>
        <w:tblCellMar>
          <w:top w:w="0" w:type="dxa"/>
          <w:left w:w="0" w:type="dxa"/>
          <w:bottom w:w="0" w:type="dxa"/>
          <w:right w:w="0" w:type="dxa"/>
        </w:tblCellMar>
      </w:tblPr>
      <w:tblGrid>
        <w:gridCol w:w="2957"/>
        <w:gridCol w:w="289"/>
        <w:gridCol w:w="373"/>
      </w:tblGrid>
      <w:tr>
        <w:trPr/>
        <w:tc>
          <w:tcPr>
            <w:tcW w:w="2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pPr>
            <w:r>
              <w:rPr/>
              <w:t>COMPANY:</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b/>
              </w:rPr>
            </w:pPr>
            <w:r>
              <w:rPr>
                <w:b/>
              </w:rPr>
              <w:t>KORSANA BIOSCIENCES, INC.</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By:</w:t>
            </w:r>
          </w:p>
        </w:tc>
        <w:tc>
          <w:tcPr>
            <w:tcW w:w="289" w:type="dxa"/>
            <w:tcBorders>
              <w:bottom w:val="single" w:sz="6" w:space="0" w:color="000000"/>
            </w:tcBorders>
            <w:tcMar>
              <w:bottom w:w="28" w:type="dxa"/>
            </w:tcMar>
            <w:vAlign w:val="center"/>
          </w:tcPr>
          <w:p>
            <w:pPr>
              <w:pStyle w:val="TableContents"/>
              <w:bidi w:val="0"/>
              <w:spacing w:before="0" w:after="283"/>
              <w:jc w:val="left"/>
              <w:rPr/>
            </w:pPr>
            <w:r>
              <w:rPr/>
              <w:t> </w:t>
            </w:r>
          </w:p>
        </w:tc>
        <w:tc>
          <w:tcPr>
            <w:tcW w:w="37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409"/>
        <w:gridCol w:w="334"/>
        <w:gridCol w:w="430"/>
      </w:tblGrid>
      <w:tr>
        <w:trPr/>
        <w:tc>
          <w:tcPr>
            <w:tcW w:w="34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pPr>
            <w:r>
              <w:rPr/>
              <w:t>PARENT:</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409" w:type="dxa"/>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By:</w:t>
            </w:r>
          </w:p>
        </w:tc>
        <w:tc>
          <w:tcPr>
            <w:tcW w:w="334" w:type="dxa"/>
            <w:tcBorders>
              <w:bottom w:val="single" w:sz="6" w:space="0" w:color="000000"/>
            </w:tcBorders>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pPr>
            <w:r>
              <w:rPr/>
              <w:t>Name: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Title: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[SHAREHOLDER],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Shareholder: </w:t>
      </w:r>
    </w:p>
    <w:p>
      <w:pPr>
        <w:pStyle w:val="TextBody"/>
        <w:bidi w:val="0"/>
        <w:spacing w:before="240" w:after="0"/>
        <w:jc w:val="left"/>
        <w:rPr>
          <w:rFonts w:ascii="Times New Roman" w:hAnsi="Times New Roman"/>
          <w:sz w:val="20"/>
        </w:rPr>
      </w:pPr>
      <w:r>
        <w:rPr>
          <w:rFonts w:ascii="Times New Roman" w:hAnsi="Times New Roman"/>
          <w:sz w:val="20"/>
        </w:rPr>
        <w:t>Signature:</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Shareholder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6" w:name="anxd"/>
      <w:bookmarkStart w:id="187" w:name="tx111069_49"/>
      <w:bookmarkEnd w:id="186"/>
      <w:bookmarkEnd w:id="187"/>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KORSANA SUPPORT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12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April 1, 2026, by and among Korsana Biosciences, Inc., a Delaware corporation (the “</w:t>
      </w:r>
      <w:r>
        <w:rPr>
          <w:rFonts w:ascii="Times New Roman" w:hAnsi="Times New Roman"/>
          <w:sz w:val="20"/>
          <w:u w:val="single"/>
        </w:rPr>
        <w:t>Company</w:t>
      </w:r>
      <w:r>
        <w:rPr>
          <w:rFonts w:ascii="Times New Roman" w:hAnsi="Times New Roman"/>
          <w:sz w:val="20"/>
        </w:rPr>
        <w:t>”), Cyclerion Therapeutics, Inc., a Massachusetts corporation (“</w:t>
      </w:r>
      <w:r>
        <w:rPr>
          <w:rFonts w:ascii="Times New Roman" w:hAnsi="Times New Roman"/>
          <w:sz w:val="20"/>
          <w:u w:val="single"/>
        </w:rPr>
        <w:t>Parent</w:t>
      </w:r>
      <w:r>
        <w:rPr>
          <w:rFonts w:ascii="Times New Roman" w:hAnsi="Times New Roman"/>
          <w:sz w:val="20"/>
        </w:rPr>
        <w:t>”), and the undersigned stockholder of the Company (the “</w:t>
      </w:r>
      <w:r>
        <w:rPr>
          <w:rFonts w:ascii="Times New Roman" w:hAnsi="Times New Roman"/>
          <w:sz w:val="20"/>
          <w:u w:val="single"/>
        </w:rPr>
        <w:t>Stockholder</w:t>
      </w:r>
      <w:r>
        <w:rPr>
          <w:rFonts w:ascii="Times New Roman" w:hAnsi="Times New Roman"/>
          <w:sz w:val="20"/>
        </w:rPr>
        <w:t>” and each of the Stockholder, Company, and Parent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Cariboos Merger Sub Corp., a Delaware corporation and a wholly owned subsidiary of Parent (the “</w:t>
      </w:r>
      <w:r>
        <w:rPr>
          <w:rFonts w:ascii="Times New Roman" w:hAnsi="Times New Roman"/>
          <w:sz w:val="20"/>
          <w:u w:val="single"/>
        </w:rPr>
        <w:t>First Merger Sub</w:t>
      </w:r>
      <w:r>
        <w:rPr>
          <w:rFonts w:ascii="Times New Roman" w:hAnsi="Times New Roman"/>
          <w:sz w:val="20"/>
        </w:rPr>
        <w:t>”), and Cariboos Merger Sub II, LLC a Delaware limited liability company (the “</w:t>
      </w:r>
      <w:r>
        <w:rPr>
          <w:rFonts w:ascii="Times New Roman" w:hAnsi="Times New Roman"/>
          <w:sz w:val="20"/>
          <w:u w:val="single"/>
        </w:rPr>
        <w:t>Second Merger Sub</w:t>
      </w:r>
      <w:r>
        <w:rPr>
          <w:rFonts w:ascii="Times New Roman" w:hAnsi="Times New Roman"/>
          <w:sz w:val="20"/>
        </w:rPr>
        <w:t>”), have entered into an Agreement and Plan of Merger and Reorganization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hAnsi="Times New Roman"/>
          <w:sz w:val="20"/>
          <w:u w:val="single"/>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Parent to enter into the Merger Agreement, Parent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and any other equity securities of the Company beneficially owned by the Stockholder as of the date hereof, including such securities indicated in </w:t>
      </w:r>
      <w:r>
        <w:rPr>
          <w:rFonts w:ascii="Times New Roman" w:hAnsi="Times New Roman"/>
          <w:sz w:val="20"/>
          <w:u w:val="single"/>
        </w:rPr>
        <w:t>Appendix A</w:t>
      </w:r>
      <w:r>
        <w:rPr>
          <w:rFonts w:ascii="Times New Roman" w:hAnsi="Times New Roman"/>
          <w:sz w:val="20"/>
        </w:rPr>
        <w:t xml:space="preserve">,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publicly announce its intention to Transfer any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 (ii) 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 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restricted stock units, including in order to pay the exercise price of such option or otherwise satisfy taxes applicable thereto;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hAnsi="Times New Roman"/>
          <w:sz w:val="20"/>
          <w:u w:val="single"/>
        </w:rPr>
        <w:t>Section 2(a)</w:t>
      </w:r>
      <w:r>
        <w:rPr>
          <w:rFonts w:ascii="Times New Roman" w:hAnsi="Times New Roman"/>
          <w:sz w:val="20"/>
        </w:rPr>
        <w:t xml:space="preserve"> through </w:t>
      </w:r>
      <w:r>
        <w:rPr>
          <w:rFonts w:ascii="Times New Roman" w:hAnsi="Times New Roman"/>
          <w:sz w:val="20"/>
          <w:u w:val="single"/>
        </w:rPr>
        <w:t>Section 2(d)</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nothing in this Agreement shall obligate the Stockholder to exercise any option or any other right to acquire any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(a) 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 to (a) attend any all meetings of the Company stockholders with respect to any of the matters specified in </w:t>
      </w:r>
      <w:r>
        <w:rPr>
          <w:rFonts w:ascii="Times New Roman" w:hAnsi="Times New Roman"/>
          <w:sz w:val="20"/>
          <w:u w:val="single"/>
        </w:rPr>
        <w:t>Section 3</w:t>
      </w:r>
      <w:r>
        <w:rPr>
          <w:rFonts w:ascii="Times New Roman" w:hAnsi="Times New Roman"/>
          <w:sz w:val="20"/>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hAnsi="Times New Roman"/>
          <w:sz w:val="20"/>
          <w:u w:val="single"/>
        </w:rPr>
        <w:t>Section 9</w:t>
      </w:r>
      <w:r>
        <w:rPr>
          <w:rFonts w:ascii="Times New Roman" w:hAnsi="Times New Roman"/>
          <w:sz w:val="20"/>
        </w:rPr>
        <w:t xml:space="preserve">. Notwithstanding any other provisions of this Agreement, the irrevocable proxy granted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hAnsi="Times New Roman"/>
          <w:sz w:val="20"/>
          <w:u w:val="single"/>
        </w:rPr>
        <w:t>Section 5</w:t>
      </w:r>
      <w:r>
        <w:rPr>
          <w:rFonts w:ascii="Times New Roman" w:hAnsi="Times New Roman"/>
          <w:sz w:val="20"/>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hAnsi="Times New Roman"/>
          <w:sz w:val="20"/>
          <w:u w:val="single"/>
        </w:rPr>
        <w:t>Section 3</w:t>
      </w:r>
      <w:r>
        <w:rPr>
          <w:rFonts w:ascii="Times New Roman" w:hAnsi="Times New Roman"/>
          <w:sz w:val="20"/>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hAnsi="Times New Roman"/>
          <w:sz w:val="20"/>
          <w:u w:val="single"/>
        </w:rPr>
        <w:t>Section 5</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hAnsi="Times New Roman"/>
          <w:i/>
          <w:sz w:val="20"/>
        </w:rPr>
        <w:t>mutatis mutandis</w:t>
      </w:r>
      <w:r>
        <w:rPr>
          <w:rFonts w:ascii="Times New Roman" w:hAnsi="Times New Roman"/>
          <w:sz w:val="20"/>
        </w:rPr>
        <w:t xml:space="preserve">. The Stockholder hereby represents and warrants that the Stockholder has read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hAnsi="Times New Roman"/>
          <w:sz w:val="20"/>
          <w:u w:val="single"/>
        </w:rPr>
        <w:t>Appendix B</w:t>
      </w:r>
      <w:r>
        <w:rPr>
          <w:rFonts w:ascii="Times New Roman" w:hAnsi="Times New Roman"/>
          <w:sz w:val="20"/>
        </w:rPr>
        <w:t xml:space="preserve">)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Parent and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 (ii) the Stockholder does not beneficially own any securities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other than the shares of Company Capital Stock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 </w:t>
      </w:r>
      <w:r>
        <w:rPr>
          <w:rFonts w:ascii="Times New Roman" w:hAnsi="Times New Roman"/>
          <w:sz w:val="20"/>
          <w:u w:val="single"/>
        </w:rPr>
        <w:t>Section 12</w:t>
      </w:r>
      <w:r>
        <w:rPr>
          <w:rFonts w:ascii="Times New Roman" w:hAnsi="Times New Roman"/>
          <w:sz w:val="20"/>
        </w:rPr>
        <w:t xml:space="preserve"> shall survive the termination of this Agreement and (ii) the termination of this Agreement shall not relieve any Party from any liability for any material and willful breach of this Agreement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12(h)</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Third-Party Rights</w:t>
      </w:r>
      <w:r>
        <w:rPr>
          <w:rFonts w:ascii="Times New Roman" w:hAnsi="Times New Roman"/>
          <w:sz w:val="20"/>
        </w:rPr>
        <w:t xml:space="preserve">. Nothing in this Agreement, express or implied, is intended to or shall confer upon any Person any right, benefit or remedy of any nature whatsoever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 xml:space="preserve">Confidentiality. </w:t>
      </w:r>
      <w:r>
        <w:rPr>
          <w:rFonts w:ascii="Times New Roman" w:hAnsi="Times New Roman"/>
          <w:sz w:val="20"/>
        </w:rPr>
        <w:t>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619" w:type="dxa"/>
        <w:jc w:val="left"/>
        <w:tblInd w:w="0" w:type="dxa"/>
        <w:tblLayout w:type="fixed"/>
        <w:tblCellMar>
          <w:top w:w="0" w:type="dxa"/>
          <w:left w:w="0" w:type="dxa"/>
          <w:bottom w:w="0" w:type="dxa"/>
          <w:right w:w="0" w:type="dxa"/>
        </w:tblCellMar>
      </w:tblPr>
      <w:tblGrid>
        <w:gridCol w:w="2957"/>
        <w:gridCol w:w="289"/>
        <w:gridCol w:w="373"/>
      </w:tblGrid>
      <w:tr>
        <w:trPr/>
        <w:tc>
          <w:tcPr>
            <w:tcW w:w="29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pPr>
            <w:r>
              <w:rPr/>
              <w:t>COMPANY:</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b/>
              </w:rPr>
            </w:pPr>
            <w:r>
              <w:rPr>
                <w:b/>
              </w:rPr>
              <w:t>KORSANA BIOSCIENCES, INC.</w:t>
            </w:r>
          </w:p>
        </w:tc>
      </w:tr>
      <w:tr>
        <w:trPr/>
        <w:tc>
          <w:tcPr>
            <w:tcW w:w="2957" w:type="dxa"/>
            <w:tcBorders/>
            <w:vAlign w:val="center"/>
          </w:tcPr>
          <w:p>
            <w:pPr>
              <w:pStyle w:val="TableContents"/>
              <w:bidi w:val="0"/>
              <w:spacing w:before="0" w:after="283"/>
              <w:jc w:val="left"/>
              <w:rPr>
                <w:sz w:val="4"/>
                <w:szCs w:val="4"/>
              </w:rPr>
            </w:pPr>
            <w:r>
              <w:rPr>
                <w:sz w:val="4"/>
                <w:szCs w:val="4"/>
              </w:rPr>
            </w:r>
          </w:p>
        </w:tc>
        <w:tc>
          <w:tcPr>
            <w:tcW w:w="662" w:type="dxa"/>
            <w:gridSpan w:val="2"/>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By:</w:t>
            </w:r>
          </w:p>
        </w:tc>
        <w:tc>
          <w:tcPr>
            <w:tcW w:w="289" w:type="dxa"/>
            <w:tcBorders>
              <w:bottom w:val="single" w:sz="6" w:space="0" w:color="000000"/>
            </w:tcBorders>
            <w:tcMar>
              <w:bottom w:w="28" w:type="dxa"/>
            </w:tcMar>
            <w:vAlign w:val="center"/>
          </w:tcPr>
          <w:p>
            <w:pPr>
              <w:pStyle w:val="TableContents"/>
              <w:bidi w:val="0"/>
              <w:spacing w:before="0" w:after="283"/>
              <w:jc w:val="left"/>
              <w:rPr/>
            </w:pPr>
            <w:r>
              <w:rPr/>
              <w:t> </w:t>
            </w:r>
          </w:p>
        </w:tc>
        <w:tc>
          <w:tcPr>
            <w:tcW w:w="37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57"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409"/>
        <w:gridCol w:w="334"/>
        <w:gridCol w:w="430"/>
      </w:tblGrid>
      <w:tr>
        <w:trPr/>
        <w:tc>
          <w:tcPr>
            <w:tcW w:w="34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pPr>
            <w:r>
              <w:rPr/>
              <w:t>PARENT:</w:t>
            </w:r>
          </w:p>
        </w:tc>
      </w:tr>
      <w:tr>
        <w:trPr/>
        <w:tc>
          <w:tcPr>
            <w:tcW w:w="4173"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409" w:type="dxa"/>
            <w:tcBorders/>
            <w:vAlign w:val="center"/>
          </w:tcPr>
          <w:p>
            <w:pPr>
              <w:pStyle w:val="TableContents"/>
              <w:bidi w:val="0"/>
              <w:spacing w:before="0" w:after="283"/>
              <w:jc w:val="left"/>
              <w:rPr>
                <w:sz w:val="4"/>
                <w:szCs w:val="4"/>
              </w:rPr>
            </w:pPr>
            <w:r>
              <w:rPr>
                <w:sz w:val="4"/>
                <w:szCs w:val="4"/>
              </w:rPr>
            </w:r>
          </w:p>
        </w:tc>
        <w:tc>
          <w:tcPr>
            <w:tcW w:w="764" w:type="dxa"/>
            <w:gridSpan w:val="2"/>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By:</w:t>
            </w:r>
          </w:p>
        </w:tc>
        <w:tc>
          <w:tcPr>
            <w:tcW w:w="334" w:type="dxa"/>
            <w:tcBorders>
              <w:bottom w:val="single" w:sz="6" w:space="0" w:color="000000"/>
            </w:tcBorders>
            <w:tcMar>
              <w:bottom w:w="28" w:type="dxa"/>
            </w:tcMar>
            <w:vAlign w:val="center"/>
          </w:tcPr>
          <w:p>
            <w:pPr>
              <w:pStyle w:val="TableContents"/>
              <w:bidi w:val="0"/>
              <w:spacing w:before="0" w:after="283"/>
              <w:jc w:val="left"/>
              <w:rPr/>
            </w:pPr>
            <w:r>
              <w:rPr/>
              <w:t> </w:t>
            </w:r>
          </w:p>
        </w:tc>
        <w:tc>
          <w:tcPr>
            <w:tcW w:w="4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09" w:type="dxa"/>
            <w:tcBorders/>
            <w:vAlign w:val="center"/>
          </w:tcPr>
          <w:p>
            <w:pPr>
              <w:pStyle w:val="TableContents"/>
              <w:bidi w:val="0"/>
              <w:spacing w:before="0" w:after="283"/>
              <w:jc w:val="left"/>
              <w:rPr/>
            </w:pPr>
            <w:r>
              <w:rPr/>
              <w:t>Name: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pPr>
            <w:r>
              <w:rPr/>
              <w:t>Title:</w:t>
            </w:r>
          </w:p>
        </w:tc>
        <w:tc>
          <w:tcPr>
            <w:tcW w:w="334"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[STOCKHOLDER], </w:t>
      </w:r>
    </w:p>
    <w:p>
      <w:pPr>
        <w:pStyle w:val="TextBody"/>
        <w:bidi w:val="0"/>
        <w:spacing w:before="0" w:after="0"/>
        <w:jc w:val="left"/>
        <w:rPr>
          <w:rFonts w:ascii="Times New Roman" w:hAnsi="Times New Roman"/>
          <w:sz w:val="20"/>
        </w:rPr>
      </w:pPr>
      <w:r>
        <w:rPr>
          <w:rFonts w:ascii="Times New Roman" w:hAnsi="Times New Roman"/>
          <w:sz w:val="20"/>
        </w:rPr>
        <w:t xml:space="preserve">in his/her capacity as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Stockholder Support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88" w:name="anxe"/>
      <w:bookmarkStart w:id="189" w:name="tx111069_50"/>
      <w:bookmarkEnd w:id="188"/>
      <w:bookmarkEnd w:id="189"/>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240" w:after="0"/>
        <w:jc w:val="left"/>
        <w:rPr>
          <w:rFonts w:ascii="Times New Roman" w:hAnsi="Times New Roman"/>
          <w:sz w:val="20"/>
        </w:rPr>
      </w:pPr>
      <w:r>
        <w:rPr>
          <w:rFonts w:ascii="Times New Roman" w:hAnsi="Times New Roman"/>
          <w:sz w:val="20"/>
        </w:rPr>
        <w:t xml:space="preserve">Cyclerion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245 First Street, 18th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02142 </w:t>
      </w:r>
    </w:p>
    <w:p>
      <w:pPr>
        <w:pStyle w:val="TextBody"/>
        <w:bidi w:val="0"/>
        <w:spacing w:before="0" w:after="0"/>
        <w:jc w:val="left"/>
        <w:rPr>
          <w:rFonts w:ascii="Times New Roman" w:hAnsi="Times New Roman"/>
          <w:sz w:val="20"/>
        </w:rPr>
      </w:pPr>
      <w:r>
        <w:rPr>
          <w:rFonts w:ascii="Times New Roman" w:hAnsi="Times New Roman"/>
          <w:sz w:val="20"/>
        </w:rPr>
        <w:t xml:space="preserve">Attention: Regina Graul, Ph.D.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Cyclerion Therapeutics, Inc., a Massachusetts corporation (including any successor thereto, “</w:t>
      </w:r>
      <w:r>
        <w:rPr>
          <w:rFonts w:ascii="Times New Roman" w:hAnsi="Times New Roman"/>
          <w:sz w:val="20"/>
          <w:u w:val="single"/>
        </w:rPr>
        <w:t>Parent</w:t>
      </w:r>
      <w:r>
        <w:rPr>
          <w:rFonts w:ascii="Times New Roman" w:hAnsi="Times New Roman"/>
          <w:sz w:val="20"/>
        </w:rPr>
        <w:t>”), has entered into an Agreement and Plan of Merger and Reorganization, dated as of April 1, 2026 (as the same may be amended from time to time, the “</w:t>
      </w:r>
      <w:r>
        <w:rPr>
          <w:rFonts w:ascii="Times New Roman" w:hAnsi="Times New Roman"/>
          <w:sz w:val="20"/>
          <w:u w:val="single"/>
        </w:rPr>
        <w:t>Merger Agreement</w:t>
      </w:r>
      <w:r>
        <w:rPr>
          <w:rFonts w:ascii="Times New Roman" w:hAnsi="Times New Roman"/>
          <w:sz w:val="20"/>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1.</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hAnsi="Times New Roman"/>
                <w:sz w:val="20"/>
                <w:u w:val="single"/>
              </w:rPr>
              <w:t>provided 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Lock-Up Agreement shall terminate immediately upon the undersigned’s termination of employment with Parent or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 (ii) settlement of Parent Restricted Stock Units or (iii) any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demand for, or exercise any right with respect to, the registration of any shares of Parent Common Stock or any security convertible into or exercisable or exchangeable for shares of Parent Common Stock (other than such rights set forth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85"/>
        <w:gridCol w:w="477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disclose the intention to do any of the foregoing.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00"/>
        <w:gridCol w:w="7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185"/>
        <w:gridCol w:w="31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of the Undersigned’s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60"/>
        <w:gridCol w:w="584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iii.</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trust, to any grantors or beneficiaries of the trust;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or amendment to,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disposition (including a forfeiture or repurchase) to Parent of any shares of Parent Common Stock issued pursuant to a Parent Restricted Stock Award or otherwise granted pursuant to the terms of any employee benefit plan or restricted stock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distributions, sales or other transactions by the undersigned of shares of Parent Common Stock purchased by the undersigned on the open market or in a public offering by Parent, in each case following the date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200"/>
        <w:gridCol w:w="52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an order of a court or regulatory agency;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undersigned of shares of Parent Common Stock issued pursuant to the Merger Agreement in respect of shares of the Company, if any, purchased from the Company on or about the Closing Date but prior to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3.</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5.</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6.</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7.</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8.</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is binding upon the undersigned’s heirs,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10.</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 (i)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hAnsi="Times New Roman"/>
                <w:sz w:val="20"/>
                <w:u w:val="single"/>
              </w:rPr>
              <w:t>Section 11</w:t>
            </w:r>
            <w:r>
              <w:rPr>
                <w:rFonts w:ascii="Times New Roman" w:hAnsi="Times New Roman"/>
                <w:sz w:val="20"/>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HERETO HEREBY WAIVE ANY RIGHT TO TRIAL BY JURY WITH RESPECT TO ANY ACTION OR LEGAL PROCEEDING RELATED TO OR ARISING OUT OF THIS LOCK-UP AGREEMENT, ANY DOCUMENT EXECUTED IN CONNECTION HEREWITH AND THE MATTERS CONTEMPLATED HEREBY AND THEREBY.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11.</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73" w:type="dxa"/>
        <w:jc w:val="left"/>
        <w:tblInd w:w="0" w:type="dxa"/>
        <w:tblLayout w:type="fixed"/>
        <w:tblCellMar>
          <w:top w:w="0" w:type="dxa"/>
          <w:left w:w="0" w:type="dxa"/>
          <w:bottom w:w="0" w:type="dxa"/>
          <w:right w:w="0" w:type="dxa"/>
        </w:tblCellMar>
      </w:tblPr>
      <w:tblGrid>
        <w:gridCol w:w="1229"/>
        <w:gridCol w:w="192"/>
        <w:gridCol w:w="2152"/>
      </w:tblGrid>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pPr>
            <w:r>
              <w:rPr/>
              <w:t>Very truly yours,</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vAlign w:val="center"/>
          </w:tcPr>
          <w:p>
            <w:pPr>
              <w:pStyle w:val="TableContents"/>
              <w:bidi w:val="0"/>
              <w:spacing w:before="0" w:after="283"/>
              <w:jc w:val="left"/>
              <w:rPr/>
            </w:pPr>
            <w:r>
              <w:rPr/>
              <w:t>Print Name of Stockholder: [NAME]</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73" w:type="dxa"/>
            <w:gridSpan w:val="3"/>
            <w:tcBorders/>
            <w:vAlign w:val="center"/>
          </w:tcPr>
          <w:p>
            <w:pPr>
              <w:pStyle w:val="TableContents"/>
              <w:bidi w:val="0"/>
              <w:spacing w:before="0" w:after="283"/>
              <w:jc w:val="left"/>
              <w:rPr/>
            </w:pPr>
            <w:r>
              <w:rPr/>
              <w:t>Signature (for individuals):</w:t>
            </w:r>
          </w:p>
        </w:tc>
      </w:tr>
      <w:tr>
        <w:trPr/>
        <w:tc>
          <w:tcPr>
            <w:tcW w:w="3573" w:type="dxa"/>
            <w:gridSpan w:val="3"/>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73" w:type="dxa"/>
            <w:gridSpan w:val="3"/>
            <w:tcBorders/>
            <w:vAlign w:val="center"/>
          </w:tcPr>
          <w:p>
            <w:pPr>
              <w:pStyle w:val="TableContents"/>
              <w:bidi w:val="0"/>
              <w:spacing w:before="0" w:after="283"/>
              <w:jc w:val="left"/>
              <w:rPr/>
            </w:pPr>
            <w:r>
              <w:rPr/>
              <w:t>Signature (for entities):</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2344" w:type="dxa"/>
            <w:gridSpan w:val="2"/>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pPr>
            <w:r>
              <w:rPr/>
              <w:t>By:</w:t>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pPr>
            <w:r>
              <w:rPr/>
              <w:t>Name:</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59" w:type="dxa"/>
        <w:jc w:val="left"/>
        <w:tblInd w:w="0" w:type="dxa"/>
        <w:tblLayout w:type="fixed"/>
        <w:tblCellMar>
          <w:top w:w="0" w:type="dxa"/>
          <w:left w:w="0" w:type="dxa"/>
          <w:bottom w:w="0" w:type="dxa"/>
          <w:right w:w="0" w:type="dxa"/>
        </w:tblCellMar>
      </w:tblPr>
      <w:tblGrid>
        <w:gridCol w:w="2801"/>
        <w:gridCol w:w="336"/>
        <w:gridCol w:w="422"/>
      </w:tblGrid>
      <w:tr>
        <w:trPr/>
        <w:tc>
          <w:tcPr>
            <w:tcW w:w="28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559" w:type="dxa"/>
            <w:gridSpan w:val="3"/>
            <w:tcBorders/>
            <w:vAlign w:val="center"/>
          </w:tcPr>
          <w:p>
            <w:pPr>
              <w:pStyle w:val="TableContents"/>
              <w:bidi w:val="0"/>
              <w:spacing w:before="0" w:after="283"/>
              <w:jc w:val="left"/>
              <w:rPr/>
            </w:pPr>
            <w:r>
              <w:rPr/>
              <w:t xml:space="preserve">Accepted and Agreed by </w:t>
            </w:r>
            <w:r>
              <w:rPr>
                <w:b/>
              </w:rPr>
              <w:t>PARENT</w:t>
            </w:r>
            <w:r>
              <w:rPr/>
              <w:t>:</w:t>
            </w:r>
          </w:p>
        </w:tc>
      </w:tr>
      <w:tr>
        <w:trPr/>
        <w:tc>
          <w:tcPr>
            <w:tcW w:w="2801" w:type="dxa"/>
            <w:tcBorders/>
            <w:vAlign w:val="center"/>
          </w:tcPr>
          <w:p>
            <w:pPr>
              <w:pStyle w:val="TableContents"/>
              <w:bidi w:val="0"/>
              <w:spacing w:before="0" w:after="283"/>
              <w:jc w:val="left"/>
              <w:rPr>
                <w:sz w:val="4"/>
                <w:szCs w:val="4"/>
              </w:rPr>
            </w:pPr>
            <w:r>
              <w:rPr>
                <w:sz w:val="4"/>
                <w:szCs w:val="4"/>
              </w:rPr>
            </w:r>
          </w:p>
        </w:tc>
        <w:tc>
          <w:tcPr>
            <w:tcW w:w="758" w:type="dxa"/>
            <w:gridSpan w:val="2"/>
            <w:tcBorders/>
            <w:vAlign w:val="center"/>
          </w:tcPr>
          <w:p>
            <w:pPr>
              <w:pStyle w:val="TableContents"/>
              <w:bidi w:val="0"/>
              <w:spacing w:before="0" w:after="283"/>
              <w:jc w:val="left"/>
              <w:rPr>
                <w:sz w:val="4"/>
                <w:szCs w:val="4"/>
              </w:rPr>
            </w:pPr>
            <w:r>
              <w:rPr>
                <w:sz w:val="4"/>
                <w:szCs w:val="4"/>
              </w:rPr>
            </w:r>
          </w:p>
        </w:tc>
      </w:tr>
      <w:tr>
        <w:trPr/>
        <w:tc>
          <w:tcPr>
            <w:tcW w:w="2801" w:type="dxa"/>
            <w:tcBorders/>
            <w:vAlign w:val="center"/>
          </w:tcPr>
          <w:p>
            <w:pPr>
              <w:pStyle w:val="TableContents"/>
              <w:bidi w:val="0"/>
              <w:spacing w:before="0" w:after="283"/>
              <w:jc w:val="left"/>
              <w:rPr/>
            </w:pPr>
            <w:r>
              <w:rPr/>
              <w:t>By:</w:t>
            </w:r>
          </w:p>
        </w:tc>
        <w:tc>
          <w:tcPr>
            <w:tcW w:w="336" w:type="dxa"/>
            <w:tcBorders>
              <w:bottom w:val="single" w:sz="6" w:space="0" w:color="000000"/>
            </w:tcBorders>
            <w:tcMar>
              <w:bottom w:w="28" w:type="dxa"/>
            </w:tcMar>
            <w:vAlign w:val="center"/>
          </w:tcPr>
          <w:p>
            <w:pPr>
              <w:pStyle w:val="TableContents"/>
              <w:bidi w:val="0"/>
              <w:spacing w:before="0" w:after="283"/>
              <w:jc w:val="left"/>
              <w:rPr/>
            </w:pPr>
            <w:r>
              <w:rPr/>
              <w:t> </w:t>
            </w:r>
          </w:p>
        </w:tc>
        <w:tc>
          <w:tcPr>
            <w:tcW w:w="42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01" w:type="dxa"/>
            <w:tcBorders/>
            <w:vAlign w:val="center"/>
          </w:tcPr>
          <w:p>
            <w:pPr>
              <w:pStyle w:val="TableContents"/>
              <w:bidi w:val="0"/>
              <w:spacing w:before="0" w:after="283"/>
              <w:jc w:val="left"/>
              <w:rPr>
                <w:sz w:val="20"/>
              </w:rPr>
            </w:pPr>
            <w:r>
              <w:rPr>
                <w:sz w:val="20"/>
              </w:rPr>
              <w:t>Name:</w:t>
            </w:r>
          </w:p>
        </w:tc>
        <w:tc>
          <w:tcPr>
            <w:tcW w:w="33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center"/>
          </w:tcPr>
          <w:p>
            <w:pPr>
              <w:pStyle w:val="TableContents"/>
              <w:bidi w:val="0"/>
              <w:spacing w:before="0" w:after="283"/>
              <w:jc w:val="left"/>
              <w:rPr>
                <w:sz w:val="20"/>
              </w:rPr>
            </w:pPr>
            <w:r>
              <w:rPr>
                <w:sz w:val="20"/>
              </w:rPr>
              <w:t>Title:</w:t>
            </w:r>
          </w:p>
        </w:tc>
        <w:tc>
          <w:tcPr>
            <w:tcW w:w="336"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Lock-Up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0" w:name="tx111069_51"/>
      <w:bookmarkEnd w:id="190"/>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CVR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F </w:t>
      </w:r>
    </w:p>
    <w:p>
      <w:pPr>
        <w:pStyle w:val="TextBody"/>
        <w:bidi w:val="0"/>
        <w:spacing w:before="12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0" w:after="0"/>
        <w:jc w:val="right"/>
        <w:rPr>
          <w:rFonts w:ascii="Times New Roman" w:hAnsi="Times New Roman"/>
          <w:b/>
          <w:sz w:val="20"/>
        </w:rPr>
      </w:pPr>
      <w:r>
        <w:rPr>
          <w:rFonts w:ascii="Times New Roman" w:hAnsi="Times New Roman"/>
          <w:b/>
          <w:sz w:val="20"/>
        </w:rPr>
        <w:t xml:space="preserve">Final Form </w:t>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 2026, is entered into by and between Cyclerion Therapeutics, Inc., a Massachusetts corporation (the “</w:t>
      </w:r>
      <w:r>
        <w:rPr>
          <w:rFonts w:ascii="Times New Roman" w:hAnsi="Times New Roman"/>
          <w:b/>
          <w:sz w:val="20"/>
        </w:rPr>
        <w:t>Company</w:t>
      </w:r>
      <w:r>
        <w:rPr>
          <w:rFonts w:ascii="Times New Roman" w:hAnsi="Times New Roman"/>
          <w:sz w:val="20"/>
        </w:rPr>
        <w:t>”), and [__], a [__], as the “Rights Agent” (as defined herein), and [__], a [__], solely in its capacity as the initial representative, agent and attorney in fact of the Holders (the “</w:t>
      </w:r>
      <w:r>
        <w:rPr>
          <w:rFonts w:ascii="Times New Roman" w:hAnsi="Times New Roman"/>
          <w:b/>
          <w:sz w:val="20"/>
        </w:rPr>
        <w:t>Representative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Cariboos Merger Sub Corp., a Delaware corporation and wholly-owned subsidiary of the Company (“</w:t>
      </w:r>
      <w:r>
        <w:rPr>
          <w:rFonts w:ascii="Times New Roman" w:hAnsi="Times New Roman"/>
          <w:b/>
          <w:sz w:val="20"/>
        </w:rPr>
        <w:t>First Merger Sub</w:t>
      </w:r>
      <w:r>
        <w:rPr>
          <w:rFonts w:ascii="Times New Roman" w:hAnsi="Times New Roman"/>
          <w:sz w:val="20"/>
        </w:rPr>
        <w:t>”), Cariboos Merger Sub II, LLC, a Delaware limited liability company and wholly-owned subsidiary of the Company (“</w:t>
      </w:r>
      <w:r>
        <w:rPr>
          <w:rFonts w:ascii="Times New Roman" w:hAnsi="Times New Roman"/>
          <w:b/>
          <w:sz w:val="20"/>
        </w:rPr>
        <w:t>Second Merger Sub</w:t>
      </w:r>
      <w:r>
        <w:rPr>
          <w:rFonts w:ascii="Times New Roman" w:hAnsi="Times New Roman"/>
          <w:sz w:val="20"/>
        </w:rPr>
        <w:t>”), and Korsana Biosciences, Inc., a Delaware corporation (“</w:t>
      </w:r>
      <w:r>
        <w:rPr>
          <w:rFonts w:ascii="Times New Roman" w:hAnsi="Times New Roman"/>
          <w:b/>
          <w:sz w:val="20"/>
        </w:rPr>
        <w:t>Korsana</w:t>
      </w:r>
      <w:r>
        <w:rPr>
          <w:rFonts w:ascii="Times New Roman" w:hAnsi="Times New Roman"/>
          <w:sz w:val="20"/>
        </w:rPr>
        <w:t>”), have entered into an Agreement and Plan of Merger and Reorganization, dated as of April 1, 2026 (the “</w:t>
      </w:r>
      <w:r>
        <w:rPr>
          <w:rFonts w:ascii="Times New Roman" w:hAnsi="Times New Roman"/>
          <w:b/>
          <w:sz w:val="20"/>
        </w:rPr>
        <w:t>Merger Agreement</w:t>
      </w:r>
      <w:r>
        <w:rPr>
          <w:rFonts w:ascii="Times New Roman" w:hAnsi="Times New Roman"/>
          <w:sz w:val="20"/>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hAnsi="Times New Roman"/>
          <w:b/>
          <w:sz w:val="20"/>
        </w:rPr>
        <w:t>Second Merger</w:t>
      </w:r>
      <w:r>
        <w:rPr>
          <w:rFonts w:ascii="Times New Roman" w:hAnsi="Times New Roman"/>
          <w:sz w:val="20"/>
        </w:rPr>
        <w:t>” and, together with the First Merger, the “</w:t>
      </w:r>
      <w:r>
        <w:rPr>
          <w:rFonts w:ascii="Times New Roman" w:hAnsi="Times New Roman"/>
          <w:b/>
          <w:sz w:val="20"/>
        </w:rPr>
        <w:t>Merger</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issue to the Holders (as defined herein) contingent value rights as hereinafter described;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to this Agreement have done all things reasonably necessary to make the contingent value rights, when issued pursuant to the Merger Agreement and hereunder, the valid obligations of the Company and to make this Agreement a valid and binding agreement of the Company, in accordance with its terms;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initial Holders desire that the Representative act as their agent for the purposes of accomplishing the intent and implementing the provisions of this Agreement and facilitating the consummation of the transactions contemplated hereby and performing the other services described in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12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35%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Shares</w:t>
      </w:r>
      <w:r>
        <w:rPr>
          <w:rFonts w:ascii="Times New Roman" w:hAnsi="Times New Roman"/>
          <w:sz w:val="20"/>
        </w:rPr>
        <w:t xml:space="preserve">” means shares of Parent Common Stock (including, for the avoidance of doubt, those shares of Parent Common Stock with respect to Parent Restricted Stock Awards accelerated pursuant to Section 6.6(e) of the Merger Agreement) and shares of Parent Preferred Stock.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Proceeds pursuant to the Merger Agreement and this Agreement. </w:t>
      </w:r>
    </w:p>
    <w:p>
      <w:pPr>
        <w:pStyle w:val="TextBody"/>
        <w:bidi w:val="0"/>
        <w:spacing w:before="240" w:after="0"/>
        <w:jc w:val="left"/>
        <w:rPr/>
      </w:pPr>
      <w:r>
        <w:rPr/>
        <w:t>“</w:t>
      </w:r>
      <w:r>
        <w:rPr>
          <w:rFonts w:ascii="Times New Roman" w:hAnsi="Times New Roman"/>
          <w:b/>
          <w:sz w:val="20"/>
        </w:rPr>
        <w:t>CVR Expense Cap</w:t>
      </w:r>
      <w:r>
        <w:rPr>
          <w:rFonts w:ascii="Times New Roman" w:hAnsi="Times New Roman"/>
          <w:sz w:val="20"/>
        </w:rPr>
        <w:t xml:space="preserve">” has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 </w:t>
      </w:r>
    </w:p>
    <w:p>
      <w:pPr>
        <w:pStyle w:val="TextBody"/>
        <w:bidi w:val="0"/>
        <w:spacing w:before="240" w:after="0"/>
        <w:jc w:val="left"/>
        <w:rPr/>
      </w:pPr>
      <w:r>
        <w:rPr/>
        <w:t>“</w:t>
      </w:r>
      <w:r>
        <w:rPr>
          <w:rFonts w:ascii="Times New Roman" w:hAnsi="Times New Roman"/>
          <w:b/>
          <w:sz w:val="20"/>
        </w:rPr>
        <w:t>CVR Payment Date</w:t>
      </w:r>
      <w:r>
        <w:rPr>
          <w:rFonts w:ascii="Times New Roman" w:hAnsi="Times New Roman"/>
          <w:sz w:val="20"/>
        </w:rPr>
        <w:t xml:space="preserve">” means a date that is no later than thirty (30) days following the receipt of the corresponding portion of Gross Proceeds by the Company or any of its Affiliates, pursuant to which CVR Proceeds are payable to Holders. </w:t>
      </w:r>
    </w:p>
    <w:p>
      <w:pPr>
        <w:pStyle w:val="TextBody"/>
        <w:bidi w:val="0"/>
        <w:spacing w:before="240" w:after="0"/>
        <w:jc w:val="left"/>
        <w:rPr/>
      </w:pPr>
      <w:r>
        <w:rPr/>
        <w:t>“</w:t>
      </w:r>
      <w:r>
        <w:rPr>
          <w:rFonts w:ascii="Times New Roman" w:hAnsi="Times New Roman"/>
          <w:b/>
          <w:sz w:val="20"/>
        </w:rPr>
        <w:t>CVR Payment Notice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Proceeds</w:t>
      </w:r>
      <w:r>
        <w:rPr>
          <w:rFonts w:ascii="Times New Roman" w:hAnsi="Times New Roman"/>
          <w:sz w:val="20"/>
        </w:rPr>
        <w:t xml:space="preserve">” means, without duplication, 100% of the Net Proceeds in the case of any Legacy Assets Transaction.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Date and ending upon the second (2nd) anniversary of this Agreement; </w:t>
      </w:r>
      <w:r>
        <w:rPr>
          <w:rFonts w:ascii="Times New Roman" w:hAnsi="Times New Roman"/>
          <w:sz w:val="20"/>
          <w:u w:val="single"/>
        </w:rPr>
        <w:t>provided</w:t>
      </w:r>
      <w:r>
        <w:rPr>
          <w:rFonts w:ascii="Times New Roman" w:hAnsi="Times New Roman"/>
          <w:sz w:val="20"/>
        </w:rPr>
        <w:t xml:space="preserve">, that, (i) with respect to the Legacy Assets Transaction Agreement set forth on </w:t>
      </w:r>
      <w:r>
        <w:rPr>
          <w:rFonts w:ascii="Times New Roman" w:hAnsi="Times New Roman"/>
          <w:sz w:val="20"/>
          <w:u w:val="single"/>
        </w:rPr>
        <w:t>Schedule 1.1</w:t>
      </w:r>
      <w:r>
        <w:rPr>
          <w:rFonts w:ascii="Times New Roman" w:hAnsi="Times New Roman"/>
          <w:sz w:val="20"/>
        </w:rPr>
        <w:t xml:space="preserve">1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Legacy Assets</w:t>
      </w:r>
      <w:r>
        <w:rPr>
          <w:rFonts w:ascii="Times New Roman" w:hAnsi="Times New Roman"/>
          <w:sz w:val="20"/>
        </w:rPr>
        <w:t xml:space="preserve">” means all of the Company’s and the Company’s Subsidiaries’ right, title and interest in and to the tangible and intangible assets of the Company or any of its Subsidiaries as of immediately prior to the Closing Date. </w:t>
      </w:r>
    </w:p>
    <w:p>
      <w:pPr>
        <w:pStyle w:val="TextBody"/>
        <w:bidi w:val="0"/>
        <w:spacing w:before="240" w:after="0"/>
        <w:jc w:val="left"/>
        <w:rPr/>
      </w:pPr>
      <w:r>
        <w:rPr/>
        <w:t>“</w:t>
      </w:r>
      <w:r>
        <w:rPr>
          <w:rFonts w:ascii="Times New Roman" w:hAnsi="Times New Roman"/>
          <w:b/>
          <w:sz w:val="20"/>
        </w:rPr>
        <w:t>Legacy Assets Transaction</w:t>
      </w:r>
      <w:r>
        <w:rPr>
          <w:rFonts w:ascii="Times New Roman" w:hAnsi="Times New Roman"/>
          <w:sz w:val="20"/>
        </w:rPr>
        <w:t xml:space="preserve">”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 </w:t>
      </w:r>
    </w:p>
    <w:p>
      <w:pPr>
        <w:pStyle w:val="TextBody"/>
        <w:bidi w:val="0"/>
        <w:spacing w:lineRule="atLeast" w:line="160" w:before="0" w:after="40"/>
        <w:jc w:val="left"/>
        <w:rPr>
          <w:bdr w:val="single" w:sz="2" w:space="1" w:color="000000"/>
        </w:rPr>
      </w:pPr>
      <w:r>
        <w:rPr>
          <w:bdr w:val="single" w:sz="2" w:space="1" w:color="000000"/>
        </w:rPr>
        <w:t> </w:t>
      </w:r>
    </w:p>
    <w:tbl>
      <w:tblPr>
        <w:tblW w:w="5335" w:type="dxa"/>
        <w:jc w:val="left"/>
        <w:tblInd w:w="0" w:type="dxa"/>
        <w:tblLayout w:type="fixed"/>
        <w:tblCellMar>
          <w:top w:w="0" w:type="dxa"/>
          <w:left w:w="0" w:type="dxa"/>
          <w:bottom w:w="0" w:type="dxa"/>
          <w:right w:w="0" w:type="dxa"/>
        </w:tblCellMar>
      </w:tblPr>
      <w:tblGrid>
        <w:gridCol w:w="215"/>
        <w:gridCol w:w="5120"/>
      </w:tblGrid>
      <w:tr>
        <w:trPr/>
        <w:tc>
          <w:tcPr>
            <w:tcW w:w="215" w:type="dxa"/>
            <w:tcBorders/>
            <w:vAlign w:val="center"/>
          </w:tcPr>
          <w:p>
            <w:pPr>
              <w:pStyle w:val="TableContents"/>
              <w:bidi w:val="0"/>
              <w:spacing w:before="0" w:after="283"/>
              <w:jc w:val="left"/>
              <w:rPr/>
            </w:pPr>
            <w:r>
              <w:rPr/>
              <w:t>1 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Legacy Assets Transaction Agreement</w:t>
      </w:r>
      <w:r>
        <w:rPr>
          <w:rFonts w:ascii="Times New Roman" w:hAnsi="Times New Roman"/>
          <w:sz w:val="20"/>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hAnsi="Times New Roman"/>
          <w:sz w:val="20"/>
          <w:u w:val="single"/>
        </w:rPr>
        <w:t>Schedule 1.2</w:t>
      </w:r>
      <w:r>
        <w:rPr>
          <w:rFonts w:ascii="Times New Roman" w:hAnsi="Times New Roman"/>
          <w:sz w:val="20"/>
        </w:rPr>
        <w:t xml:space="preserve">2 hereto or entered into during the Legacy Assets Transaction Period. </w:t>
      </w:r>
    </w:p>
    <w:p>
      <w:pPr>
        <w:pStyle w:val="TextBody"/>
        <w:bidi w:val="0"/>
        <w:spacing w:before="0" w:after="0"/>
        <w:jc w:val="left"/>
        <w:rPr/>
      </w:pPr>
      <w:r>
        <w:rPr/>
        <w:t> </w:t>
      </w:r>
    </w:p>
    <w:p>
      <w:pPr>
        <w:pStyle w:val="TextBody"/>
        <w:bidi w:val="0"/>
        <w:spacing w:before="240" w:after="0"/>
        <w:jc w:val="left"/>
        <w:rPr/>
      </w:pPr>
      <w:r>
        <w:rPr/>
        <w:t>“</w:t>
      </w:r>
      <w:r>
        <w:rPr>
          <w:rFonts w:ascii="Times New Roman" w:hAnsi="Times New Roman"/>
          <w:b/>
          <w:sz w:val="20"/>
        </w:rPr>
        <w:t>Legacy Assets Transaction Period</w:t>
      </w:r>
      <w:r>
        <w:rPr>
          <w:rFonts w:ascii="Times New Roman" w:hAnsi="Times New Roman"/>
          <w:sz w:val="20"/>
        </w:rPr>
        <w:t xml:space="preserve">”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Note to Draft</w:t>
            </w:r>
            <w:r>
              <w:rPr>
                <w:rFonts w:ascii="Times New Roman" w:hAnsi="Times New Roman"/>
                <w:sz w:val="20"/>
              </w:rPr>
              <w:t xml:space="preserve">: Schedule to list the Akebia License Agreement and any Parent Legacy Transaction entered into prior to Closing,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240" w:after="0"/>
        <w:jc w:val="left"/>
        <w:rPr>
          <w:rFonts w:ascii="Times New Roman" w:hAnsi="Times New Roman"/>
          <w:sz w:val="20"/>
        </w:rPr>
      </w:pPr>
      <w:r>
        <w:rPr>
          <w:rFonts w:ascii="Times New Roman" w:hAnsi="Times New Roman"/>
          <w:sz w:val="20"/>
        </w:rPr>
        <w:t xml:space="preserve">(c) 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any proceeds in consideration for a Legacy Assets Transaction pursuant to a Legacy Assets Transaction Agreement included in the final determination of the Parent Net Cash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royalties or other amounts payable by the Company or any of its Affiliates to any third party in connection with any Legacy Assets; </w:t>
      </w:r>
    </w:p>
    <w:p>
      <w:pPr>
        <w:pStyle w:val="TextBody"/>
        <w:bidi w:val="0"/>
        <w:spacing w:before="240" w:after="0"/>
        <w:jc w:val="left"/>
        <w:rPr>
          <w:rFonts w:ascii="Times New Roman" w:hAnsi="Times New Roman"/>
          <w:sz w:val="20"/>
        </w:rPr>
      </w:pPr>
      <w:r>
        <w:rPr>
          <w:rFonts w:ascii="Times New Roman" w:hAnsi="Times New Roman"/>
          <w:sz w:val="20"/>
        </w:rPr>
        <w:t xml:space="preserve">(g) any Liabilities borne by the Company or any of its Affiliates pursuant to Contracts related to Legacy Assets, including costs arising from the termination thereof (in each case, only to the extent not included in the calculation of Parent Net Cash); and </w:t>
      </w:r>
    </w:p>
    <w:p>
      <w:pPr>
        <w:pStyle w:val="TextBody"/>
        <w:bidi w:val="0"/>
        <w:spacing w:before="240" w:after="0"/>
        <w:jc w:val="left"/>
        <w:rPr>
          <w:rFonts w:ascii="Times New Roman" w:hAnsi="Times New Roman"/>
          <w:sz w:val="20"/>
        </w:rPr>
      </w:pPr>
      <w:r>
        <w:rPr>
          <w:rFonts w:ascii="Times New Roman" w:hAnsi="Times New Roman"/>
          <w:sz w:val="20"/>
        </w:rPr>
        <w:t xml:space="preserve">(h) any Liabilities existing or incurred during the CVR Term that would have been required to be included in the calculation of the Parent Net Cash to the extent not taken account in the calculation of the Parent Net Cash in accordance with the Merger Agreement.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Sale of Tisento</w:t>
      </w:r>
      <w:r>
        <w:rPr>
          <w:rFonts w:ascii="Times New Roman" w:hAnsi="Times New Roman"/>
          <w:sz w:val="20"/>
        </w:rPr>
        <w:t xml:space="preserve">”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Tisento</w:t>
      </w:r>
      <w:r>
        <w:rPr>
          <w:rFonts w:ascii="Times New Roman" w:hAnsi="Times New Roman"/>
          <w:sz w:val="20"/>
        </w:rPr>
        <w:t xml:space="preserve">” means Tisento Therapeutics Holdings Inc. </w:t>
      </w:r>
    </w:p>
    <w:p>
      <w:pPr>
        <w:pStyle w:val="TextBody"/>
        <w:bidi w:val="0"/>
        <w:spacing w:before="240" w:after="0"/>
        <w:jc w:val="left"/>
        <w:rPr/>
      </w:pPr>
      <w:r>
        <w:rPr/>
        <w:t>“</w:t>
      </w:r>
      <w:r>
        <w:rPr>
          <w:rFonts w:ascii="Times New Roman" w:hAnsi="Times New Roman"/>
          <w:b/>
          <w:sz w:val="20"/>
        </w:rPr>
        <w:t>Tisento Shares</w:t>
      </w:r>
      <w:r>
        <w:rPr>
          <w:rFonts w:ascii="Times New Roman" w:hAnsi="Times New Roman"/>
          <w:sz w:val="20"/>
        </w:rPr>
        <w:t xml:space="preserve">” means the equity interests of Tisento owned by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 </w:t>
      </w:r>
    </w:p>
    <w:p>
      <w:pPr>
        <w:pStyle w:val="TextBody"/>
        <w:bidi w:val="0"/>
        <w:spacing w:before="24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Company Shares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each CVR Payment Date and subject to </w:t>
      </w:r>
      <w:r>
        <w:rPr>
          <w:rFonts w:ascii="Times New Roman" w:hAnsi="Times New Roman"/>
          <w:sz w:val="20"/>
          <w:u w:val="single"/>
        </w:rPr>
        <w:t>Section 4.6</w:t>
      </w:r>
      <w:r>
        <w:rPr>
          <w:rFonts w:ascii="Times New Roman" w:hAnsi="Times New Roman"/>
          <w:sz w:val="20"/>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hAnsi="Times New Roman"/>
          <w:b/>
          <w:sz w:val="20"/>
        </w:rPr>
        <w:t>CVR Payment Notice</w:t>
      </w:r>
      <w:r>
        <w:rPr>
          <w:rFonts w:ascii="Times New Roman" w:hAnsi="Times New Roman"/>
          <w:sz w:val="20"/>
        </w:rPr>
        <w:t xml:space="preserve">”), (ii) a letter of instruction setting forth, for each CVR, the CVR Payment Amount with respect thereto (including each component included in the calculation thereof) and (iii) any other letter of instruction reasonably required by the Rights Agent. On or prior to any CVR Payment Date and subject to </w:t>
      </w:r>
      <w:r>
        <w:rPr>
          <w:rFonts w:ascii="Times New Roman" w:hAnsi="Times New Roman"/>
          <w:sz w:val="20"/>
          <w:u w:val="single"/>
        </w:rPr>
        <w:t>Section 4.6</w:t>
      </w:r>
      <w:r>
        <w:rPr>
          <w:rFonts w:ascii="Times New Roman" w:hAnsi="Times New Roman"/>
          <w:sz w:val="20"/>
        </w:rPr>
        <w:t xml:space="preserve">, the Company shall deliver to the Rights Agent the CVR Payment Amounts required by </w:t>
      </w:r>
      <w:r>
        <w:rPr>
          <w:rFonts w:ascii="Times New Roman" w:hAnsi="Times New Roman"/>
          <w:sz w:val="20"/>
          <w:u w:val="single"/>
        </w:rPr>
        <w:t>Section 4.6</w:t>
      </w:r>
      <w:r>
        <w:rPr>
          <w:rFonts w:ascii="Times New Roman" w:hAnsi="Times New Roman"/>
          <w:sz w:val="20"/>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2.7</w:t>
      </w:r>
      <w:r>
        <w:rPr>
          <w:rFonts w:ascii="Times New Roman" w:hAnsi="Times New Roman"/>
          <w:sz w:val="20"/>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hAnsi="Times New Roman"/>
          <w:sz w:val="20"/>
          <w:u w:val="single"/>
        </w:rPr>
        <w:t>Section 2.7(b)</w:t>
      </w:r>
      <w:r>
        <w:rPr>
          <w:rFonts w:ascii="Times New Roman" w:hAnsi="Times New Roman"/>
          <w:sz w:val="20"/>
        </w:rPr>
        <w:t xml:space="preserve"> herein. The Rights Agent shall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responsibility or liability for any diminution of funds that may result from any deposit made by the Rights Agent in accordance with this </w:t>
      </w:r>
      <w:r>
        <w:rPr>
          <w:rFonts w:ascii="Times New Roman" w:hAnsi="Times New Roman"/>
          <w:sz w:val="20"/>
          <w:u w:val="single"/>
        </w:rPr>
        <w:t>Section 2.4(b)</w:t>
      </w:r>
      <w:r>
        <w:rPr>
          <w:rFonts w:ascii="Times New Roman" w:hAnsi="Times New Roman"/>
          <w:sz w:val="20"/>
        </w:rPr>
        <w:t xml:space="preserve">,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and that in no event shall the Company, its board of directors or its officers and Affiliates be deemed to have any fiduciary or similar duties to any Holder by virtue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hAnsi="Times New Roman"/>
          <w:sz w:val="20"/>
          <w:u w:val="single"/>
        </w:rPr>
        <w:t>Section 2.7(b)</w:t>
      </w:r>
      <w:r>
        <w:rPr>
          <w:rFonts w:ascii="Times New Roman" w:hAnsi="Times New Roman"/>
          <w:sz w:val="20"/>
        </w:rPr>
        <w:t xml:space="preserve">, the Rights Agent will (and the Company shall instruct the Rights Agent to) provide the opportunity for the Holders to provide properly completed and duly executed Internal Revenue Service Forms W-9 or applicable Form W-8, as applicable, or any other reasonably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Company Shares or any other Person for interest or earnings on any moneys held by the Rights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6.2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Representative,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No Obligations of Public Company</w:t>
      </w:r>
      <w:r>
        <w:rPr>
          <w:rFonts w:ascii="Times New Roman" w:hAnsi="Times New Roman"/>
          <w:sz w:val="20"/>
        </w:rPr>
        <w:t>. Notwithstanding anything herein to the contrary, and for the avoidance of doubt, (a)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 $50,000 (the “</w:t>
      </w:r>
      <w:r>
        <w:rPr>
          <w:rFonts w:ascii="Times New Roman" w:hAnsi="Times New Roman"/>
          <w:b/>
          <w:sz w:val="20"/>
        </w:rPr>
        <w:t>CVR Expense Cap</w:t>
      </w:r>
      <w:r>
        <w:rPr>
          <w:rFonts w:ascii="Times New Roman" w:hAnsi="Times New Roman"/>
          <w:sz w:val="20"/>
        </w:rPr>
        <w:t xml:space="preserve">”)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hAnsi="Times New Roman"/>
          <w:sz w:val="20"/>
          <w:u w:val="single"/>
        </w:rPr>
        <w:t>Section 4.4</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Representative</w:t>
      </w:r>
      <w:r>
        <w:rPr>
          <w:rFonts w:ascii="Times New Roman" w:hAnsi="Times New Roman"/>
          <w:sz w:val="20"/>
        </w:rPr>
        <w:t xml:space="preserve">. Certain Holders may enter into an engagement agreement (the “Representative Engagement Agreement”) with the 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 (A) 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 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4.6 </w:t>
      </w:r>
      <w:r>
        <w:rPr>
          <w:rFonts w:ascii="Times New Roman" w:hAnsi="Times New Roman"/>
          <w:b/>
          <w:sz w:val="20"/>
          <w:u w:val="single"/>
        </w:rPr>
        <w:t>Payment of CVR Payment Amounts</w:t>
      </w:r>
      <w:r>
        <w:rPr>
          <w:rFonts w:ascii="Times New Roman" w:hAnsi="Times New Roman"/>
          <w:sz w:val="20"/>
        </w:rPr>
        <w:t xml:space="preserve">. The Company shall, promptly following receipt of a payment of CVR Proceeds,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4.7 </w:t>
      </w:r>
      <w:r>
        <w:rPr>
          <w:rFonts w:ascii="Times New Roman" w:hAnsi="Times New Roman"/>
          <w:b/>
          <w:sz w:val="20"/>
          <w:u w:val="single"/>
        </w:rPr>
        <w:t>Prohibited Actions</w:t>
      </w:r>
      <w:r>
        <w:rPr>
          <w:rFonts w:ascii="Times New Roman" w:hAnsi="Times New Roman"/>
          <w:sz w:val="20"/>
        </w:rPr>
        <w:t xml:space="preserve">. Unless approved by the Representative (not to be unreasonably withheld, conditioned or delayed), prior to the end of the CVR Term, the Company shall not grant any lien, security interest, pledge or similar interest solely in respect of any Legacy Assets or any Net Proceeds separate and apart from any other assets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(ii) to evidence the succession of another person to the Company and the assumption of any such successor of the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Representative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0" w:after="0"/>
        <w:jc w:val="left"/>
        <w:rPr>
          <w:rFonts w:ascii="Times New Roman" w:hAnsi="Times New Roman"/>
          <w:sz w:val="20"/>
        </w:rPr>
      </w:pPr>
      <w:r>
        <w:rPr>
          <w:rFonts w:ascii="Times New Roman" w:hAnsi="Times New Roman"/>
          <w:sz w:val="20"/>
        </w:rPr>
        <w:t xml:space="preserve">[__]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Korsana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203 Crescent Street, Buildings 3/3A/4, Suite 503 </w:t>
      </w:r>
    </w:p>
    <w:p>
      <w:pPr>
        <w:pStyle w:val="TextBody"/>
        <w:bidi w:val="0"/>
        <w:spacing w:before="0" w:after="0"/>
        <w:jc w:val="left"/>
        <w:rPr>
          <w:rFonts w:ascii="Times New Roman" w:hAnsi="Times New Roman"/>
          <w:sz w:val="20"/>
        </w:rPr>
      </w:pPr>
      <w:r>
        <w:rPr>
          <w:rFonts w:ascii="Times New Roman" w:hAnsi="Times New Roman"/>
          <w:sz w:val="20"/>
        </w:rPr>
        <w:t xml:space="preserve">Waltham, Massachusetts 02453 </w:t>
      </w:r>
    </w:p>
    <w:p>
      <w:pPr>
        <w:pStyle w:val="TextBody"/>
        <w:bidi w:val="0"/>
        <w:spacing w:before="0" w:after="0"/>
        <w:jc w:val="left"/>
        <w:rPr>
          <w:rFonts w:ascii="Times New Roman" w:hAnsi="Times New Roman"/>
          <w:sz w:val="20"/>
        </w:rPr>
      </w:pPr>
      <w:r>
        <w:rPr>
          <w:rFonts w:ascii="Times New Roman" w:hAnsi="Times New Roman"/>
          <w:sz w:val="20"/>
        </w:rPr>
        <w:t xml:space="preserve">Attention: Maddy Zeylikman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maddy.zeylikman@korsana.com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One Embarcadero Center, Suite 2600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Evan Shepherd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eshepherd@gibsondunn.com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6.4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hAnsi="Times New Roman"/>
          <w:sz w:val="20"/>
          <w:u w:val="single"/>
        </w:rPr>
        <w:t>Section 6.5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6.6 </w:t>
      </w:r>
      <w:r>
        <w:rPr>
          <w:rFonts w:ascii="Times New Roman" w:hAnsi="Times New Roman"/>
          <w:b/>
          <w:sz w:val="20"/>
          <w:u w:val="single"/>
        </w:rPr>
        <w:t>Benefits of Agreement; Action by Representative</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6.8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6.9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hAnsi="Times New Roman"/>
          <w:sz w:val="20"/>
          <w:u w:val="single"/>
        </w:rPr>
        <w:t>Section 2.4</w:t>
      </w:r>
      <w:r>
        <w:rPr>
          <w:rFonts w:ascii="Times New Roman" w:hAnsi="Times New Roman"/>
          <w:sz w:val="20"/>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24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3094" w:type="dxa"/>
        <w:jc w:val="left"/>
        <w:tblInd w:w="0" w:type="dxa"/>
        <w:tblLayout w:type="fixed"/>
        <w:tblCellMar>
          <w:top w:w="0" w:type="dxa"/>
          <w:left w:w="0" w:type="dxa"/>
          <w:bottom w:w="0" w:type="dxa"/>
          <w:right w:w="0" w:type="dxa"/>
        </w:tblCellMar>
      </w:tblPr>
      <w:tblGrid>
        <w:gridCol w:w="2435"/>
        <w:gridCol w:w="291"/>
        <w:gridCol w:w="368"/>
      </w:tblGrid>
      <w:tr>
        <w:trPr/>
        <w:tc>
          <w:tcPr>
            <w:tcW w:w="24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CYCLERION THERAPEUTICS, INC.</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283"/>
              <w:jc w:val="left"/>
              <w:rPr>
                <w:sz w:val="4"/>
                <w:szCs w:val="4"/>
              </w:rPr>
            </w:pPr>
            <w:r>
              <w:rPr>
                <w:sz w:val="4"/>
                <w:szCs w:val="4"/>
              </w:rPr>
            </w:r>
          </w:p>
        </w:tc>
      </w:tr>
      <w:tr>
        <w:trPr/>
        <w:tc>
          <w:tcPr>
            <w:tcW w:w="309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659" w:type="dxa"/>
            <w:gridSpan w:val="2"/>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By:</w:t>
            </w:r>
          </w:p>
        </w:tc>
        <w:tc>
          <w:tcPr>
            <w:tcW w:w="291" w:type="dxa"/>
            <w:tcBorders>
              <w:bottom w:val="single" w:sz="6" w:space="0" w:color="000000"/>
            </w:tcBorders>
            <w:tcMar>
              <w:bottom w:w="28" w:type="dxa"/>
            </w:tcMar>
            <w:vAlign w:val="center"/>
          </w:tcPr>
          <w:p>
            <w:pPr>
              <w:pStyle w:val="TableContents"/>
              <w:bidi w:val="0"/>
              <w:spacing w:before="0" w:after="283"/>
              <w:jc w:val="left"/>
              <w:rPr/>
            </w:pPr>
            <w:r>
              <w:rPr/>
              <w:t> </w:t>
            </w:r>
          </w:p>
        </w:tc>
        <w:tc>
          <w:tcPr>
            <w:tcW w:w="36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9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1" w:name="tx111069_52"/>
      <w:bookmarkEnd w:id="191"/>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ARTICLES OF AMENDMENT TO THE RESTATED ARTICLES OF ORGANIZATION OF CYCLERION THERAPEUTICS, INC. TO DESIGNATE SERIES B PREFERRED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64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 (2) Registered o? ce address: (number, street, city or town, state, zip code) (3) Th ese articles of amendment a? ect article(s: (specify the number(s) of article(s) being amended (I-VI)) (4) Date adopted: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 cation or cancellation of issued shares. Article I is being amended and restated in its entirety to read as follows: “The exact name of the corporation is [] (the “Corporation”).” Article III is being amended to indicate that [ ] shares of Preferred Stock have been designated as Series B Non-Voting Convertible Preferred Stock, as set forth in Article IV. Article IV is being amended as set forth in Attachment IV to add the preferences, rights and limitations of Series B Non-Voting Convertible Preferred Stock.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 ling is specifi ed: *G.L. Chapter 156D eliminates the concept of par value, however a corporation may specify par value in Article III. See G.L. Chapter 156D, Section 6.21, and the comments relative thereto. Series A Convertible Preferred Series A Convertible Preferred 500,000 Series B Non-Voting Convertible Preferred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 (signature of authorized individual) ® Chairman of the board of directors, ® President, ® Other o?cer, ® Court-appointed ?duciary, on this day of , .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64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78500" cy="74764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 ling fee in the amount of $ having been paid, said articles are deemed to have been fi led with me this day of, 20 , at a.m./p.m. time E? ective date: (must be within 90 days of date submitted) WILLIAM FRANCIS GALVIN Secretary of the Commonwealth Filing fee: Minimum ? ling fee $100 per article amended, stock increases $100 per 100,000 shares, plus $100 for each additional 100,000 shares or any fraction thereof. Examiner TO BE FILLED IN BY CORPORATION Name approval Contact Information: C M Telephone: Email: Upon ? ling, a copy of this ?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Confidential </w:t>
      </w:r>
    </w:p>
    <w:p>
      <w:pPr>
        <w:pStyle w:val="TextBody"/>
        <w:bidi w:val="0"/>
        <w:spacing w:before="0" w:after="0"/>
        <w:jc w:val="right"/>
        <w:rPr>
          <w:rFonts w:ascii="Times New Roman" w:hAnsi="Times New Roman"/>
          <w:b/>
          <w:i/>
          <w:sz w:val="20"/>
        </w:rPr>
      </w:pPr>
      <w:r>
        <w:rPr>
          <w:rFonts w:ascii="Times New Roman" w:hAnsi="Times New Roman"/>
          <w:b/>
          <w:i/>
          <w:sz w:val="20"/>
        </w:rPr>
        <w:t xml:space="preserve">Final Form </w:t>
      </w:r>
    </w:p>
    <w:p>
      <w:pPr>
        <w:pStyle w:val="TextBody"/>
        <w:bidi w:val="0"/>
        <w:spacing w:before="240" w:after="0"/>
        <w:jc w:val="center"/>
        <w:rPr>
          <w:rFonts w:ascii="Times New Roman" w:hAnsi="Times New Roman"/>
          <w:b/>
          <w:sz w:val="20"/>
        </w:rPr>
      </w:pPr>
      <w:r>
        <w:rPr>
          <w:rFonts w:ascii="Times New Roman" w:hAnsi="Times New Roman"/>
          <w:b/>
          <w:sz w:val="20"/>
        </w:rPr>
        <w:t xml:space="preserve">ATTACHMENT IV </w:t>
      </w: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SERIES B CONVERTIBLE PREFERRED STOCK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245"/>
        <w:gridCol w:w="4355"/>
      </w:tblGrid>
      <w:tr>
        <w:trPr/>
        <w:tc>
          <w:tcPr>
            <w:tcW w:w="245" w:type="dxa"/>
            <w:tcBorders/>
            <w:vAlign w:val="center"/>
          </w:tcPr>
          <w:p>
            <w:pPr>
              <w:pStyle w:val="TableContents"/>
              <w:bidi w:val="0"/>
              <w:spacing w:before="0" w:after="283"/>
              <w:jc w:val="left"/>
              <w:rPr/>
            </w:pPr>
            <w:r>
              <w:rPr/>
              <w:t>E.</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Designation and Amount of Series B Preferred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Stock shall be designated as “Series B Non-Voting Convertible Preferred Stock” and the number of shares constituting the Corporation’s Series B Non-Voting Convertible Preferred Stock (the “</w:t>
      </w:r>
      <w:r>
        <w:rPr>
          <w:rFonts w:ascii="Times New Roman" w:hAnsi="Times New Roman"/>
          <w:b/>
          <w:i/>
          <w:sz w:val="20"/>
        </w:rPr>
        <w:t>Series B Non-Voting Preferred Stock</w:t>
      </w:r>
      <w:r>
        <w:rPr>
          <w:rFonts w:ascii="Times New Roman" w:hAnsi="Times New Roman"/>
          <w:sz w:val="20"/>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hAnsi="Times New Roman"/>
          <w:b/>
          <w:i/>
          <w:sz w:val="20"/>
        </w:rPr>
        <w:t>Merger Agreement</w:t>
      </w:r>
      <w:r>
        <w:rPr>
          <w:rFonts w:ascii="Times New Roman" w:hAnsi="Times New Roman"/>
          <w:sz w:val="20"/>
        </w:rPr>
        <w:t xml:space="preserve">”).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Common Stock</w:t>
      </w:r>
      <w:r>
        <w:rPr>
          <w:rFonts w:ascii="Times New Roman" w:hAnsi="Times New Roman"/>
          <w:sz w:val="20"/>
        </w:rPr>
        <w:t xml:space="preserve">” means the Corporation’s common stock, no par value, and stock of any other class of securities into which such securities may hereafter be reclassified or changed.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shares of Common Stock issuable upon conversion of the shares of Series B Non-Voting Preferred Stock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shares of Series B Non-Voting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Stock shall be designated as the Corporation’s Series B Non-Voting Convertible Preferred Stock (the “</w:t>
      </w:r>
      <w:r>
        <w:rPr>
          <w:rFonts w:ascii="Times New Roman" w:hAnsi="Times New Roman"/>
          <w:b/>
          <w:i/>
          <w:sz w:val="20"/>
        </w:rPr>
        <w:t>Series B Non-Voting Preferred Stock</w:t>
      </w:r>
      <w:r>
        <w:rPr>
          <w:rFonts w:ascii="Times New Roman" w:hAnsi="Times New Roman"/>
          <w:sz w:val="20"/>
        </w:rPr>
        <w:t xml:space="preserve">”) and the number of shares so designated shall be [__]. Each share of Series B Non-Voting Preferred Stock shall have no par value.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the Massachusetts Business Corporation Act (M.G.L. c. 156D) (“</w:t>
      </w:r>
      <w:r>
        <w:rPr>
          <w:rFonts w:ascii="Times New Roman" w:hAnsi="Times New Roman"/>
          <w:b/>
          <w:i/>
          <w:sz w:val="20"/>
        </w:rPr>
        <w:t>Mass Law</w:t>
      </w:r>
      <w:r>
        <w:rPr>
          <w:rFonts w:ascii="Times New Roman" w:hAnsi="Times New Roman"/>
          <w:sz w:val="20"/>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 (D) retain or replace the Corporation’s registered independent public accounting firm, independent compensation consultant or corporate counsel or (iv) enter into any agreement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of the foregoing. Holders of shares of Common Stock acquired upon the conversion of shares of Series B Non-Voting Preferred Stock shall be entitled to the same voting rights as each other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hAnsi="Times New Roman"/>
          <w:b/>
          <w:i/>
          <w:sz w:val="20"/>
        </w:rPr>
        <w:t>Preferred Directors</w:t>
      </w:r>
      <w:r>
        <w:rPr>
          <w:rFonts w:ascii="Times New Roman" w:hAnsi="Times New Roman"/>
          <w:sz w:val="20"/>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shares of the Series B Non-Voting Preferred Stock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Stock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The Series B Non-Voting Preferred Stock shall rank on parity with the Common Stock, the Corporation’s Series A Convertible Preferred Stock as to distributions of assets upon liquidation, dissolution or winding up of the Corporation,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dissolution or winding-up of the Corporation,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hAnsi="Times New Roman"/>
          <w:i/>
          <w:sz w:val="20"/>
        </w:rPr>
        <w:t>pari passu</w:t>
      </w:r>
      <w:r>
        <w:rPr>
          <w:rFonts w:ascii="Times New Roman" w:hAnsi="Times New Roman"/>
          <w:sz w:val="20"/>
        </w:rPr>
        <w:t xml:space="preserve"> with all holders of Common Stock,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Corporation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Corporation’s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each share of Series B Non-Voting Preferred Stock shall be 1,000 shares of Common Stock issuable upon the conversion (the “</w:t>
      </w:r>
      <w:r>
        <w:rPr>
          <w:rFonts w:ascii="Times New Roman" w:hAnsi="Times New Roman"/>
          <w:b/>
          <w:i/>
          <w:sz w:val="20"/>
        </w:rPr>
        <w:t>Conversion</w:t>
      </w:r>
      <w:r>
        <w:rPr>
          <w:rFonts w:ascii="Times New Roman" w:hAnsi="Times New Roman"/>
          <w:sz w:val="20"/>
        </w:rPr>
        <w:t xml:space="preserve">”) of each share of Series B Non-Voting Preferred Stock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Corporation shall not effect any conversion of any share of Series B Non-Voting Preferred Stock, and a Holder shall not have the right to convert any portion of the Series B Non-Voting Preferred Stock pursuant to </w:t>
      </w:r>
      <w:r>
        <w:rPr>
          <w:rFonts w:ascii="Times New Roman" w:hAnsi="Times New Roman"/>
          <w:sz w:val="20"/>
          <w:u w:val="single"/>
        </w:rPr>
        <w:t>Section 6.2</w:t>
      </w:r>
      <w:r>
        <w:rPr>
          <w:rFonts w:ascii="Times New Roman" w:hAnsi="Times New Roman"/>
          <w:sz w:val="20"/>
        </w:rPr>
        <w:t>, to the extent that, after giving effect to such attempted conversion set forth on an applicable Notice of Conversion (as defined in this Description of Rights) with respect to the Series B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Times New Roman" w:hAnsi="Times New Roman"/>
          <w:b/>
          <w:i/>
          <w:sz w:val="20"/>
        </w:rPr>
        <w:t>Attribution Parties</w:t>
      </w:r>
      <w:r>
        <w:rPr>
          <w:rFonts w:ascii="Times New Roman" w:hAnsi="Times New Roman"/>
          <w:sz w:val="20"/>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Corporation shall either: (a) deliver, or cause to be delivered, to the converting Holder a physical certificate or certificates representing the number of Conversion Shares being acquired upon the conversion of shares of Series B Non-Voting Preferred Stock, or (b) in the case of a DWAC Delivery (if so requested by the Holder), electronically transfer such Conversion Shares by crediting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Corporation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outstanding shares of Series B Non-Voting Preferred Stock. The Corporation covenants that all shares of Common Stock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Stockholder</w:t>
      </w:r>
      <w:r>
        <w:rPr>
          <w:rFonts w:ascii="Times New Roman" w:hAnsi="Times New Roman"/>
          <w:sz w:val="20"/>
        </w:rPr>
        <w:t xml:space="preserve">.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Stock Dividends and Stock Splits</w:t>
      </w:r>
      <w:r>
        <w:rPr>
          <w:rFonts w:ascii="Times New Roman" w:hAnsi="Times New Roman"/>
          <w:sz w:val="20"/>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stockholders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to which the Common Stock is effectively converted into or exchanged for other securities, cash or property (in any such case, a “</w:t>
      </w:r>
      <w:r>
        <w:rPr>
          <w:rFonts w:ascii="Times New Roman" w:hAnsi="Times New Roman"/>
          <w:b/>
          <w:i/>
          <w:sz w:val="20"/>
        </w:rPr>
        <w:t>Fundamental Transaction</w:t>
      </w:r>
      <w:r>
        <w:rPr>
          <w:rFonts w:ascii="Times New Roman" w:hAnsi="Times New Roman"/>
          <w:sz w:val="20"/>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hAnsi="Times New Roman"/>
          <w:b/>
          <w:i/>
          <w:sz w:val="20"/>
        </w:rPr>
        <w:t>Alternate Consideration</w:t>
      </w:r>
      <w:r>
        <w:rPr>
          <w:rFonts w:ascii="Times New Roman" w:hAnsi="Times New Roman"/>
          <w:sz w:val="20"/>
        </w:rPr>
        <w:t xml:space="preserv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shares of Common Stock deemed to be issued and outstanding as of a given date shall be the sum of the number of shares of Common Stock (excluding any treasury shares of the Corporation)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shares of Series B Non-Voting Preferred Stock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Stock Register</w:t>
      </w:r>
      <w:r>
        <w:rPr>
          <w:rFonts w:ascii="Times New Roman" w:hAnsi="Times New Roman"/>
          <w:sz w:val="20"/>
        </w:rPr>
        <w:t xml:space="preserve">. The Corporation shall maintain at its principal executive offices (or such other office or agency of the Corporation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Stock Certificate</w:t>
      </w:r>
      <w:r>
        <w:rPr>
          <w:rFonts w:ascii="Times New Roman" w:hAnsi="Times New Roman"/>
          <w:sz w:val="20"/>
        </w:rPr>
        <w:t xml:space="preserve">.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Stock</w:t>
      </w:r>
      <w:r>
        <w:rPr>
          <w:rFonts w:ascii="Times New Roman" w:hAnsi="Times New Roman"/>
          <w:sz w:val="20"/>
        </w:rPr>
        <w:t xml:space="preserve">.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SHARES OF SERIES B NON-VOTING CONVERTIBLE PREFERRED STOCK)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shares of Series B Non-Voting Preferred Stock indicated below, represented in book-entry form, into shares of common stock, no par value (the “</w:t>
      </w:r>
      <w:r>
        <w:rPr>
          <w:rFonts w:ascii="Times New Roman" w:hAnsi="Times New Roman"/>
          <w:b/>
          <w:i/>
          <w:sz w:val="20"/>
        </w:rPr>
        <w:t>Common Stock</w:t>
      </w:r>
      <w:r>
        <w:rPr>
          <w:rFonts w:ascii="Times New Roman" w:hAnsi="Times New Roman"/>
          <w:sz w:val="20"/>
        </w:rPr>
        <w:t>”), of Cyclerion Therapeutics, Inc., a Massachusetts corporation (the “</w:t>
      </w:r>
      <w:r>
        <w:rPr>
          <w:rFonts w:ascii="Times New Roman" w:hAnsi="Times New Roman"/>
          <w:b/>
          <w:i/>
          <w:sz w:val="20"/>
        </w:rPr>
        <w:t>Corporation</w:t>
      </w:r>
      <w:r>
        <w:rPr>
          <w:rFonts w:ascii="Times New Roman" w:hAnsi="Times New Roman"/>
          <w:sz w:val="20"/>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hAnsi="Times New Roman"/>
          <w:b/>
          <w:i/>
          <w:sz w:val="20"/>
        </w:rPr>
        <w:t>Articles of Amendment</w:t>
      </w:r>
      <w:r>
        <w:rPr>
          <w:rFonts w:ascii="Times New Roman" w:hAnsi="Times New Roman"/>
          <w:sz w:val="20"/>
        </w:rPr>
        <w:t xml:space="preserve">”) filed by the Corporation with the Secretary of the Commonwealth of Massachusetts on [__],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_____%.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6920"/>
        <w:gridCol w:w="60"/>
        <w:gridCol w:w="75"/>
      </w:tblGrid>
      <w:tr>
        <w:trPr/>
        <w:tc>
          <w:tcPr>
            <w:tcW w:w="6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to Effect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owned prior to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Series B Non-Voting Preferred Stock to be Converted: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to be Issued: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Address for delivery of physical certificates: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DWAC Delivery, please provide the following: </w:t>
      </w:r>
    </w:p>
    <w:p>
      <w:pPr>
        <w:pStyle w:val="TextBody"/>
        <w:bidi w:val="0"/>
        <w:spacing w:before="0" w:after="0"/>
        <w:jc w:val="left"/>
        <w:rPr/>
      </w:pPr>
      <w:r>
        <w:rPr/>
        <w:t> </w:t>
      </w:r>
    </w:p>
    <w:tbl>
      <w:tblPr>
        <w:tblW w:w="2795" w:type="dxa"/>
        <w:jc w:val="left"/>
        <w:tblInd w:w="0" w:type="dxa"/>
        <w:tblLayout w:type="fixed"/>
        <w:tblCellMar>
          <w:top w:w="0" w:type="dxa"/>
          <w:left w:w="0" w:type="dxa"/>
          <w:bottom w:w="0" w:type="dxa"/>
          <w:right w:w="0" w:type="dxa"/>
        </w:tblCellMar>
      </w:tblPr>
      <w:tblGrid>
        <w:gridCol w:w="2795"/>
      </w:tblGrid>
      <w:tr>
        <w:trPr/>
        <w:tc>
          <w:tcPr>
            <w:tcW w:w="279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949" w:type="dxa"/>
        <w:jc w:val="left"/>
        <w:tblInd w:w="0" w:type="dxa"/>
        <w:tblLayout w:type="fixed"/>
        <w:tblCellMar>
          <w:top w:w="0" w:type="dxa"/>
          <w:left w:w="0" w:type="dxa"/>
          <w:bottom w:w="0" w:type="dxa"/>
          <w:right w:w="0" w:type="dxa"/>
        </w:tblCellMar>
      </w:tblPr>
      <w:tblGrid>
        <w:gridCol w:w="747"/>
        <w:gridCol w:w="89"/>
        <w:gridCol w:w="113"/>
      </w:tblGrid>
      <w:tr>
        <w:trPr/>
        <w:tc>
          <w:tcPr>
            <w:tcW w:w="747"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[HOLDER]</w:t>
            </w:r>
          </w:p>
          <w:p>
            <w:pPr>
              <w:pStyle w:val="TableContents"/>
              <w:bidi w:val="0"/>
              <w:spacing w:before="0" w:after="20"/>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9" w:type="dxa"/>
            <w:tcBorders>
              <w:bottom w:val="single" w:sz="6" w:space="0" w:color="000000"/>
            </w:tcBorders>
            <w:tcMar>
              <w:bottom w:w="28" w:type="dxa"/>
            </w:tcMar>
            <w:vAlign w:val="center"/>
          </w:tcPr>
          <w:p>
            <w:pPr>
              <w:pStyle w:val="TableContents"/>
              <w:bidi w:val="0"/>
              <w:spacing w:before="0" w:after="283"/>
              <w:jc w:val="left"/>
              <w:rPr/>
            </w:pPr>
            <w:r>
              <w:rPr/>
              <w:t> </w:t>
            </w:r>
          </w:p>
        </w:tc>
        <w:tc>
          <w:tcPr>
            <w:tcW w:w="113"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2" w:name="tx111069_53"/>
      <w:bookmarkEnd w:id="192"/>
      <w:r>
        <w:rPr>
          <w:rFonts w:ascii="Times New Roman" w:hAnsi="Times New Roman"/>
          <w:b/>
          <w:sz w:val="20"/>
        </w:rPr>
        <w:t xml:space="preserve">Annex H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PC The Commonwealth of Massachusetts William Francis Galvin Secretary of the Commonwealth One Ashburton Place, Boston, Massachusetts 02108-1512 FORM MUST BE TYPED Articles of Amendment FORM MUST BE TYPED (General Laws Chapter 156D, Section 10.06; 950 CMR 113.34) (1) Exact name of corporation: Cyclerion Therapeutics, Inc. (2) Registered oﬃce address: 155 Federal Street, Boston, MA 02110 (number, street, city or town, state, zip code) (3) These articles of amendment aﬀect article(s): Article III (specify the number(s) of article(s) being amended (I-VI)) (4) Date adopted: [•], 2026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reclassification or cancellation of issued shares. Article III is being amended to increase the number of authorized shares of Common Stock shares to 700,000,000 P.C. c156ds1006950c11334 01/13/05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WITH PAR VALUE TYPE NUMBER OF SHARES TYPE NUMBER OF SHARES PAR VALUE Common 400,000,000 Preferred 99,500,000 Series A Convertible Preferred 500,000 Total authorized after amendment: WITHOUT PAR VALUE WITH PAR VALUE TYPE NUMBER OF SHARES TYPE NUMBER OF SHARES PAR VALUE Common 700,000,000 Preferred 99,500,000 Series A Convertible Preferred 500,000 (7) The amendment shall be effective at the time and on the date approved by the Division, unless a later effective date not more than 90 days from the date and time of filing is specified: *G.L. Chapter 156D eliminates the concept of par value, however a corporation may specify par value in Article III. See G.L. Chapter 156D, Section 6.21, and the comments relative thereto.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 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3" w:name="tx111069_54"/>
      <w:bookmarkEnd w:id="193"/>
      <w:r>
        <w:rPr>
          <w:rFonts w:ascii="Times New Roman" w:hAnsi="Times New Roman"/>
          <w:b/>
          <w:sz w:val="20"/>
        </w:rPr>
        <w:t xml:space="preserve">ANNEX I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747776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 The Commonwealth of Massachusetts William Francis Galvin PC Secretary of the Commonwealth One Ashburton Place, Boston, Massachusetts 02108-1512 FORM MUST BE TYPED Articles of Amendment FORM MUST BE TYPED (General Laws Chapter 156D, Section 10.06; 950 CMR 113.34) (1) Exact name of corporation:____________________________________________________________________________ (2) Registered office address:______________________________________________________________________________ (number, street, city or town, state, zip code) (3) Th ese articles of amendment aff ect article(s): ______________________________________________________________ (specify the number(s) of article(s) being amended (I-VI)) (4) Date adopted: ______________________________________________________________________________________ (month, day, year) (5) Approved by: (check appropriate box) ® the incorporators. ® the board of directors without shareholder approval and shareholder approval was not required. ® the board of directors and the shareholders in the manner required by law and the articles of organization. (6) State the article number and the text of the amendment. Unless contained in the text of the amendment, state the provisions for implementing the exchange, reclassifi cation or cancellation of issued shares. P.C. c156ds1006950c11334 01/13/05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 change the number of shares and the par value, * if any, of any type, or to designate a class or series, of stock, or change a designation of class or series of stock, which the corporation is authorized to issue, complete the following: Total authorized prior to amendment: WITHOUT PAR VALUE TYPE NUMBER OF SHARES WITH PAR VALUE TYPE NUMBER OF SHARES PAR VALUE Total authorized after amendment: WITHOUT PAR VALUE WITH PAR VALUE TYPE NUMBER OF SHARES TYPE NUMBER OF SHARES PAR VALUE (7) Th e amendment shall be eff ective at the time and on the date approved by the Division, unless a later eff ective date not more than 90 days from the date and time of filing is specifi ed: *G.L. Chapter 156D eliminates the concept of par value, however a corporation may specify par value in Article III. See G.L. Chapter 156D, Section 6.21, and the comments relative thereto.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Signed by: ___________________________________________________________________________________________, (signature of authorized individual) ® Chairman of the board of directors, ® President, ® Other oﬃ cer, ® Court-appointed fi duciary, on this _________________________day of_________________________________________ , _____________________.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47776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78500" cy="747776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COMMONWEALTH OF MASSACHUSETTS William Francis Galvin Secretary of the Commonwealth One Ashburton Place, Boston, Massachusetts 02108-1512 Articles of Amendment (General Laws Chapter 156D, Section 10.06; 950 CMR 113.34) I hereby certify that upon examination of these articles of amendment, it appears that the provisions of the General Laws relative thereto have been complied with, and the fi ling fee in the amount of $______ having been paid, said articles are deemed to have been fi led with me this _______ day of _____________, 20_____ , at _______a.m./p.m. time Eﬀ ective date:_________________________________________________ (must be within 90 days of date submitted) WILLIAM FRANCIS GALVIN Secretary of the Commonwealth Filing fee: Minimum fi ling fee $100 per article amended, stock increases $100 per 100,000 shares, plus $100 for each additional 100,000 shares or any fraction thereof. Examiner TO BE FILLED IN BY CORPORATION Name approval Contact Information: C ___________________________________________________________ M ___________________________________________________________ ___________________________________________________________ Telephone: ___________________________________________________ Email: ______________________________________________________ Upon fi ling, a copy of this fi ling will be available at www.sec.state.ma.us/cor. If the document is rejected, a copy of the rejection sheet and rejected document will be available in the rejected queue.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4" w:name="tx111069_55"/>
      <w:bookmarkEnd w:id="194"/>
      <w:r>
        <w:rPr>
          <w:rFonts w:ascii="Times New Roman" w:hAnsi="Times New Roman"/>
          <w:b/>
          <w:sz w:val="20"/>
        </w:rPr>
        <w:t xml:space="preserve">Annex J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DOMESTICATION </w:t>
      </w:r>
    </w:p>
    <w:p>
      <w:pPr>
        <w:pStyle w:val="TextBody"/>
        <w:bidi w:val="0"/>
        <w:spacing w:before="240" w:after="0"/>
        <w:jc w:val="left"/>
        <w:rPr>
          <w:rFonts w:ascii="Times New Roman" w:hAnsi="Times New Roman"/>
          <w:sz w:val="20"/>
        </w:rPr>
      </w:pPr>
      <w:r>
        <w:rPr>
          <w:rFonts w:ascii="Times New Roman" w:hAnsi="Times New Roman"/>
          <w:sz w:val="20"/>
        </w:rPr>
        <w:t>This Plan of Domestication (this “</w:t>
      </w:r>
      <w:r>
        <w:rPr>
          <w:rFonts w:ascii="Times New Roman" w:hAnsi="Times New Roman"/>
          <w:b/>
          <w:sz w:val="20"/>
        </w:rPr>
        <w:t>Plan</w:t>
      </w:r>
      <w:r>
        <w:rPr>
          <w:rFonts w:ascii="Times New Roman" w:hAnsi="Times New Roman"/>
          <w:sz w:val="20"/>
        </w:rPr>
        <w:t>”) is adopted as of [●], 2026 and sets forth certain terms of the domestication of Cyclerion Therapeutics, Inc., a Massachusetts corporation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Corporation</w:t>
      </w:r>
      <w:r>
        <w:rPr>
          <w:rFonts w:ascii="Times New Roman" w:hAnsi="Times New Roman"/>
          <w:sz w:val="20"/>
        </w:rPr>
        <w:t>”), to a Cayman Islands exempted company (the “</w:t>
      </w:r>
      <w:r>
        <w:rPr>
          <w:rFonts w:ascii="Times New Roman" w:hAnsi="Times New Roman"/>
          <w:b/>
          <w:sz w:val="20"/>
        </w:rPr>
        <w:t>Cayman Company</w:t>
      </w:r>
      <w:r>
        <w:rPr>
          <w:rFonts w:ascii="Times New Roman" w:hAnsi="Times New Roman"/>
          <w:sz w:val="20"/>
        </w:rPr>
        <w:t>”), pursuant to the terms of the Massachusetts Business Corporations Act (as amended, the “</w:t>
      </w:r>
      <w:r>
        <w:rPr>
          <w:rFonts w:ascii="Times New Roman" w:hAnsi="Times New Roman"/>
          <w:b/>
          <w:sz w:val="20"/>
        </w:rPr>
        <w:t>MBCA</w:t>
      </w:r>
      <w:r>
        <w:rPr>
          <w:rFonts w:ascii="Times New Roman" w:hAnsi="Times New Roman"/>
          <w:sz w:val="20"/>
        </w:rPr>
        <w:t>”) and Part XII of the Companies Act of the Cayman Islands (as amended, the “</w:t>
      </w:r>
      <w:r>
        <w:rPr>
          <w:rFonts w:ascii="Times New Roman" w:hAnsi="Times New Roman"/>
          <w:b/>
          <w:sz w:val="20"/>
        </w:rPr>
        <w:t>Companies Act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The Massachusetts Corporation was incorporated on September 6, 2018. </w:t>
      </w:r>
    </w:p>
    <w:p>
      <w:pPr>
        <w:pStyle w:val="TextBody"/>
        <w:bidi w:val="0"/>
        <w:spacing w:before="240" w:after="0"/>
        <w:jc w:val="left"/>
        <w:rPr>
          <w:rFonts w:ascii="Times New Roman" w:hAnsi="Times New Roman"/>
          <w:sz w:val="20"/>
        </w:rPr>
      </w:pPr>
      <w:r>
        <w:rPr>
          <w:rFonts w:ascii="Times New Roman" w:hAnsi="Times New Roman"/>
          <w:sz w:val="20"/>
        </w:rPr>
        <w:t xml:space="preserve">B. Upon the terms and subject to the conditions set forth in this Plan, and in accordance with Section 9.20 of the MBCA and Part XII of the Companies Act, the Massachusetts Corporation will be domesticated to a Cayman Company. </w:t>
      </w:r>
    </w:p>
    <w:p>
      <w:pPr>
        <w:pStyle w:val="TextBody"/>
        <w:bidi w:val="0"/>
        <w:spacing w:before="240" w:after="0"/>
        <w:jc w:val="left"/>
        <w:rPr>
          <w:rFonts w:ascii="Times New Roman" w:hAnsi="Times New Roman"/>
          <w:sz w:val="20"/>
        </w:rPr>
      </w:pPr>
      <w:r>
        <w:rPr>
          <w:rFonts w:ascii="Times New Roman" w:hAnsi="Times New Roman"/>
          <w:sz w:val="20"/>
        </w:rPr>
        <w:t>C. The Board of Directors of the Massachusetts Corporation (the “</w:t>
      </w:r>
      <w:r>
        <w:rPr>
          <w:rFonts w:ascii="Times New Roman" w:hAnsi="Times New Roman"/>
          <w:b/>
          <w:sz w:val="20"/>
        </w:rPr>
        <w:t>Board</w:t>
      </w:r>
      <w:r>
        <w:rPr>
          <w:rFonts w:ascii="Times New Roman" w:hAnsi="Times New Roman"/>
          <w:sz w:val="20"/>
        </w:rPr>
        <w:t xml:space="preserve">”) has unanimously (i) determined that the Domestication (as defined below) is advisable and in the best interests of the Massachusetts Corporation and its shareholders and recommended the approval of the Domestication by the shareholders of the Massachusetts Corporation and (ii) approved and adopted this Plan, the Domestication and the other documents and transactions contemplated by this Plan, including the Cayman Articles, the Cayman Series A Certificate of Designation, the Cayman Series B Certificate of Designation, and the Massachusetts Articles (as each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D. The shareholders of the Massachusetts Corporation have approved and adopted 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E. In connection with the Domestication, on the Effective Date (as defined below), each share of Common Stock, no par value (the “</w:t>
      </w:r>
      <w:r>
        <w:rPr>
          <w:rFonts w:ascii="Times New Roman" w:hAnsi="Times New Roman"/>
          <w:b/>
          <w:sz w:val="20"/>
        </w:rPr>
        <w:t>Massachusetts Common Stock</w:t>
      </w:r>
      <w:r>
        <w:rPr>
          <w:rFonts w:ascii="Times New Roman" w:hAnsi="Times New Roman"/>
          <w:sz w:val="20"/>
        </w:rPr>
        <w:t>”), Series A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A Preferred Stock</w:t>
      </w:r>
      <w:r>
        <w:rPr>
          <w:rFonts w:ascii="Times New Roman" w:hAnsi="Times New Roman"/>
          <w:sz w:val="20"/>
        </w:rPr>
        <w:t>”), and Series B Non-Voting Convertible Preferred Stock, no par value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Series B Preferred Stock</w:t>
      </w:r>
      <w:r>
        <w:rPr>
          <w:rFonts w:ascii="Times New Roman" w:hAnsi="Times New Roman"/>
          <w:sz w:val="20"/>
        </w:rPr>
        <w:t>”), of the Massachusetts Corporation issued and outstanding (or held in treasury) immediately prior to the Effective Date shall be converted into one Ordinary Share, par value $0.0001 per share (the “</w:t>
      </w:r>
      <w:r>
        <w:rPr>
          <w:rFonts w:ascii="Times New Roman" w:hAnsi="Times New Roman"/>
          <w:b/>
          <w:sz w:val="20"/>
        </w:rPr>
        <w:t>Cayman Ordinary Shares</w:t>
      </w:r>
      <w:r>
        <w:rPr>
          <w:rFonts w:ascii="Times New Roman" w:hAnsi="Times New Roman"/>
          <w:sz w:val="20"/>
        </w:rPr>
        <w:t>”), one Series A Preference Share, par value $0.0001 per share (the “</w:t>
      </w:r>
      <w:r>
        <w:rPr>
          <w:rFonts w:ascii="Times New Roman" w:hAnsi="Times New Roman"/>
          <w:b/>
          <w:sz w:val="20"/>
        </w:rPr>
        <w:t>Cayman Series A Preferred Shares</w:t>
      </w:r>
      <w:r>
        <w:rPr>
          <w:rFonts w:ascii="Times New Roman" w:hAnsi="Times New Roman"/>
          <w:sz w:val="20"/>
        </w:rPr>
        <w:t>”), and one Series B Preference Share, par value $0.0001 per share (the “</w:t>
      </w:r>
      <w:r>
        <w:rPr>
          <w:rFonts w:ascii="Times New Roman" w:hAnsi="Times New Roman"/>
          <w:b/>
          <w:sz w:val="20"/>
        </w:rPr>
        <w:t>Cayman Series B Preferred Shares</w:t>
      </w:r>
      <w:r>
        <w:rPr>
          <w:rFonts w:ascii="Times New Roman" w:hAnsi="Times New Roman"/>
          <w:sz w:val="20"/>
        </w:rPr>
        <w:t xml:space="preserve">”), respectively, of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F. The mode of carrying out the Domestication into effect shall be as described in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Domestication</w:t>
      </w:r>
      <w:r>
        <w:rPr>
          <w:rFonts w:ascii="Times New Roman" w:hAnsi="Times New Roman"/>
          <w:sz w:val="20"/>
        </w:rPr>
        <w:t>. On the Effective Date, the Massachusetts Corporation will be domesticated to the Cayman Company by way of continuation of the Company from a corporation organized under the laws of the Commonwealth of Massachusetts to an exempted company incorporated under the laws of the Cayman Islands, pursuant to, and in accordance with, Section 9.20 of the MBCA and Part XII of the Companies Act (the “</w:t>
      </w:r>
      <w:r>
        <w:rPr>
          <w:rFonts w:ascii="Times New Roman" w:hAnsi="Times New Roman"/>
          <w:b/>
          <w:sz w:val="20"/>
        </w:rPr>
        <w:t>Domestication</w:t>
      </w:r>
      <w:r>
        <w:rPr>
          <w:rFonts w:ascii="Times New Roman" w:hAnsi="Times New Roman"/>
          <w:sz w:val="20"/>
        </w:rPr>
        <w:t xml:space="preserve">”). The Board and the shareholders of the Massachusetts Corporation have approved and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Plan, the Domestication and the other documents and transactions contemplated by this Plan, including the Cayman Articles, the Cayman Series A Certificate of Designation, the Cayman Series B Certificate of Designation and the Massachusetts Articles.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Articles of Charter Surrender</w:t>
      </w:r>
      <w:r>
        <w:rPr>
          <w:rFonts w:ascii="Times New Roman" w:hAnsi="Times New Roman"/>
          <w:sz w:val="20"/>
        </w:rPr>
        <w:t xml:space="preserve">. The Massachusetts Corporation shall file articles of charter surrender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Articles</w:t>
      </w:r>
      <w:r>
        <w:rPr>
          <w:rFonts w:ascii="Times New Roman" w:hAnsi="Times New Roman"/>
          <w:sz w:val="20"/>
        </w:rPr>
        <w:t>”) with the Secretary of the Commonwealth of Massachusetts (the “</w:t>
      </w:r>
      <w:r>
        <w:rPr>
          <w:rFonts w:ascii="Times New Roman" w:hAnsi="Times New Roman"/>
          <w:b/>
          <w:sz w:val="20"/>
        </w:rPr>
        <w:t>Massachusetts</w:t>
      </w:r>
      <w:r>
        <w:rPr>
          <w:rFonts w:ascii="Times New Roman" w:hAnsi="Times New Roman"/>
          <w:sz w:val="20"/>
        </w:rPr>
        <w:t xml:space="preserve"> </w:t>
      </w:r>
      <w:r>
        <w:rPr>
          <w:rFonts w:ascii="Times New Roman" w:hAnsi="Times New Roman"/>
          <w:b/>
          <w:sz w:val="20"/>
        </w:rPr>
        <w:t>Secretary of State</w:t>
      </w:r>
      <w:r>
        <w:rPr>
          <w:rFonts w:ascii="Times New Roman" w:hAnsi="Times New Roman"/>
          <w:sz w:val="20"/>
        </w:rPr>
        <w:t xml:space="preserve">”) and shall file the memorandum and articles of association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Cayman Articles</w:t>
      </w:r>
      <w:r>
        <w:rPr>
          <w:rFonts w:ascii="Times New Roman" w:hAnsi="Times New Roman"/>
          <w:sz w:val="20"/>
        </w:rPr>
        <w:t xml:space="preserve">”) and any and all documents required to be filed with the Cayman Islands Registrar of Companies in connection with the Domestication and the Massachusetts Corporation or the Cayman Company, as applicable, shall make all other filings or recordings required by the MBCA or the Companies Act in connection with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Effective Date</w:t>
      </w:r>
      <w:r>
        <w:rPr>
          <w:rFonts w:ascii="Times New Roman" w:hAnsi="Times New Roman"/>
          <w:sz w:val="20"/>
        </w:rPr>
        <w:t>. The Domestication will become effective upon the filing of the Massachusetts Articles with the Massachusetts Secretary of State and the issuance of a certificate of continuation by the Cayman Islands Registrar of Companies (the “</w:t>
      </w:r>
      <w:r>
        <w:rPr>
          <w:rFonts w:ascii="Times New Roman" w:hAnsi="Times New Roman"/>
          <w:b/>
          <w:sz w:val="20"/>
        </w:rPr>
        <w:t>Cayman</w:t>
      </w:r>
      <w:r>
        <w:rPr>
          <w:rFonts w:ascii="Times New Roman" w:hAnsi="Times New Roman"/>
          <w:sz w:val="20"/>
        </w:rPr>
        <w:t xml:space="preserve"> </w:t>
      </w:r>
      <w:r>
        <w:rPr>
          <w:rFonts w:ascii="Times New Roman" w:hAnsi="Times New Roman"/>
          <w:b/>
          <w:sz w:val="20"/>
        </w:rPr>
        <w:t>Certificate of Continuation</w:t>
      </w:r>
      <w:r>
        <w:rPr>
          <w:rFonts w:ascii="Times New Roman" w:hAnsi="Times New Roman"/>
          <w:sz w:val="20"/>
        </w:rPr>
        <w:t>”) or at such later date and/or time as specified in the Massachusetts Articles and the Cayman Certificate of Continuation (the “</w:t>
      </w:r>
      <w:r>
        <w:rPr>
          <w:rFonts w:ascii="Times New Roman" w:hAnsi="Times New Roman"/>
          <w:b/>
          <w:sz w:val="20"/>
        </w:rPr>
        <w:t>Effective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ORGANIZATION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Cayman Governing Documents</w:t>
      </w:r>
      <w:r>
        <w:rPr>
          <w:rFonts w:ascii="Times New Roman" w:hAnsi="Times New Roman"/>
          <w:sz w:val="20"/>
        </w:rPr>
        <w:t xml:space="preserve">. On the Effective Date, the Cayman Articles, including the Certificate of Designation of Series A Preferred Shares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Cayman Series A Certificate of Designation</w:t>
      </w:r>
      <w:r>
        <w:rPr>
          <w:rFonts w:ascii="Times New Roman" w:hAnsi="Times New Roman"/>
          <w:sz w:val="20"/>
        </w:rPr>
        <w:t xml:space="preserve">”), the Certificate of Designation of Series B Preferred Shares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Cayman Series B Certificate of Designation,</w:t>
      </w:r>
      <w:r>
        <w:rPr>
          <w:rFonts w:ascii="Times New Roman" w:hAnsi="Times New Roman"/>
          <w:sz w:val="20"/>
        </w:rPr>
        <w:t>” and together with the Cayman Articles and the Cayman Series A Certificate of Designation, the “</w:t>
      </w:r>
      <w:r>
        <w:rPr>
          <w:rFonts w:ascii="Times New Roman" w:hAnsi="Times New Roman"/>
          <w:b/>
          <w:sz w:val="20"/>
        </w:rPr>
        <w:t>Cayman Governing Documents</w:t>
      </w:r>
      <w:r>
        <w:rPr>
          <w:rFonts w:ascii="Times New Roman" w:hAnsi="Times New Roman"/>
          <w:sz w:val="20"/>
        </w:rPr>
        <w:t xml:space="preserve">”), shall govern the Cayman Company until amended and/or restated in accordance with the Cayman Governing Documents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Directors and Officers</w:t>
      </w:r>
      <w:r>
        <w:rPr>
          <w:rFonts w:ascii="Times New Roman" w:hAnsi="Times New Roman"/>
          <w:sz w:val="20"/>
        </w:rPr>
        <w:t xml:space="preserve">. From and after the Effective Date, by virtue of the Domestication and without any further action on the part of the Massachusetts Corporation or its shareholders, the members of the Board and the officers of the Massachusetts Corporation holding their respective offices in the Massachusetts Corporation existing immediately prior to the Effective Date shall continue in their respective offices as members of the Board and officers of the Cayman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EFFECT OF THE DOMESTICATION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Effect of Domestication</w:t>
      </w:r>
      <w:r>
        <w:rPr>
          <w:rFonts w:ascii="Times New Roman" w:hAnsi="Times New Roman"/>
          <w:sz w:val="20"/>
        </w:rPr>
        <w:t xml:space="preserve">. On the Effective Date, the effect of the Domestication will be as provided by this Plan and by the applicable provisions of the MBCA and the Companies Act. Without limitation of the foregoing, for all purposes of the laws of the Commonwealth of Massachusetts and the Cayman Islands, the Cayman Company will continue as a body corporate for all purposes, as if incorporated and registered as an exempted company under and subject to the Companies Act and all of the rights, privileges, and powers of the Massachusetts Corporation, and all property, real, personal, and mixed, and all debts due to the Massachusetts Corporation, as well as all other things and causes of action belonging to the Massachusetts Corporation, shall remain vested in the Cayman Company and shall be the property of the Cayman Company, and all debts, liabilities, and duties of the Massachusetts Corporation shall remain attached to the Cayman Company, and may be enforced against the Cayman Company to the same extent as if said debts, liabilities, and duties had originally been incurred or contracted by the Cayman Company.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Domestication of Shares</w:t>
      </w:r>
      <w:r>
        <w:rPr>
          <w:rFonts w:ascii="Times New Roman" w:hAnsi="Times New Roman"/>
          <w:sz w:val="20"/>
        </w:rPr>
        <w:t xml:space="preserve">. On the Effective Date, by virtue of the Domestication and without any further action by the Massachusetts Corporation or the shareholders, (i) each share of Massachusetts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and outstanding immediately before the Effective Date shall be converted into one Cayman Ordinary Share, and all options, warrants or other entitlement to receive a share of Massachusetts Common Stock shall automatically be converted into an option, warrant or other entitlement to receive a Cayman Ordinary Share, (ii) each share of Massachusetts Series A Preferred Stock issued and outstanding immediately before the Effective Date shall be converted into one Cayman Series A Preferred Share, and all options, warrants or other entitlement to receive a share of Massachusetts Series A Preferred Stock shall automatically be converted into an option, warrant or other entitlement to receive a Cayman Series A Preferred Share, and (iii) each share of Massachusetts Series B Preferred Stock issued and outstanding immediately before the Effective Date shall be converted into one Cayman Series B Preferred Share, and all options, warrants or other entitlement to receive a share of Massachusetts Series B Preferred Stock shall automatically be converted into an option, warrant or other entitlement to receive a Cayman Series B Preferred Share.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Abandonment or Amendment</w:t>
      </w:r>
      <w:r>
        <w:rPr>
          <w:rFonts w:ascii="Times New Roman" w:hAnsi="Times New Roman"/>
          <w:sz w:val="20"/>
        </w:rPr>
        <w:t xml:space="preserve">. At any time prior to the filing of the Massachusetts Articles with the Massachusetts Secretary of State, the Massachusetts Corporation may abandon the proposed Domestication and terminate this Plan to the extent permitted by law or may amend this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Captions</w:t>
      </w:r>
      <w:r>
        <w:rPr>
          <w:rFonts w:ascii="Times New Roman" w:hAnsi="Times New Roman"/>
          <w:sz w:val="20"/>
        </w:rPr>
        <w:t xml:space="preserve">. The captions in this Plan are for convenience only and shall not be considered a part, or to affect the construction or interpretation, of any provision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Tax Reporting</w:t>
      </w:r>
      <w:r>
        <w:rPr>
          <w:rFonts w:ascii="Times New Roman" w:hAnsi="Times New Roman"/>
          <w:sz w:val="20"/>
        </w:rPr>
        <w:t>. The Domestication is intended to be a “reorganization” for purposes of Section 368(a) of the Internal Revenue Code of 1986, as amended (the “</w:t>
      </w:r>
      <w:r>
        <w:rPr>
          <w:rFonts w:ascii="Times New Roman" w:hAnsi="Times New Roman"/>
          <w:b/>
          <w:sz w:val="20"/>
        </w:rPr>
        <w:t>Code</w:t>
      </w:r>
      <w:r>
        <w:rPr>
          <w:rFonts w:ascii="Times New Roman" w:hAnsi="Times New Roman"/>
          <w:sz w:val="20"/>
        </w:rPr>
        <w:t xml:space="preserve">”), and this Plan of Domestication is hereby adopted as a “plan of reorganization” for purposes of Section 368(a)(1)(F) of the Code.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Governing Law</w:t>
      </w:r>
      <w:r>
        <w:rPr>
          <w:rFonts w:ascii="Times New Roman" w:hAnsi="Times New Roman"/>
          <w:sz w:val="20"/>
        </w:rPr>
        <w:t xml:space="preserve">. This Plan shall be governed by, and construed and interpreted in accordance with, the laws of the State of Massachusetts.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Plan has been executed on behalf of the Massachusetts Corporation by its officers thereunto duly authorized, all as of the date set forth above. </w:t>
      </w:r>
    </w:p>
    <w:p>
      <w:pPr>
        <w:pStyle w:val="TextBody"/>
        <w:bidi w:val="0"/>
        <w:spacing w:before="0" w:after="0"/>
        <w:jc w:val="left"/>
        <w:rPr/>
      </w:pPr>
      <w:r>
        <w:rPr/>
        <w:t> </w:t>
      </w:r>
    </w:p>
    <w:tbl>
      <w:tblPr>
        <w:tblW w:w="3933" w:type="dxa"/>
        <w:jc w:val="left"/>
        <w:tblInd w:w="0" w:type="dxa"/>
        <w:tblLayout w:type="fixed"/>
        <w:tblCellMar>
          <w:top w:w="0" w:type="dxa"/>
          <w:left w:w="0" w:type="dxa"/>
          <w:bottom w:w="0" w:type="dxa"/>
          <w:right w:w="0" w:type="dxa"/>
        </w:tblCellMar>
      </w:tblPr>
      <w:tblGrid>
        <w:gridCol w:w="3215"/>
        <w:gridCol w:w="318"/>
        <w:gridCol w:w="400"/>
      </w:tblGrid>
      <w:tr>
        <w:trPr/>
        <w:tc>
          <w:tcPr>
            <w:tcW w:w="32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pPr>
            <w:r>
              <w:rPr/>
              <w:t>CYCLERION THERAPEUTICS, INC.</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By:</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Name:</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Title:</w:t>
            </w:r>
          </w:p>
        </w:tc>
        <w:tc>
          <w:tcPr>
            <w:tcW w:w="318" w:type="dxa"/>
            <w:tcBorders>
              <w:bottom w:val="single" w:sz="6" w:space="0" w:color="000000"/>
            </w:tcBorders>
            <w:tcMar>
              <w:bottom w:w="28" w:type="dxa"/>
            </w:tcMar>
            <w:vAlign w:val="center"/>
          </w:tcPr>
          <w:p>
            <w:pPr>
              <w:pStyle w:val="TableContents"/>
              <w:bidi w:val="0"/>
              <w:spacing w:before="0" w:after="283"/>
              <w:jc w:val="left"/>
              <w:rPr/>
            </w:pPr>
            <w:r>
              <w:rPr/>
              <w:t> </w:t>
            </w:r>
          </w:p>
        </w:tc>
        <w:tc>
          <w:tcPr>
            <w:tcW w:w="40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MASSACHUSETTS ARTICLES OF CHARTER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MEMORANDUM AND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A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120" w:after="0"/>
        <w:jc w:val="center"/>
        <w:rPr>
          <w:rFonts w:ascii="Times New Roman" w:hAnsi="Times New Roman"/>
          <w:sz w:val="20"/>
        </w:rPr>
      </w:pPr>
      <w:r>
        <w:rPr>
          <w:rFonts w:ascii="Times New Roman" w:hAnsi="Times New Roman"/>
          <w:sz w:val="20"/>
        </w:rPr>
        <w:t xml:space="preserve">CAYMAN ISLANDS SERIES B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5" w:name="tx111069_56"/>
      <w:bookmarkEnd w:id="195"/>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0"/>
        </w:rPr>
      </w:pPr>
      <w:r>
        <w:rPr>
          <w:rFonts w:ascii="Times New Roman" w:hAnsi="Times New Roman"/>
          <w:b/>
          <w:sz w:val="4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215"/>
        <w:gridCol w:w="5990"/>
      </w:tblGrid>
      <w:tr>
        <w:trPr/>
        <w:tc>
          <w:tcPr>
            <w:tcW w:w="215" w:type="dxa"/>
            <w:tcBorders/>
            <w:vAlign w:val="center"/>
          </w:tcPr>
          <w:p>
            <w:pPr>
              <w:pStyle w:val="TableContents"/>
              <w:bidi w:val="0"/>
              <w:spacing w:before="0" w:after="283"/>
              <w:jc w:val="left"/>
              <w:rPr/>
            </w:pPr>
            <w:r>
              <w:rPr/>
              <w:t>1.</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name of the company is Korsana Biosciences, Inc. (the “</w:t>
            </w:r>
            <w:r>
              <w:rPr>
                <w:rFonts w:ascii="Times New Roman" w:hAnsi="Times New Roman"/>
                <w:b/>
                <w:sz w:val="20"/>
              </w:rPr>
              <w:t>Company</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2.</w:t>
            </w:r>
          </w:p>
        </w:tc>
        <w:tc>
          <w:tcPr>
            <w:tcW w:w="100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will be situated at the offices of Walkers Corporate Limited, 190 Elgin Avenue, George Town, Grand Cayman KY1-9008, Cayman Islands or at such other location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objects for which the Company is established are unrestricted and the Company shall have full power and authority to carry out any object not prohibited by any law as provided by Section 7(4) of the Companies Act (as amended) of the Cayman Islands (the “</w:t>
            </w:r>
            <w:r>
              <w:rPr>
                <w:rFonts w:ascii="Times New Roman" w:hAnsi="Times New Roman"/>
                <w:b/>
                <w:sz w:val="20"/>
              </w:rPr>
              <w:t>Companies Act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and be capable of exercising all the functions of a natural person of full capacity irrespective of any question of corporate benefit as provided by Section 27(2) of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5.</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Pr>
            <w:r>
              <w:rPr/>
              <w:t>6.</w:t>
            </w:r>
          </w:p>
        </w:tc>
        <w:tc>
          <w:tcPr>
            <w:tcW w:w="99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the shareholders of the Company is limited to the amount, if any, unpaid on the shares respectively held by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7.</w:t>
            </w:r>
          </w:p>
        </w:tc>
        <w:tc>
          <w:tcPr>
            <w:tcW w:w="100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authorised share capital of the Company is </w:t>
            </w:r>
            <w:r>
              <w:rPr>
                <w:rFonts w:ascii="Times New Roman" w:hAnsi="Times New Roman"/>
                <w:b/>
                <w:sz w:val="20"/>
              </w:rPr>
              <w:t xml:space="preserve">US$80,000 </w:t>
            </w:r>
            <w:r>
              <w:rPr>
                <w:rFonts w:ascii="Times New Roman" w:hAnsi="Times New Roman"/>
                <w:sz w:val="20"/>
              </w:rPr>
              <w:t xml:space="preserve">divided into </w:t>
            </w:r>
            <w:r>
              <w:rPr>
                <w:rFonts w:ascii="Times New Roman" w:hAnsi="Times New Roman"/>
                <w:b/>
                <w:sz w:val="20"/>
              </w:rPr>
              <w:t>700,000,000</w:t>
            </w:r>
            <w:r>
              <w:rPr>
                <w:rFonts w:ascii="Times New Roman" w:hAnsi="Times New Roman"/>
                <w:sz w:val="20"/>
              </w:rPr>
              <w:t xml:space="preserve"> </w:t>
            </w:r>
            <w:r>
              <w:rPr>
                <w:rFonts w:ascii="Times New Roman" w:hAnsi="Times New Roman"/>
                <w:b/>
                <w:sz w:val="20"/>
              </w:rPr>
              <w:t>ordinary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and </w:t>
            </w:r>
            <w:r>
              <w:rPr>
                <w:rFonts w:ascii="Times New Roman" w:hAnsi="Times New Roman"/>
                <w:b/>
                <w:sz w:val="20"/>
              </w:rPr>
              <w:t>100,000,000</w:t>
            </w:r>
            <w:r>
              <w:rPr>
                <w:rFonts w:ascii="Times New Roman" w:hAnsi="Times New Roman"/>
                <w:sz w:val="20"/>
              </w:rPr>
              <w:t xml:space="preserve"> </w:t>
            </w:r>
            <w:r>
              <w:rPr>
                <w:rFonts w:ascii="Times New Roman" w:hAnsi="Times New Roman"/>
                <w:b/>
                <w:sz w:val="20"/>
              </w:rPr>
              <w:t>preferred shares</w:t>
            </w:r>
            <w:r>
              <w:rPr>
                <w:rFonts w:ascii="Times New Roman" w:hAnsi="Times New Roman"/>
                <w:sz w:val="20"/>
              </w:rPr>
              <w:t xml:space="preserve"> of a nominal or par value of </w:t>
            </w:r>
            <w:r>
              <w:rPr>
                <w:rFonts w:ascii="Times New Roman" w:hAnsi="Times New Roman"/>
                <w:b/>
                <w:sz w:val="20"/>
              </w:rPr>
              <w:t>US$0.0001</w:t>
            </w:r>
            <w:r>
              <w:rPr>
                <w:rFonts w:ascii="Times New Roman" w:hAnsi="Times New Roman"/>
                <w:sz w:val="20"/>
              </w:rPr>
              <w:t xml:space="preserve"> each provided always that subject to the Companies Act and the Articles of Association the Company shall have power to redeem or purchase any of its shares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exercise the power contained in Section 206 of the Companies Act to deregister in the Cayman Islands and be registered by way of continuation in some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48"/>
        </w:rPr>
      </w:pPr>
      <w:r>
        <w:rPr>
          <w:rFonts w:ascii="Times New Roman" w:hAnsi="Times New Roman"/>
          <w:b/>
          <w:sz w:val="48"/>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_______ AND EFFECTIVE AS OF _______) </w:t>
      </w:r>
    </w:p>
    <w:p>
      <w:pPr>
        <w:pStyle w:val="TextBody"/>
        <w:bidi w:val="0"/>
        <w:spacing w:before="0" w:after="0"/>
        <w:jc w:val="center"/>
        <w:rPr/>
      </w:pPr>
      <w:r>
        <w:rPr/>
        <w:drawing>
          <wp:inline distT="0" distB="0" distL="0" distR="0">
            <wp:extent cx="2719070" cy="8750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719070" cy="8750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REF: ME/KG/K2900-202379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465"/>
        <w:gridCol w:w="120"/>
        <w:gridCol w:w="124"/>
        <w:gridCol w:w="571"/>
        <w:gridCol w:w="75"/>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rPr>
            </w:pPr>
            <w:r>
              <w:rPr>
                <w:b/>
              </w:rPr>
              <w:t>CLAUSE</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1">
              <w:r>
                <w:rPr>
                  <w:rStyle w:val="InternetLink"/>
                  <w:rFonts w:ascii="Times New Roman" w:hAnsi="Times New Roman"/>
                  <w:sz w:val="20"/>
                </w:rPr>
                <w:t>TABLE A</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2">
              <w:r>
                <w:rPr>
                  <w:rStyle w:val="InternetLink"/>
                  <w:rFonts w:ascii="Times New Roman" w:hAnsi="Times New Roman"/>
                  <w:sz w:val="20"/>
                </w:rPr>
                <w:t>INTERPRETATION</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K-5</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3">
              <w:r>
                <w:rPr>
                  <w:rStyle w:val="InternetLink"/>
                  <w:rFonts w:ascii="Times New Roman" w:hAnsi="Times New Roman"/>
                  <w:sz w:val="20"/>
                </w:rPr>
                <w:t>PRELIMINARY</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K-8</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0"/>
              <w:jc w:val="left"/>
              <w:rPr/>
            </w:pPr>
            <w:hyperlink w:anchor="anxi111069_4">
              <w:r>
                <w:rPr>
                  <w:rStyle w:val="InternetLink"/>
                  <w:rFonts w:ascii="Times New Roman" w:hAnsi="Times New Roman"/>
                  <w:sz w:val="20"/>
                </w:rPr>
                <w:t>SHAREHOLDER MEETINGS</w:t>
              </w:r>
            </w:hyperlink>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K-9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AMENDED)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LIMITED BY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SPECIAL RESOLUTION PASSED ON      AND EFFECTIVE AS OF     ) </w:t>
      </w:r>
    </w:p>
    <w:p>
      <w:pPr>
        <w:pStyle w:val="TextBody"/>
        <w:bidi w:val="0"/>
        <w:spacing w:before="240" w:after="0"/>
        <w:jc w:val="center"/>
        <w:rPr>
          <w:rFonts w:ascii="Times New Roman" w:hAnsi="Times New Roman"/>
          <w:b/>
          <w:sz w:val="20"/>
        </w:rPr>
      </w:pPr>
      <w:bookmarkStart w:id="196" w:name="anxi111069_1"/>
      <w:bookmarkEnd w:id="196"/>
      <w:r>
        <w:rPr>
          <w:rFonts w:ascii="Times New Roman" w:hAnsi="Times New Roman"/>
          <w:b/>
          <w:sz w:val="20"/>
        </w:rPr>
        <w:t xml:space="preserve">TABLE A </w:t>
      </w:r>
    </w:p>
    <w:p>
      <w:pPr>
        <w:pStyle w:val="TextBody"/>
        <w:bidi w:val="0"/>
        <w:spacing w:before="120" w:after="0"/>
        <w:jc w:val="left"/>
        <w:rPr>
          <w:rFonts w:ascii="Times New Roman" w:hAnsi="Times New Roman"/>
          <w:sz w:val="20"/>
        </w:rPr>
      </w:pPr>
      <w:r>
        <w:rPr>
          <w:rFonts w:ascii="Times New Roman" w:hAnsi="Times New Roman"/>
          <w:sz w:val="20"/>
        </w:rPr>
        <w:t>The Regulations contained or incorporated in Table ‘A’ in the First Schedule of the Companies Act shall not apply to Korsana Biosciences, Inc. (the “</w:t>
      </w:r>
      <w:r>
        <w:rPr>
          <w:rFonts w:ascii="Times New Roman" w:hAnsi="Times New Roman"/>
          <w:b/>
          <w:sz w:val="20"/>
        </w:rPr>
        <w:t>Company</w:t>
      </w:r>
      <w:r>
        <w:rPr>
          <w:rFonts w:ascii="Times New Roman" w:hAnsi="Times New Roman"/>
          <w:sz w:val="20"/>
        </w:rPr>
        <w:t xml:space="preserve">”) and the following Articles shall comprise the Articles of Association of the Company. </w:t>
      </w:r>
    </w:p>
    <w:p>
      <w:pPr>
        <w:pStyle w:val="TextBody"/>
        <w:bidi w:val="0"/>
        <w:spacing w:before="480" w:after="0"/>
        <w:jc w:val="center"/>
        <w:rPr>
          <w:rFonts w:ascii="Times New Roman" w:hAnsi="Times New Roman"/>
          <w:b/>
          <w:sz w:val="20"/>
        </w:rPr>
      </w:pPr>
      <w:bookmarkStart w:id="197" w:name="anxi111069_2"/>
      <w:bookmarkEnd w:id="197"/>
      <w:r>
        <w:rPr>
          <w:rFonts w:ascii="Times New Roman" w:hAnsi="Times New Roman"/>
          <w:b/>
          <w:sz w:val="20"/>
        </w:rPr>
        <w:t xml:space="preserve">INTERPRETATION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the following defined terms will have the meanings ascribed to them, if not inconsistent with the subject or context: </w:t>
            </w:r>
          </w:p>
        </w:tc>
      </w:tr>
    </w:tbl>
    <w:p>
      <w:pPr>
        <w:pStyle w:val="TextBody"/>
        <w:bidi w:val="0"/>
        <w:spacing w:before="120" w:after="0"/>
        <w:jc w:val="left"/>
        <w:rPr/>
      </w:pPr>
      <w:r>
        <w:rPr/>
        <w:t>“</w:t>
      </w:r>
      <w:r>
        <w:rPr>
          <w:rFonts w:ascii="Times New Roman" w:hAnsi="Times New Roman"/>
          <w:b/>
          <w:sz w:val="20"/>
        </w:rPr>
        <w:t>Articles</w:t>
      </w:r>
      <w:r>
        <w:rPr>
          <w:rFonts w:ascii="Times New Roman" w:hAnsi="Times New Roman"/>
          <w:sz w:val="20"/>
        </w:rPr>
        <w:t xml:space="preserve">” means these articles of association of the Company, as amended or substituted from time to time. </w:t>
      </w:r>
    </w:p>
    <w:p>
      <w:pPr>
        <w:pStyle w:val="TextBody"/>
        <w:bidi w:val="0"/>
        <w:spacing w:before="120" w:after="0"/>
        <w:jc w:val="left"/>
        <w:rPr/>
      </w:pPr>
      <w:r>
        <w:rPr/>
        <w:t>“</w:t>
      </w:r>
      <w:r>
        <w:rPr>
          <w:rFonts w:ascii="Times New Roman" w:hAnsi="Times New Roman"/>
          <w:b/>
          <w:sz w:val="20"/>
        </w:rPr>
        <w:t xml:space="preserve">Attorney” </w:t>
      </w:r>
      <w:r>
        <w:rPr>
          <w:rFonts w:ascii="Times New Roman" w:hAnsi="Times New Roman"/>
          <w:sz w:val="20"/>
        </w:rPr>
        <w:t xml:space="preserve">has the meaning given to it in Article 65. </w:t>
      </w:r>
    </w:p>
    <w:p>
      <w:pPr>
        <w:pStyle w:val="TextBody"/>
        <w:bidi w:val="0"/>
        <w:spacing w:before="120" w:after="0"/>
        <w:jc w:val="left"/>
        <w:rPr/>
      </w:pPr>
      <w:r>
        <w:rPr/>
        <w:t>“</w:t>
      </w:r>
      <w:r>
        <w:rPr>
          <w:rFonts w:ascii="Times New Roman" w:hAnsi="Times New Roman"/>
          <w:b/>
          <w:sz w:val="20"/>
        </w:rPr>
        <w:t>Audit Committee</w:t>
      </w:r>
      <w:r>
        <w:rPr>
          <w:rFonts w:ascii="Times New Roman" w:hAnsi="Times New Roman"/>
          <w:sz w:val="20"/>
        </w:rPr>
        <w:t xml:space="preserve">” means the audit committee of the Company formed pursuant to Article 133 hereof, or any successor audit committee. </w:t>
      </w:r>
    </w:p>
    <w:p>
      <w:pPr>
        <w:pStyle w:val="TextBody"/>
        <w:bidi w:val="0"/>
        <w:spacing w:before="120" w:after="0"/>
        <w:jc w:val="left"/>
        <w:rPr/>
      </w:pPr>
      <w:r>
        <w:rPr/>
        <w:t>“</w:t>
      </w:r>
      <w:r>
        <w:rPr>
          <w:rFonts w:ascii="Times New Roman" w:hAnsi="Times New Roman"/>
          <w:b/>
          <w:sz w:val="20"/>
        </w:rPr>
        <w:t>Authorised Signatory</w:t>
      </w:r>
      <w:r>
        <w:rPr>
          <w:rFonts w:ascii="Times New Roman" w:hAnsi="Times New Roman"/>
          <w:sz w:val="20"/>
        </w:rPr>
        <w:t xml:space="preserve">” has the meaning given to it in Article 65. </w:t>
      </w:r>
    </w:p>
    <w:p>
      <w:pPr>
        <w:pStyle w:val="TextBody"/>
        <w:bidi w:val="0"/>
        <w:spacing w:before="120" w:after="0"/>
        <w:jc w:val="left"/>
        <w:rPr/>
      </w:pPr>
      <w:r>
        <w:rPr/>
        <w:t>“</w:t>
      </w:r>
      <w:r>
        <w:rPr>
          <w:rFonts w:ascii="Times New Roman" w:hAnsi="Times New Roman"/>
          <w:b/>
          <w:sz w:val="20"/>
        </w:rPr>
        <w:t>Branch Register</w:t>
      </w:r>
      <w:r>
        <w:rPr>
          <w:rFonts w:ascii="Times New Roman" w:hAnsi="Times New Roman"/>
          <w:sz w:val="20"/>
        </w:rPr>
        <w:t xml:space="preserve">” means any branch Register of such category or categories of Shareholders as the Company may from time to time determine. </w:t>
      </w:r>
    </w:p>
    <w:p>
      <w:pPr>
        <w:pStyle w:val="TextBody"/>
        <w:bidi w:val="0"/>
        <w:spacing w:before="12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a Sunday or a U.S. Federal Holiday or a day on which banking institutions or trust companies are authorised or obligated by law to close in the United States. </w:t>
      </w:r>
    </w:p>
    <w:p>
      <w:pPr>
        <w:pStyle w:val="TextBody"/>
        <w:bidi w:val="0"/>
        <w:spacing w:before="120" w:after="0"/>
        <w:jc w:val="left"/>
        <w:rPr/>
      </w:pPr>
      <w:r>
        <w:rPr/>
        <w:t>“</w:t>
      </w:r>
      <w:r>
        <w:rPr>
          <w:rFonts w:ascii="Times New Roman" w:hAnsi="Times New Roman"/>
          <w:b/>
          <w:sz w:val="20"/>
        </w:rPr>
        <w:t>Certificate of Designation</w:t>
      </w:r>
      <w:r>
        <w:rPr>
          <w:rFonts w:ascii="Times New Roman" w:hAnsi="Times New Roman"/>
          <w:sz w:val="20"/>
        </w:rPr>
        <w:t xml:space="preserve">” means a certificate of designation of preferences, rights and limitations with respect to any Class of Preferred Shares (as may be amended from time to time). </w:t>
      </w:r>
    </w:p>
    <w:p>
      <w:pPr>
        <w:pStyle w:val="TextBody"/>
        <w:bidi w:val="0"/>
        <w:spacing w:before="120" w:after="0"/>
        <w:jc w:val="left"/>
        <w:rPr/>
      </w:pPr>
      <w:r>
        <w:rPr/>
        <w:t>“</w:t>
      </w:r>
      <w:r>
        <w:rPr>
          <w:rFonts w:ascii="Times New Roman" w:hAnsi="Times New Roman"/>
          <w:b/>
          <w:sz w:val="20"/>
        </w:rPr>
        <w:t>Class</w:t>
      </w:r>
      <w:r>
        <w:rPr>
          <w:rFonts w:ascii="Times New Roman" w:hAnsi="Times New Roman"/>
          <w:sz w:val="20"/>
        </w:rPr>
        <w:t>” or “</w:t>
      </w:r>
      <w:r>
        <w:rPr>
          <w:rFonts w:ascii="Times New Roman" w:hAnsi="Times New Roman"/>
          <w:b/>
          <w:sz w:val="20"/>
        </w:rPr>
        <w:t>Classes</w:t>
      </w:r>
      <w:r>
        <w:rPr>
          <w:rFonts w:ascii="Times New Roman" w:hAnsi="Times New Roman"/>
          <w:sz w:val="20"/>
        </w:rPr>
        <w:t xml:space="preserve">” means any class or classes of Shares as may from time to time be issued by the Company. </w:t>
      </w:r>
    </w:p>
    <w:p>
      <w:pPr>
        <w:pStyle w:val="TextBody"/>
        <w:bidi w:val="0"/>
        <w:spacing w:before="120" w:after="0"/>
        <w:jc w:val="left"/>
        <w:rPr/>
      </w:pPr>
      <w:r>
        <w:rPr/>
        <w:t>“</w:t>
      </w:r>
      <w:r>
        <w:rPr>
          <w:rFonts w:ascii="Times New Roman" w:hAnsi="Times New Roman"/>
          <w:b/>
          <w:sz w:val="20"/>
        </w:rPr>
        <w:t>Companies Act</w:t>
      </w:r>
      <w:r>
        <w:rPr>
          <w:rFonts w:ascii="Times New Roman" w:hAnsi="Times New Roman"/>
          <w:sz w:val="20"/>
        </w:rPr>
        <w:t xml:space="preserve">” means the Companies Act (as amended) of the Cayman Islands. </w:t>
      </w:r>
    </w:p>
    <w:p>
      <w:pPr>
        <w:pStyle w:val="TextBody"/>
        <w:bidi w:val="0"/>
        <w:spacing w:before="120" w:after="0"/>
        <w:jc w:val="left"/>
        <w:rPr/>
      </w:pPr>
      <w:r>
        <w:rPr/>
        <w:t>“</w:t>
      </w:r>
      <w:r>
        <w:rPr>
          <w:rFonts w:ascii="Times New Roman" w:hAnsi="Times New Roman"/>
          <w:b/>
          <w:sz w:val="20"/>
        </w:rPr>
        <w:t>Designated Stock Exchange</w:t>
      </w:r>
      <w:r>
        <w:rPr>
          <w:rFonts w:ascii="Times New Roman" w:hAnsi="Times New Roman"/>
          <w:sz w:val="20"/>
        </w:rPr>
        <w:t xml:space="preserve">” means any national securities exchange or automated quotation system on which the Company’s securities are listed for trading, including but not limited to The Nasdaq Stock Market LLC, The NYSE MKT LLC, The New York Stock Exchange LLC or any OTC market. </w:t>
      </w:r>
    </w:p>
    <w:p>
      <w:pPr>
        <w:pStyle w:val="TextBody"/>
        <w:bidi w:val="0"/>
        <w:spacing w:before="120" w:after="0"/>
        <w:jc w:val="left"/>
        <w:rPr/>
      </w:pPr>
      <w:r>
        <w:rPr/>
        <w:t>“</w:t>
      </w:r>
      <w:r>
        <w:rPr>
          <w:rFonts w:ascii="Times New Roman" w:hAnsi="Times New Roman"/>
          <w:b/>
          <w:sz w:val="20"/>
        </w:rPr>
        <w:t>Director 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Directors</w:t>
      </w:r>
      <w:r>
        <w:rPr>
          <w:rFonts w:ascii="Times New Roman" w:hAnsi="Times New Roman"/>
          <w:sz w:val="20"/>
        </w:rPr>
        <w:t xml:space="preserve">” means the directors of the Company for the time being, or as the case may be, the directors assembled as a board or as a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electronic meeting</w:t>
      </w:r>
      <w:r>
        <w:rPr>
          <w:rFonts w:ascii="Times New Roman" w:hAnsi="Times New Roman"/>
          <w:sz w:val="20"/>
        </w:rPr>
        <w:t xml:space="preserve">” means an annual general meeting or a general meeting held and conducted wholly and exclusively by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Electronic Transactions Act</w:t>
      </w:r>
      <w:r>
        <w:rPr>
          <w:rFonts w:ascii="Times New Roman" w:hAnsi="Times New Roman"/>
          <w:sz w:val="20"/>
        </w:rPr>
        <w:t xml:space="preserve">” means the Electronic Transactions Act (as amended) of the Cayman Islands.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hybrid meeting</w:t>
      </w:r>
      <w:r>
        <w:rPr>
          <w:rFonts w:ascii="Times New Roman" w:hAnsi="Times New Roman"/>
          <w:sz w:val="20"/>
        </w:rPr>
        <w:t xml:space="preserve">” means an annual general meeting or a general meeting held and conducted by (i) physical attendance by Shareholders and/or proxies and (ii) virtual attendance and participation by Shareholders and/or proxies by means of electronic facilities. </w:t>
      </w:r>
    </w:p>
    <w:p>
      <w:pPr>
        <w:pStyle w:val="TextBody"/>
        <w:bidi w:val="0"/>
        <w:spacing w:before="120" w:after="0"/>
        <w:jc w:val="left"/>
        <w:rPr/>
      </w:pPr>
      <w:r>
        <w:rPr/>
        <w:t>“</w:t>
      </w:r>
      <w:r>
        <w:rPr>
          <w:rFonts w:ascii="Times New Roman" w:hAnsi="Times New Roman"/>
          <w:b/>
          <w:sz w:val="20"/>
        </w:rPr>
        <w:t>Indemnified Person</w:t>
      </w:r>
      <w:r>
        <w:rPr>
          <w:rFonts w:ascii="Times New Roman" w:hAnsi="Times New Roman"/>
          <w:sz w:val="20"/>
        </w:rPr>
        <w:t xml:space="preserve">” has the meaning given to it in Article 116. </w:t>
      </w:r>
    </w:p>
    <w:p>
      <w:pPr>
        <w:pStyle w:val="TextBody"/>
        <w:bidi w:val="0"/>
        <w:spacing w:before="120" w:after="0"/>
        <w:jc w:val="left"/>
        <w:rPr/>
      </w:pPr>
      <w:r>
        <w:rPr/>
        <w:t>“</w:t>
      </w:r>
      <w:r>
        <w:rPr>
          <w:rFonts w:ascii="Times New Roman" w:hAnsi="Times New Roman"/>
          <w:b/>
          <w:sz w:val="20"/>
        </w:rPr>
        <w:t>Material Ownership Interests</w:t>
      </w:r>
      <w:r>
        <w:rPr>
          <w:rFonts w:ascii="Times New Roman" w:hAnsi="Times New Roman"/>
          <w:sz w:val="20"/>
        </w:rPr>
        <w:t xml:space="preserve">” has the meaning given to in Article 10(c). </w:t>
      </w:r>
    </w:p>
    <w:p>
      <w:pPr>
        <w:pStyle w:val="TextBody"/>
        <w:bidi w:val="0"/>
        <w:spacing w:before="120" w:after="0"/>
        <w:jc w:val="left"/>
        <w:rPr/>
      </w:pPr>
      <w:r>
        <w:rPr/>
        <w:t>“</w:t>
      </w:r>
      <w:r>
        <w:rPr>
          <w:rFonts w:ascii="Times New Roman" w:hAnsi="Times New Roman"/>
          <w:b/>
          <w:sz w:val="20"/>
        </w:rPr>
        <w:t>Memorandum of Association</w:t>
      </w:r>
      <w:r>
        <w:rPr>
          <w:rFonts w:ascii="Times New Roman" w:hAnsi="Times New Roman"/>
          <w:sz w:val="20"/>
        </w:rPr>
        <w:t xml:space="preserve">” means the memorandum of association of the Company, as amended or substituted from time to time. </w:t>
      </w:r>
    </w:p>
    <w:p>
      <w:pPr>
        <w:pStyle w:val="TextBody"/>
        <w:bidi w:val="0"/>
        <w:spacing w:before="120" w:after="0"/>
        <w:jc w:val="left"/>
        <w:rPr/>
      </w:pPr>
      <w:r>
        <w:rPr/>
        <w:t>“</w:t>
      </w:r>
      <w:r>
        <w:rPr>
          <w:rFonts w:ascii="Times New Roman" w:hAnsi="Times New Roman"/>
          <w:b/>
          <w:sz w:val="20"/>
        </w:rPr>
        <w:t>Office</w:t>
      </w:r>
      <w:r>
        <w:rPr>
          <w:rFonts w:ascii="Times New Roman" w:hAnsi="Times New Roman"/>
          <w:sz w:val="20"/>
        </w:rPr>
        <w:t xml:space="preserve">” means the registered office of the Company as required by the Companies Act. </w:t>
      </w:r>
    </w:p>
    <w:p>
      <w:pPr>
        <w:pStyle w:val="TextBody"/>
        <w:bidi w:val="0"/>
        <w:spacing w:before="120" w:after="0"/>
        <w:jc w:val="left"/>
        <w:rPr/>
      </w:pPr>
      <w:r>
        <w:rPr/>
        <w:t>“</w:t>
      </w:r>
      <w:r>
        <w:rPr>
          <w:rFonts w:ascii="Times New Roman" w:hAnsi="Times New Roman"/>
          <w:b/>
          <w:sz w:val="20"/>
        </w:rPr>
        <w:t>Officers</w:t>
      </w:r>
      <w:r>
        <w:rPr>
          <w:rFonts w:ascii="Times New Roman" w:hAnsi="Times New Roman"/>
          <w:sz w:val="20"/>
        </w:rPr>
        <w:t xml:space="preserve">” means the officers for the time being and from time to time of the Company. </w:t>
      </w:r>
    </w:p>
    <w:p>
      <w:pPr>
        <w:pStyle w:val="TextBody"/>
        <w:bidi w:val="0"/>
        <w:spacing w:before="120" w:after="0"/>
        <w:jc w:val="left"/>
        <w:rPr/>
      </w:pPr>
      <w:r>
        <w:rPr/>
        <w:t>“</w:t>
      </w:r>
      <w:r>
        <w:rPr>
          <w:rFonts w:ascii="Times New Roman" w:hAnsi="Times New Roman"/>
          <w:b/>
          <w:sz w:val="20"/>
        </w:rPr>
        <w:t>Ordinary Resolution</w:t>
      </w:r>
      <w:r>
        <w:rPr>
          <w:rFonts w:ascii="Times New Roman" w:hAnsi="Times New Roman"/>
          <w:sz w:val="20"/>
        </w:rPr>
        <w:t xml:space="preserve">” means a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passed by a simple majority of the votes cast by such Shareholders as, being entitled to do so, vote in person or, where proxies are allowed, by proxy at a general meeting of the Company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Ordinary Shares</w:t>
      </w:r>
      <w:r>
        <w:rPr>
          <w:rFonts w:ascii="Times New Roman" w:hAnsi="Times New Roman"/>
          <w:sz w:val="20"/>
        </w:rPr>
        <w:t xml:space="preserve">” means the ordinary shares in the capital of the Company of $0.00001 nominal or par value designated as “Ordinary Shares”, and having the rights provided for in these Articles. </w:t>
      </w:r>
    </w:p>
    <w:p>
      <w:pPr>
        <w:pStyle w:val="TextBody"/>
        <w:bidi w:val="0"/>
        <w:spacing w:before="120" w:after="0"/>
        <w:jc w:val="left"/>
        <w:rPr/>
      </w:pPr>
      <w:r>
        <w:rPr/>
        <w:t>“</w:t>
      </w:r>
      <w:r>
        <w:rPr>
          <w:rFonts w:ascii="Times New Roman" w:hAnsi="Times New Roman"/>
          <w:b/>
          <w:sz w:val="20"/>
        </w:rPr>
        <w:t>paid up</w:t>
      </w:r>
      <w:r>
        <w:rPr>
          <w:rFonts w:ascii="Times New Roman" w:hAnsi="Times New Roman"/>
          <w:sz w:val="20"/>
        </w:rPr>
        <w:t xml:space="preserve">” means paid up as to the par value in respect of the issue of any Shares and includes credited as paid up. </w:t>
      </w:r>
    </w:p>
    <w:p>
      <w:pPr>
        <w:pStyle w:val="TextBody"/>
        <w:bidi w:val="0"/>
        <w:spacing w:before="120" w:after="0"/>
        <w:jc w:val="left"/>
        <w:rPr/>
      </w:pPr>
      <w:r>
        <w:rPr/>
        <w:t>“</w:t>
      </w:r>
      <w:r>
        <w:rPr>
          <w:rFonts w:ascii="Times New Roman" w:hAnsi="Times New Roman"/>
          <w:b/>
          <w:sz w:val="20"/>
        </w:rPr>
        <w:t>Person</w:t>
      </w:r>
      <w:r>
        <w:rPr>
          <w:rFonts w:ascii="Times New Roman" w:hAnsi="Times New Roman"/>
          <w:sz w:val="20"/>
        </w:rPr>
        <w:t xml:space="preserve">” means any natural person, firm, company, joint venture, partnership, company,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 </w:t>
      </w:r>
    </w:p>
    <w:p>
      <w:pPr>
        <w:pStyle w:val="TextBody"/>
        <w:bidi w:val="0"/>
        <w:spacing w:before="120" w:after="0"/>
        <w:jc w:val="left"/>
        <w:rPr/>
      </w:pPr>
      <w:r>
        <w:rPr/>
        <w:t>“</w:t>
      </w:r>
      <w:r>
        <w:rPr>
          <w:rFonts w:ascii="Times New Roman" w:hAnsi="Times New Roman"/>
          <w:b/>
          <w:sz w:val="20"/>
        </w:rPr>
        <w:t>Preferred Shares</w:t>
      </w:r>
      <w:r>
        <w:rPr>
          <w:rFonts w:ascii="Times New Roman" w:hAnsi="Times New Roman"/>
          <w:sz w:val="20"/>
        </w:rPr>
        <w:t xml:space="preserve">” means the Preferred Shares in the capital of the Company of $0.00001 nominal or par value designated as Preferred Shares or such other Series of Preferred Shares, and having the rights provided for in these Articles. </w:t>
      </w:r>
    </w:p>
    <w:p>
      <w:pPr>
        <w:pStyle w:val="TextBody"/>
        <w:bidi w:val="0"/>
        <w:spacing w:before="120" w:after="0"/>
        <w:jc w:val="left"/>
        <w:rPr/>
      </w:pPr>
      <w:r>
        <w:rPr/>
        <w:t>“</w:t>
      </w:r>
      <w:r>
        <w:rPr>
          <w:rFonts w:ascii="Times New Roman" w:hAnsi="Times New Roman"/>
          <w:b/>
          <w:sz w:val="20"/>
        </w:rPr>
        <w:t>Proposing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Principal Register</w:t>
      </w:r>
      <w:r>
        <w:rPr>
          <w:rFonts w:ascii="Times New Roman" w:hAnsi="Times New Roman"/>
          <w:sz w:val="20"/>
        </w:rPr>
        <w:t xml:space="preserve">” means where the Company has established one or more Branch Registers pursuant to the Companies Act and these Articles, means the Register maintained by the Company pursuant to the Companies Act and these Articles that is not designated by the Directors as a Branch Register. </w:t>
      </w:r>
    </w:p>
    <w:p>
      <w:pPr>
        <w:pStyle w:val="TextBody"/>
        <w:bidi w:val="0"/>
        <w:spacing w:before="120" w:after="0"/>
        <w:jc w:val="left"/>
        <w:rPr/>
      </w:pPr>
      <w:r>
        <w:rPr/>
        <w:t>“</w:t>
      </w:r>
      <w:r>
        <w:rPr>
          <w:rFonts w:ascii="Times New Roman" w:hAnsi="Times New Roman"/>
          <w:b/>
          <w:sz w:val="20"/>
        </w:rPr>
        <w:t>qualified representative</w:t>
      </w:r>
      <w:r>
        <w:rPr>
          <w:rFonts w:ascii="Times New Roman" w:hAnsi="Times New Roman"/>
          <w:sz w:val="20"/>
        </w:rPr>
        <w:t xml:space="preserve">” has the meaning given to it in Article 15. </w:t>
      </w:r>
    </w:p>
    <w:p>
      <w:pPr>
        <w:pStyle w:val="TextBody"/>
        <w:bidi w:val="0"/>
        <w:spacing w:before="120" w:after="0"/>
        <w:jc w:val="left"/>
        <w:rPr/>
      </w:pPr>
      <w:r>
        <w:rPr/>
        <w:t>“</w:t>
      </w:r>
      <w:r>
        <w:rPr>
          <w:rFonts w:ascii="Times New Roman" w:hAnsi="Times New Roman"/>
          <w:b/>
          <w:sz w:val="20"/>
        </w:rPr>
        <w:t>Register</w:t>
      </w:r>
      <w:r>
        <w:rPr>
          <w:rFonts w:ascii="Times New Roman" w:hAnsi="Times New Roman"/>
          <w:sz w:val="20"/>
        </w:rPr>
        <w:t xml:space="preserve">” means the register of members of the Company required to be kept pursuant to the Companies Act and includes any Branch Register(s) established by the Company in accordance with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person</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Requisite Removal with Cause Threshold</w:t>
      </w:r>
      <w:r>
        <w:rPr>
          <w:rFonts w:ascii="Times New Roman" w:hAnsi="Times New Roman"/>
          <w:sz w:val="20"/>
        </w:rPr>
        <w:t xml:space="preserve">” has the meaning given to it in Article 49. </w:t>
      </w:r>
    </w:p>
    <w:p>
      <w:pPr>
        <w:pStyle w:val="TextBody"/>
        <w:bidi w:val="0"/>
        <w:spacing w:before="120" w:after="0"/>
        <w:jc w:val="left"/>
        <w:rPr/>
      </w:pPr>
      <w:r>
        <w:rPr/>
        <w:t>“</w:t>
      </w:r>
      <w:r>
        <w:rPr>
          <w:rFonts w:ascii="Times New Roman" w:hAnsi="Times New Roman"/>
          <w:b/>
          <w:sz w:val="20"/>
        </w:rPr>
        <w:t>Seal</w:t>
      </w:r>
      <w:r>
        <w:rPr>
          <w:rFonts w:ascii="Times New Roman" w:hAnsi="Times New Roman"/>
          <w:sz w:val="20"/>
        </w:rPr>
        <w:t xml:space="preserve">” means the common seal of the Company (if adopted) including any facsimile thereof. </w:t>
      </w:r>
    </w:p>
    <w:p>
      <w:pPr>
        <w:pStyle w:val="TextBody"/>
        <w:bidi w:val="0"/>
        <w:spacing w:before="12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120" w:after="0"/>
        <w:jc w:val="left"/>
        <w:rPr/>
      </w:pPr>
      <w:r>
        <w:rPr/>
        <w:t>“</w:t>
      </w:r>
      <w:r>
        <w:rPr>
          <w:rFonts w:ascii="Times New Roman" w:hAnsi="Times New Roman"/>
          <w:b/>
          <w:sz w:val="20"/>
        </w:rPr>
        <w:t>Secretary</w:t>
      </w:r>
      <w:r>
        <w:rPr>
          <w:rFonts w:ascii="Times New Roman" w:hAnsi="Times New Roman"/>
          <w:sz w:val="20"/>
        </w:rPr>
        <w:t xml:space="preserve">” means any Person appointed by the Directors to perform any of the duties of the secretary of the Company. </w:t>
      </w:r>
    </w:p>
    <w:p>
      <w:pPr>
        <w:pStyle w:val="TextBody"/>
        <w:bidi w:val="0"/>
        <w:spacing w:before="120" w:after="0"/>
        <w:jc w:val="left"/>
        <w:rPr/>
      </w:pPr>
      <w:r>
        <w:rPr/>
        <w:t>“</w:t>
      </w:r>
      <w:r>
        <w:rPr>
          <w:rFonts w:ascii="Times New Roman" w:hAnsi="Times New Roman"/>
          <w:b/>
          <w:sz w:val="20"/>
        </w:rPr>
        <w:t>Securities Act</w:t>
      </w:r>
      <w:r>
        <w:rPr>
          <w:rFonts w:ascii="Times New Roman" w:hAnsi="Times New Roman"/>
          <w:sz w:val="20"/>
        </w:rPr>
        <w:t xml:space="preserve">” means the U.S. Securities Act of 1933, as amended, or any similar U.S. federal statute and the rules and regulations of the SEC thereunder, all as the same shall be in effect at the time. </w:t>
      </w:r>
    </w:p>
    <w:p>
      <w:pPr>
        <w:pStyle w:val="TextBody"/>
        <w:bidi w:val="0"/>
        <w:spacing w:before="120" w:after="0"/>
        <w:jc w:val="left"/>
        <w:rPr/>
      </w:pPr>
      <w:r>
        <w:rPr/>
        <w:t>“</w:t>
      </w:r>
      <w:r>
        <w:rPr>
          <w:rFonts w:ascii="Times New Roman" w:hAnsi="Times New Roman"/>
          <w:b/>
          <w:sz w:val="20"/>
        </w:rPr>
        <w:t>Series</w:t>
      </w:r>
      <w:r>
        <w:rPr>
          <w:rFonts w:ascii="Times New Roman" w:hAnsi="Times New Roman"/>
          <w:sz w:val="20"/>
        </w:rPr>
        <w:t xml:space="preserve">” means a series of a Class as may from time to time be issued by the Company. </w:t>
      </w:r>
    </w:p>
    <w:p>
      <w:pPr>
        <w:pStyle w:val="TextBody"/>
        <w:bidi w:val="0"/>
        <w:spacing w:before="120" w:after="0"/>
        <w:jc w:val="left"/>
        <w:rPr/>
      </w:pPr>
      <w:r>
        <w:rPr/>
        <w:t>“</w:t>
      </w:r>
      <w:r>
        <w:rPr>
          <w:rFonts w:ascii="Times New Roman" w:hAnsi="Times New Roman"/>
          <w:b/>
          <w:sz w:val="20"/>
        </w:rPr>
        <w:t>Share</w:t>
      </w:r>
      <w:r>
        <w:rPr>
          <w:rFonts w:ascii="Times New Roman" w:hAnsi="Times New Roman"/>
          <w:sz w:val="20"/>
        </w:rPr>
        <w:t>” means a share in the capital of the Company. All references to “</w:t>
      </w:r>
      <w:r>
        <w:rPr>
          <w:rFonts w:ascii="Times New Roman" w:hAnsi="Times New Roman"/>
          <w:b/>
          <w:sz w:val="20"/>
        </w:rPr>
        <w:t>Shares</w:t>
      </w:r>
      <w:r>
        <w:rPr>
          <w:rFonts w:ascii="Times New Roman" w:hAnsi="Times New Roman"/>
          <w:sz w:val="20"/>
        </w:rPr>
        <w:t xml:space="preserve">” herein shall be deemed to be Shares of any or all Classes as the context may require. For the avoidance of doubt in these Articles the expression “Share” shall include a fraction of a Share. </w:t>
      </w:r>
    </w:p>
    <w:p>
      <w:pPr>
        <w:pStyle w:val="TextBody"/>
        <w:bidi w:val="0"/>
        <w:spacing w:before="120" w:after="0"/>
        <w:jc w:val="left"/>
        <w:rPr/>
      </w:pPr>
      <w:r>
        <w:rPr/>
        <w:t>“</w:t>
      </w:r>
      <w:r>
        <w:rPr>
          <w:rFonts w:ascii="Times New Roman" w:hAnsi="Times New Roman"/>
          <w:b/>
          <w:sz w:val="20"/>
        </w:rPr>
        <w:t>Shareholder</w:t>
      </w:r>
      <w:r>
        <w:rPr>
          <w:rFonts w:ascii="Times New Roman" w:hAnsi="Times New Roman"/>
          <w:sz w:val="20"/>
        </w:rPr>
        <w:t xml:space="preserve">” means a Person who is registered as the holder of Shares in the Register and includes each subscriber to the Memorandum of Association pending entry in the Register of such subscriber. </w:t>
      </w:r>
    </w:p>
    <w:p>
      <w:pPr>
        <w:pStyle w:val="TextBody"/>
        <w:bidi w:val="0"/>
        <w:spacing w:before="120" w:after="0"/>
        <w:jc w:val="left"/>
        <w:rPr/>
      </w:pPr>
      <w:r>
        <w:rPr/>
        <w:t>“</w:t>
      </w:r>
      <w:r>
        <w:rPr>
          <w:rFonts w:ascii="Times New Roman" w:hAnsi="Times New Roman"/>
          <w:b/>
          <w:sz w:val="20"/>
        </w:rPr>
        <w:t>Shareholder Requisite Removal with Cause Threshold</w:t>
      </w:r>
      <w:r>
        <w:rPr>
          <w:rFonts w:ascii="Times New Roman" w:hAnsi="Times New Roman"/>
          <w:sz w:val="20"/>
        </w:rPr>
        <w:t xml:space="preserve">” has the meaning given to it in Article 48. </w:t>
      </w:r>
    </w:p>
    <w:p>
      <w:pPr>
        <w:pStyle w:val="TextBody"/>
        <w:bidi w:val="0"/>
        <w:spacing w:before="120" w:after="0"/>
        <w:jc w:val="left"/>
        <w:rPr/>
      </w:pPr>
      <w:r>
        <w:rPr/>
        <w:t>“</w:t>
      </w:r>
      <w:r>
        <w:rPr>
          <w:rFonts w:ascii="Times New Roman" w:hAnsi="Times New Roman"/>
          <w:b/>
          <w:sz w:val="20"/>
        </w:rPr>
        <w:t>Shareholder Requisition</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 Delivery Date</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Shareholder Requisitioned General Meeting</w:t>
      </w:r>
      <w:r>
        <w:rPr>
          <w:rFonts w:ascii="Times New Roman" w:hAnsi="Times New Roman"/>
          <w:sz w:val="20"/>
        </w:rPr>
        <w:t xml:space="preserve">” has the meaning given to it in Article 16. </w:t>
      </w:r>
    </w:p>
    <w:p>
      <w:pPr>
        <w:pStyle w:val="TextBody"/>
        <w:bidi w:val="0"/>
        <w:spacing w:before="120" w:after="0"/>
        <w:jc w:val="left"/>
        <w:rPr/>
      </w:pPr>
      <w:r>
        <w:rPr/>
        <w:t>“</w:t>
      </w:r>
      <w:r>
        <w:rPr>
          <w:rFonts w:ascii="Times New Roman" w:hAnsi="Times New Roman"/>
          <w:b/>
          <w:sz w:val="20"/>
        </w:rPr>
        <w:t>Share Premium Account</w:t>
      </w:r>
      <w:r>
        <w:rPr>
          <w:rFonts w:ascii="Times New Roman" w:hAnsi="Times New Roman"/>
          <w:sz w:val="20"/>
        </w:rPr>
        <w:t xml:space="preserve">” means the share premium account established in accordance with these Articles and the Companies Act. </w:t>
      </w:r>
    </w:p>
    <w:p>
      <w:pPr>
        <w:pStyle w:val="TextBody"/>
        <w:bidi w:val="0"/>
        <w:spacing w:before="120" w:after="0"/>
        <w:jc w:val="left"/>
        <w:rPr/>
      </w:pPr>
      <w:r>
        <w:rPr/>
        <w:t>“</w:t>
      </w:r>
      <w:r>
        <w:rPr>
          <w:rFonts w:ascii="Times New Roman" w:hAnsi="Times New Roman"/>
          <w:b/>
          <w:sz w:val="20"/>
        </w:rPr>
        <w:t>signed</w:t>
      </w:r>
      <w:r>
        <w:rPr>
          <w:rFonts w:ascii="Times New Roman" w:hAnsi="Times New Roman"/>
          <w:sz w:val="20"/>
        </w:rPr>
        <w:t>” or “</w:t>
      </w:r>
      <w:r>
        <w:rPr>
          <w:rFonts w:ascii="Times New Roman" w:hAnsi="Times New Roman"/>
          <w:b/>
          <w:sz w:val="20"/>
        </w:rPr>
        <w:t>executed</w:t>
      </w:r>
      <w:r>
        <w:rPr>
          <w:rFonts w:ascii="Times New Roman" w:hAnsi="Times New Roman"/>
          <w:sz w:val="20"/>
        </w:rPr>
        <w:t xml:space="preserve">” means bearing a signature or representation of a signature affixed by mechanical means. </w:t>
      </w:r>
    </w:p>
    <w:p>
      <w:pPr>
        <w:pStyle w:val="TextBody"/>
        <w:bidi w:val="0"/>
        <w:spacing w:before="120" w:after="0"/>
        <w:jc w:val="left"/>
        <w:rPr/>
      </w:pPr>
      <w:r>
        <w:rPr/>
        <w:t>“</w:t>
      </w:r>
      <w:r>
        <w:rPr>
          <w:rFonts w:ascii="Times New Roman" w:hAnsi="Times New Roman"/>
          <w:b/>
          <w:sz w:val="20"/>
        </w:rPr>
        <w:t>Solicitation Statement</w:t>
      </w:r>
      <w:r>
        <w:rPr>
          <w:rFonts w:ascii="Times New Roman" w:hAnsi="Times New Roman"/>
          <w:sz w:val="20"/>
        </w:rPr>
        <w:t>” has the meaning given to it in Article 10(e).“</w:t>
      </w:r>
      <w:r>
        <w:rPr>
          <w:rFonts w:ascii="Times New Roman" w:hAnsi="Times New Roman"/>
          <w:b/>
          <w:sz w:val="20"/>
        </w:rPr>
        <w:t>Special Resolution</w:t>
      </w:r>
      <w:r>
        <w:rPr>
          <w:rFonts w:ascii="Times New Roman" w:hAnsi="Times New Roman"/>
          <w:sz w:val="20"/>
        </w:rPr>
        <w:t xml:space="preserve">” means a special resolution of the Company passed in accordance with the Companies Act, being a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w:t>
            </w:r>
          </w:p>
        </w:tc>
      </w:tr>
    </w:tbl>
    <w:p>
      <w:pPr>
        <w:pStyle w:val="TextBody"/>
        <w:bidi w:val="0"/>
        <w:spacing w:before="120" w:after="0"/>
        <w:jc w:val="left"/>
        <w:rPr/>
      </w:pPr>
      <w:r>
        <w:rPr/>
        <w:t>“</w:t>
      </w:r>
      <w:r>
        <w:rPr>
          <w:rFonts w:ascii="Times New Roman" w:hAnsi="Times New Roman"/>
          <w:b/>
          <w:sz w:val="20"/>
        </w:rPr>
        <w:t>Synthetic Equity Interest</w:t>
      </w:r>
      <w:r>
        <w:rPr>
          <w:rFonts w:ascii="Times New Roman" w:hAnsi="Times New Roman"/>
          <w:sz w:val="20"/>
        </w:rPr>
        <w:t xml:space="preserve">” has the meaning given to it in Article 10(c). </w:t>
      </w:r>
    </w:p>
    <w:p>
      <w:pPr>
        <w:pStyle w:val="TextBody"/>
        <w:bidi w:val="0"/>
        <w:spacing w:before="120" w:after="0"/>
        <w:jc w:val="left"/>
        <w:rPr/>
      </w:pPr>
      <w:r>
        <w:rPr/>
        <w:t>“</w:t>
      </w:r>
      <w:r>
        <w:rPr>
          <w:rFonts w:ascii="Times New Roman" w:hAnsi="Times New Roman"/>
          <w:b/>
          <w:sz w:val="20"/>
        </w:rPr>
        <w:t>Timely Notice</w:t>
      </w:r>
      <w:r>
        <w:rPr>
          <w:rFonts w:ascii="Times New Roman" w:hAnsi="Times New Roman"/>
          <w:sz w:val="20"/>
        </w:rPr>
        <w:t xml:space="preserve">” has the meaning given to it in Article 10. </w:t>
      </w:r>
    </w:p>
    <w:p>
      <w:pPr>
        <w:pStyle w:val="TextBody"/>
        <w:bidi w:val="0"/>
        <w:spacing w:before="120" w:after="0"/>
        <w:jc w:val="left"/>
        <w:rPr/>
      </w:pPr>
      <w:r>
        <w:rPr/>
        <w:t>“</w:t>
      </w:r>
      <w:r>
        <w:rPr>
          <w:rFonts w:ascii="Times New Roman" w:hAnsi="Times New Roman"/>
          <w:b/>
          <w:sz w:val="20"/>
        </w:rPr>
        <w:t>Treasury Shares</w:t>
      </w:r>
      <w:r>
        <w:rPr>
          <w:rFonts w:ascii="Times New Roman" w:hAnsi="Times New Roman"/>
          <w:sz w:val="20"/>
        </w:rPr>
        <w:t xml:space="preserve">” means Shares that were previously issued but were purchased, redeemed, surrendered or otherwise acquired by the Company and not cancelled.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275"/>
        <w:gridCol w:w="69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and any Person as the context may require;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55" w:type="dxa"/>
        <w:jc w:val="left"/>
        <w:tblInd w:w="0" w:type="dxa"/>
        <w:tblLayout w:type="fixed"/>
        <w:tblCellMar>
          <w:top w:w="0" w:type="dxa"/>
          <w:left w:w="0" w:type="dxa"/>
          <w:bottom w:w="0" w:type="dxa"/>
          <w:right w:w="0" w:type="dxa"/>
        </w:tblCellMar>
      </w:tblPr>
      <w:tblGrid>
        <w:gridCol w:w="75"/>
        <w:gridCol w:w="275"/>
        <w:gridCol w:w="84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word “may” shall be construed as permissive and the word “shall” shall be construed as imperative;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(d)</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provisions of any law or regulation shall be construed as references to those provisions as amended, modified, re-enacted or replaced;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(e)</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dollar or dollars or USD (or $) and to a cent or cents is reference to dollars and cents of the United States of America;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5"/>
        <w:gridCol w:w="9845"/>
      </w:tblGrid>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(g)</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 statutory enactment shall include reference to any amendment or re-enactment thereof for the time being in force;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any determination by the Directors shall be construed as a determination by the Directors in their sole and absolute discretion and shall be applicable either generally or in any particular case;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 to “in writing” shall be construed as written or represented by any means reproducible in writing, including any form of print, lithograph, email, facsimile, photograph or telex or represented by any other substitute or format for storage or transmission for writing or partly one and partly another;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230"/>
        <w:gridCol w:w="74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poll include, without limitation, a poll conducted using electronic facilities;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(k)</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vote, votes, voting or votes cast include, without limitation, a vote, votes, voting or votes cast in each case using electronic facilities;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(l)</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electronic facilities include, without limitation, website addresses, webinars, webcast, video or any form of conference call system (telephone, video, web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(m)</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references to meetings, annual general meetings or general meetings include a physical meeting, a hybrid meeting or an electronic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(n)</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requirements as to execution or signature under the Articles including the execution of the Articles themselves can be satisfied in the form of an electronic signature as defined in the Electronic Transactions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preceding Articles, any words defined in the Companies Act shall, if not inconsistent with the subject or context, bear the same meaning in these Articles. </w:t>
            </w:r>
          </w:p>
        </w:tc>
      </w:tr>
    </w:tbl>
    <w:p>
      <w:pPr>
        <w:pStyle w:val="TextBody"/>
        <w:bidi w:val="0"/>
        <w:spacing w:before="480" w:after="0"/>
        <w:jc w:val="center"/>
        <w:rPr>
          <w:rFonts w:ascii="Times New Roman" w:hAnsi="Times New Roman"/>
          <w:b/>
          <w:sz w:val="20"/>
        </w:rPr>
      </w:pPr>
      <w:bookmarkStart w:id="198" w:name="anxi111069_3"/>
      <w:bookmarkEnd w:id="198"/>
      <w:r>
        <w:rPr>
          <w:rFonts w:ascii="Times New Roman" w:hAnsi="Times New Roman"/>
          <w:b/>
          <w:sz w:val="20"/>
        </w:rPr>
        <w:t xml:space="preserve">PRELIMINARY </w:t>
      </w:r>
    </w:p>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215"/>
        <w:gridCol w:w="6680"/>
      </w:tblGrid>
      <w:tr>
        <w:trPr/>
        <w:tc>
          <w:tcPr>
            <w:tcW w:w="215" w:type="dxa"/>
            <w:tcBorders/>
            <w:vAlign w:val="center"/>
          </w:tcPr>
          <w:p>
            <w:pPr>
              <w:pStyle w:val="TableContents"/>
              <w:bidi w:val="0"/>
              <w:spacing w:before="0" w:after="283"/>
              <w:jc w:val="left"/>
              <w:rPr/>
            </w:pPr>
            <w:r>
              <w:rPr/>
              <w:t>4.</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may be commenced at any time after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5.</w:t>
            </w:r>
          </w:p>
        </w:tc>
        <w:tc>
          <w:tcPr>
            <w:tcW w:w="10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6.</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pPr>
            <w:r>
              <w:rPr/>
              <w:t>7.</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keep, or cause to be kept, the Register at such place or (subject to compliance with the Companies Act and these Articles) places as the Directors may from time to time determine. In the absence of any such determination, the Register shall be kept at the Office. The Directors may keep, or cause to be kept, one or more Branch Registers as well as the Principal Register in accordance with the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Act, provided always that a duplicate of such Branch Register(s) shall be maintained with the Principal Register in accordance with the Companies Act and the rules or requirements of any Designated Stock Exchange. </w:t>
            </w:r>
          </w:p>
        </w:tc>
      </w:tr>
    </w:tbl>
    <w:p>
      <w:pPr>
        <w:pStyle w:val="TextBody"/>
        <w:bidi w:val="0"/>
        <w:spacing w:before="480" w:after="0"/>
        <w:jc w:val="center"/>
        <w:rPr>
          <w:rFonts w:ascii="Times New Roman" w:hAnsi="Times New Roman"/>
          <w:b/>
          <w:sz w:val="20"/>
        </w:rPr>
      </w:pPr>
      <w:bookmarkStart w:id="199" w:name="anxi111069_4"/>
      <w:bookmarkEnd w:id="199"/>
      <w:r>
        <w:rPr>
          <w:rFonts w:ascii="Times New Roman" w:hAnsi="Times New Roman"/>
          <w:b/>
          <w:sz w:val="20"/>
        </w:rPr>
        <w:t xml:space="preserve">SHAREHOLDER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General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8.</w:t>
            </w:r>
          </w:p>
        </w:tc>
        <w:tc>
          <w:tcPr>
            <w:tcW w:w="100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Company’s Shares are traded on a Designated Stock Exchange, the Company shall in each year hold a general meeting as its annual general meeting at such time, date, place and in such form (whether as a physical meeting, hybrid meeting or an electronic meeting) as may be determined by the Directors or an officer designated by the board of Directors in accordance with the rules of the Designated Stock Exchange, unless such Designated Stock Exchange does not require the holding of an annual general meeting. </w:t>
            </w:r>
          </w:p>
        </w:tc>
      </w:tr>
    </w:tbl>
    <w:p>
      <w:pPr>
        <w:pStyle w:val="TextBody"/>
        <w:bidi w:val="0"/>
        <w:spacing w:before="360" w:after="0"/>
        <w:jc w:val="left"/>
        <w:rPr>
          <w:rFonts w:ascii="Times New Roman" w:hAnsi="Times New Roman"/>
          <w:sz w:val="20"/>
        </w:rPr>
      </w:pPr>
      <w:r>
        <w:rPr>
          <w:rFonts w:ascii="Times New Roman" w:hAnsi="Times New Roman"/>
          <w:sz w:val="20"/>
          <w:u w:val="single"/>
        </w:rPr>
        <w:t>Notice of Shareholder Business and Nominations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9.</w:t>
            </w:r>
          </w:p>
        </w:tc>
        <w:tc>
          <w:tcPr>
            <w:tcW w:w="10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other business to be considered by the Shareholders may be brought before an annual general meeting (i) by or at the direction of the board of Directors or (ii) by any Shareholder who was a shareholder of record at the time of giving of notice provided for in this Article, who is entitled to vote at the meeting, who is present (in person or by proxy) at the meeting and who complies with the notice procedures set forth in Article 10 as to such nomination or business. For the avoidance of doubt, (x) the foregoing clause (ii) shall be the exclusive means for a Shareholder to bring nominations or business properly before an annual general meeting, and such Shareholder must also comply with the notice and other procedures set forth in Articles 9-15 to bring such nominations or business properly before an annual general meeting, and (y) the number of nominees a Shareholder may nominate for election at an annual general meeting (or in the case of a Shareholder giving the notice on behalf of a beneficial owner, the number of nominees a Shareholder may nominate for election at the annual general meeting on behalf of the beneficial owner) shall not exceed the number of directors to be elected at such annual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10.</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nominations or other business to be properly brought before an annual general meeting by a Shareholder pursuant to clause (ii) of Article 9, the Shareholder must (i) have given Timely Notice (as defined below) thereof in writing to the Secretary or Directors of the Company, (ii) have provided any updates or supplements to such notice at the times and in the forms required by this Article 10 (iii) together with the beneficial owner(s), if any, on whose behalf the nomination or business proposal is made, have acted in accordance with the representations set forth in the Solicitation Statement (as defined below) required by this Article 10, and (iv) in the case of business other than nominations, such business shall only be matters that may be expressly determined by resolution of Shareholders under these Articles or the Companies Act (“</w:t>
            </w:r>
            <w:r>
              <w:rPr>
                <w:rFonts w:ascii="Times New Roman" w:hAnsi="Times New Roman"/>
                <w:b/>
                <w:sz w:val="20"/>
              </w:rPr>
              <w:t>Proper Subject</w:t>
            </w:r>
            <w:r>
              <w:rPr>
                <w:rFonts w:ascii="Times New Roman" w:hAnsi="Times New Roman"/>
                <w:sz w:val="20"/>
              </w:rPr>
              <w:t xml:space="preserve">”).. To be timely, a Shareholder’s written notice shall be received by the Secretary or Directors at the principal executive offices of the Company not later than the close of business on the ninetieth (90th) day nor earlier than the close of business on the one hundred twentieth (120th) day prior to the one-year anniversary of the preceding year’s annual general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the event the annual general meeting is first convened more than thirty (30) days before or more than sixty (60) days after such anniversary date, or if no annual general meeting were held in the preceding year, notice by the Shareholder to be timely must be received by the Secretary or Directors of the Company not later than the close of business on the later of the ninetieth (90th) day prior to the scheduled date of such annual general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A Shareholder’s notice with respect to nominations of persons for election to the board of Directors given in accordance with this Article 10 must contain the names of only the nominees for whom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such Shareholder (or beneficial owner, if any) intends to solicit proxies and any substitute nominees in the event any such nominee is unable to serve or for good cause will not serve; provided that a Shareholder shall not be entitled to make or designate substitute nominees following the expiration of the time periods set forth in this Article 9, and in the event that a Shareholder’s notice includes one or more such substitute nominees, such Shareholder must provide timely notice of such substitute nominee(s) in accordance with the provisions of Articles 9-15 (including, without limitation, satisfaction of all applicable informational requirements set forth therein). Such Shareholder’s Timely Notice shall include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(as defined below) proposes to nominate for election or re-election as a director (i) the name, age, business address and residence address of the nominee, (ii) the principal occupation or employment of the nominee, (iii) the class and number of shares of the Company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Company,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Shareholder and each nominee and any other person or persons (naming such person or persons) pursuant to which the nominations are to be made by the Shareholder or concerning the nominee’s potential service on the board of Directors, and (vi)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each person whom the Proposing Person proposes to nominate for election or re-election as a director, a written representation and agreement (in the form to be provided by the Secretary or Directors upon written request of any Proposing Person within five (5) business days of such request), which shall be signed by the person proposed to be nominated and pursuant to which such person shall represent and agree that such person: (A) consents to being named as a nominee in a proxy statement and form of proxy relating to the meeting at which directors are to be elected and to serving as a director if elected,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except as disclosed in such representation and agreement; or (2)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except as disclosed in such representation and agreement; and (D) if elected as a director, will comply with all of the Company’s corporate governance policies and guidelines related to conflict of interest (and other fiduciary duties), confidentiality, share ownership and trading policies and guidelines, and any other Company policies and guidelines applicable to directors (which will be provided by the Secretary or Directors to such person within five (5) business days following a request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to each person whom the Proposing Person proposes to nominate for election or re-election as a director, fully completed and signed questionnaire(s) prepared by the Company, with respect to such proposed nominee(s) in the form to be provided by the Secretary or Directors within five (5) business days following a request by a Proposing Person therefor (the “</w:t>
            </w:r>
            <w:r>
              <w:rPr>
                <w:rFonts w:ascii="Times New Roman" w:hAnsi="Times New Roman"/>
                <w:b/>
                <w:sz w:val="20"/>
              </w:rPr>
              <w:t>Questionnaire(s)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to any other business that the Proposing Person proposes to bring before the meeting, a brief description of the business desired to be brought before the meeting, the text, if any, of any resolutions or amendments to the Articles proposed for adoption, the reasons for conducting such business at the meeting, and any material interest in such business of each Proposing Person, and if such Proposing Person is an entity, any related person (as defined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the date of the Timely Notice, (i) the name and address of the Proposing Person giving the notice, as they appear on the Company’s books, and the names and addresses of the other Proposing Persons (if any) and (ii) as to each Proposing Person, the following information: (a) the Class or Series and number of all Shares of the Company which are, directly or indirectly, owned beneficially or of record by such Proposing Person or any of its related persons, including any Shares of any Class or Series of the Company as to which such Proposing Person or any of its related persons has a right to acquire beneficial ownership at any time in the future, (b) all Synthetic Equity Interests (as defined below) in which such Proposing Person or any of its related persons,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or related person, (y) whether or not such Synthetic Equity Interest is required to be, or is capable of being, settled through delivery of such Shares and (z) whether or not such Proposing Person or related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or related person has or shares a right to, directly or indirectly, vote any Shares of the Company, (d) any rights to dividends or other distributions on the Shares of any Class or Series of the Company, directly or indirectly, owned beneficially by such Proposing Person or related person that are separated or separable from the underlying Shares of the Company, and (e) any performance-related fees (other than an asset based fee) that such Proposing Person or related person, directly or indirectly, is entitled to based on any increase or decrease in the value of Shares of the Company or any Synthetic Equity Interests (the disclosures to be made pursuant to the foregoing clauses (a) through (e) are referred to, collectively, as “</w:t>
            </w:r>
            <w:r>
              <w:rPr>
                <w:rFonts w:ascii="Times New Roman" w:hAnsi="Times New Roman"/>
                <w:b/>
                <w:sz w:val="20"/>
              </w:rPr>
              <w:t>Material Ownership Interests</w:t>
            </w:r>
            <w:r>
              <w:rPr>
                <w:rFonts w:ascii="Times New Roman" w:hAnsi="Times New Roman"/>
                <w:sz w:val="20"/>
              </w:rPr>
              <w:t xml:space="preserve">”) and (iii) a description of the material terms of all agreements, arrangements or understandings (whether or not in writing) entered into by any Proposing Person or any of related persons with any other person for the purpose of acquiring, holding, disposing or voting of any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(f)</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the Timely Notice, (i) a description of all agreements, arrangements or understandings by and among any of the Proposing Persons or related persons, or by and among any Proposing Persons or related persons and any other person (including with any proposed nominee(s)), pertaining to the nomination(s) or other business proposed to be brought before the meeting of Shareholders (which description shall identify the name of each other person who is party to such an agreement, arrangement or understanding), (ii) a description (which description shall include, in addition to all other information described in this clause (f), information identifying all parties thereto) of (x) any plans or proposals that such Proposing Persons or related persons and any other person may have with respect to securities of the Company that would be required to be disclosed pursuant to Item 4 of the Exchange Act Schedule 13D and (y) any agreement, arrangement or understanding with respect to the nomination or other proposed business between or among such Proposing Persons or related persons and any other person, including, without limitation any agreements that would be required to be disclosed pursuant to Item 5 or Item 6 of the Exchange Act Schedule 13D, (in the case of either clause (f)(x) or (f)(y), regardless of whether the requirement to file a Schedule 13D is applicable) and (iii) identification of the names and addresses of other Shareholders (including beneficial owners) known by any of the Proposing Persons or related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persons to support such nominations or other business proposal(s), and to the extent known, the class and number of all shares of the Company owned beneficially or of record by such other Shareholder(s) or other beneficial owner(s);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(g)</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statement whether or not the Shareholder giving the notice and/or the other Proposing Person(s) or related person(s), if any, or any other participant (as defined in Item 4 of Schedule 14A under the Exchange Act) will engage in a solicitation with respect to such nomination or proposal and, if so, the name of each participant in such solicitation, and whether such solicitation will be conducted as an exempt solicitation under Rule 14a-2(b) of the Exchange Act, and (x) in the case of a proposal of business other than nominations, whether such person or group intends to deliver a proxy statement and form of proxy through means satisfying each of the conditions that would be applicable to the Company under either Rule 14a-16(a) under the Exchange Act or Rule 14a-16(n) under the Exchange Act, to holders of at least the percentage of the Company’s voting shares required under applicable law to carry the proposal, or (y) in the case of any non-exempt solicitation that is subject to Rule 14a-19 of the Exchange Act, confirming that such person or group will deliver, through means satisfying each of the conditions that would be applicable to the Company under either Exchange Act Rule 14a-16(a) or Exchange Act Rule 14a-16(n), a proxy statement and form of proxy to holders of at least 67% of the voting power of the Company’s shares entitled to vote generally in the election of directors, (for purposes of this clause (g), the term “holders” shall include, in addition to shareholders of record, any beneficial owners pursuant to Rule 14b-1 and Rule 14b-2 of the Exchange Act)(such statement, the “</w:t>
            </w:r>
            <w:r>
              <w:rPr>
                <w:rFonts w:ascii="Times New Roman" w:hAnsi="Times New Roman"/>
                <w:b/>
                <w:sz w:val="20"/>
              </w:rPr>
              <w:t>Solicitation Statement</w:t>
            </w:r>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(h)</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that promptly after a solicitation is made to the holders of the Company’s shares referred to in the Solicitation Statement required under clause (g) of this Article 10, and in any event no later than the 10th day before such annual general meeting, such Shareholder, Proposing Person or related person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shares entitled to vote generally in the election of directors.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Proposing Person</w:t>
      </w:r>
      <w:r>
        <w:rPr>
          <w:rFonts w:ascii="Times New Roman" w:hAnsi="Times New Roman"/>
          <w:sz w:val="20"/>
        </w:rPr>
        <w:t xml:space="preserve">” shall mean the following persons: (i) the Shareholder of record providing the notice of nominations or business proposed to be brought before a Shareholders’ meeting, and (ii) the beneficial owner(s), if different, on whose behalf the nominations or business proposed to be brought before a Shareholders’ meeting is made. </w:t>
      </w:r>
    </w:p>
    <w:p>
      <w:pPr>
        <w:pStyle w:val="TextBody"/>
        <w:bidi w:val="0"/>
        <w:spacing w:before="120" w:after="0"/>
        <w:jc w:val="left"/>
        <w:rPr>
          <w:rFonts w:ascii="Times New Roman" w:hAnsi="Times New Roman"/>
          <w:sz w:val="20"/>
        </w:rPr>
      </w:pPr>
      <w:r>
        <w:rPr>
          <w:rFonts w:ascii="Times New Roman" w:hAnsi="Times New Roman"/>
          <w:sz w:val="20"/>
        </w:rPr>
        <w:t>For purposes of this Article 10, the term “</w:t>
      </w:r>
      <w:r>
        <w:rPr>
          <w:rFonts w:ascii="Times New Roman" w:hAnsi="Times New Roman"/>
          <w:b/>
          <w:sz w:val="20"/>
        </w:rPr>
        <w:t>related person</w:t>
      </w:r>
      <w:r>
        <w:rPr>
          <w:rFonts w:ascii="Times New Roman" w:hAnsi="Times New Roman"/>
          <w:sz w:val="20"/>
        </w:rPr>
        <w:t xml:space="preserve">” shall mean, in the case of a Proposing Person that is an entity, each individual who is a director, executive officer (as defined in Rule 3b-7 under the Exchange Act), general partner or managing member of such entity or of any other entity that has or shares control of such entity </w:t>
      </w:r>
    </w:p>
    <w:p>
      <w:pPr>
        <w:pStyle w:val="TextBody"/>
        <w:bidi w:val="0"/>
        <w:spacing w:before="120" w:after="0"/>
        <w:jc w:val="left"/>
        <w:rPr>
          <w:rFonts w:ascii="Times New Roman" w:hAnsi="Times New Roman"/>
          <w:sz w:val="20"/>
        </w:rPr>
      </w:pPr>
      <w:r>
        <w:rPr>
          <w:rFonts w:ascii="Times New Roman" w:hAnsi="Times New Roman"/>
          <w:sz w:val="20"/>
        </w:rPr>
        <w:t>For purposes of Article 10(c), the term “</w:t>
      </w:r>
      <w:r>
        <w:rPr>
          <w:rFonts w:ascii="Times New Roman" w:hAnsi="Times New Roman"/>
          <w:b/>
          <w:sz w:val="20"/>
        </w:rPr>
        <w:t>Synthetic Equity Interest</w:t>
      </w:r>
      <w:r>
        <w:rPr>
          <w:rFonts w:ascii="Times New Roman" w:hAnsi="Times New Roman"/>
          <w:sz w:val="20"/>
        </w:rPr>
        <w:t xml:space="preserve">” shall mean any transaction, agreement or arrangement (or series of transactions, agreements or arrangements), including, without limitation, any derivative, swap, hedge, repurchase or so-called “share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the Company, or (d) increase or decrease the voting power of any person or entity with respect to any Shares of any Class or Series of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Shareholder providing Timely Notice of nominations or business proposed to be brought before an annual general meeting shall further update and supplement such notice, if necessary, so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information (including, without limitation, the Material Ownership Interests information) provided or required to be provided in such notice pursuant to these Articles shall be true and correct as of the record date for such annual general meeting and as of the date that is ten (10) business days prior to such annual general meeting, and such update and supplement shall be received by the Secretary or the Directors at the principal executive offices of the Company not later than the close of business on the fifth (5th) business day after the record date for such annual general meeting (in the case of the update and supplement required to be made as of the record date), and not later than the close of business on the eighth (8th) business day prior to the date of the annual general meeting (in the case of the update and supplement required to be made as of ten (10) business days prior to such annual general meeting). A proposed nominee for election or re-election as a director of the Company pursuant to Article 10 will provide to the Company promptly, but in any event within five business days after such request (or by the day prior to the day of the annual general meeting, if earlier) such other information as the Company may reasonably request, including such information reasonably necessary for the Company to determine whether such proposed nominee will satisfy any qualifications, requirements or standards imposed by the Articles, any law, rule, regulation or listing standard that may be applicable to the Company, or relevant to a determination whether such person can be considered an independent director of the Company. If any information or communication submitted pursuant to Articles 9-15 is inaccurate or incomplete in any respect (as determined by the board of Directors (or any authorized committee thereof) or in accordance with Article 13) in good faith, such information shall be deemed not to have been provided in accordance with Articles 9-15,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12.</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second sentence of Article 10 to the contrary, in the event that the number of directors to be elected to the board of Directors of the Company is increased and there is no public announcement naming all of the nominees for director or specifying the size of the increased board of Directors made by the Company at least ten (10) days before the last day a Shareholder may deliver a notice of nomination in accordance with the second sentence of Article 10, a Shareholder’s notice required by these Articles shall also be considered timely, but only with respect to nominees for any new positions created by such increase, if it shall be received by the Secretary or Directors of the Company not later than the close of business on the tenth (10th) day following the day on which such public announcement is first made by the Company.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13.</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provisions of these Articles shall be eligible for election and to serve as Directors and only such business shall be conducted at an annual general meeting as shall have been brought before the meeting in accordance with the provisions of these Articles. The board of Directors or a designated committee thereof shall have the power to determine whether a nomination or any business proposed to be brought before the meeting was made in accordance with the provisions of these Articles. If neither the board of Directors nor such designated committee makes a determination as to whether any Shareholder proposal or nomination was made in accordance with the provisions of these Articles, the presiding officer or chairman of the annual general meeting shall have the power and duty to determine whether the Shareholder proposal or nomination was made in accordance with the provisions of these Articles. If the board of Directors or a designated committee thereof or the presiding officer or chairman, as applicable, determines that any Shareholder proposal or nomination was not made in accordance with the provisions of these Articles, such proposal or nomination shall be disregarded and shall not be presented for action at the annual general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14.</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Nothing in Articles 9-15 shall obligate the Company or the board of Directors to include in any proxy statement or other shareholder communication distributed on behalf of the Company or the board of Directors information with respect to any nominee for director or any other matter of business submitted by a Shareholder (other than a proposal included in the Company’s proxy statement pursuant to and in compliance with Rule 14a 8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Notwithstanding the foregoing provisions in Articles 9-15, if the nominating or proposing Shareholder (or a qualified representative of the Shareholder) does not appear at the annual general meeting to present a nomination or any business, such nomination or business shall be disregarded, notwithstanding that proxies in respect of such vote may have been received by the Company. For purposes of in Articles 9-15, to be considered a “</w:t>
            </w:r>
            <w:r>
              <w:rPr>
                <w:rFonts w:ascii="Times New Roman" w:hAnsi="Times New Roman"/>
                <w:b/>
                <w:sz w:val="20"/>
              </w:rPr>
              <w:t>qualified representative</w:t>
            </w:r>
            <w:r>
              <w:rPr>
                <w:rFonts w:ascii="Times New Roman" w:hAnsi="Times New Roman"/>
                <w:sz w:val="20"/>
              </w:rPr>
              <w:t xml:space="preserve">” of the proposing Shareholder, a person must be authorized by a written instrument executed by such Shareholder or an electronic transmission delivered by such Shareholder to act for such Shareholder as proxy at the meeting of Shareholders and such person must produce such written instrument or electronic transmission, or a reliable reproduction of the written instrument or electronic transmission, to the presiding officer or chairman at the meeting of Shareholders.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these Articles, “</w:t>
      </w:r>
      <w:r>
        <w:rPr>
          <w:rFonts w:ascii="Times New Roman" w:hAnsi="Times New Roman"/>
          <w:b/>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furnished or filed by the Company with the SEC pursuant to Section 13, 14 or 15(d) of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Meetings </w:t>
      </w:r>
    </w:p>
    <w:p>
      <w:pPr>
        <w:pStyle w:val="TextBody"/>
        <w:bidi w:val="0"/>
        <w:spacing w:before="0" w:after="0"/>
        <w:jc w:val="left"/>
        <w:rPr/>
      </w:pPr>
      <w:r>
        <w:rPr/>
        <w:t> </w:t>
      </w:r>
    </w:p>
    <w:tbl>
      <w:tblPr>
        <w:tblW w:w="373" w:type="dxa"/>
        <w:jc w:val="left"/>
        <w:tblInd w:w="0" w:type="dxa"/>
        <w:tblLayout w:type="fixed"/>
        <w:tblCellMar>
          <w:top w:w="0" w:type="dxa"/>
          <w:left w:w="0" w:type="dxa"/>
          <w:bottom w:w="0" w:type="dxa"/>
          <w:right w:w="0" w:type="dxa"/>
        </w:tblCellMar>
      </w:tblPr>
      <w:tblGrid>
        <w:gridCol w:w="335"/>
        <w:gridCol w:w="38"/>
      </w:tblGrid>
      <w:tr>
        <w:trPr/>
        <w:tc>
          <w:tcPr>
            <w:tcW w:w="335" w:type="dxa"/>
            <w:tcBorders/>
            <w:vAlign w:val="center"/>
          </w:tcPr>
          <w:p>
            <w:pPr>
              <w:pStyle w:val="TableContents"/>
              <w:bidi w:val="0"/>
              <w:spacing w:before="0" w:after="283"/>
              <w:jc w:val="left"/>
              <w:rPr/>
            </w:pPr>
            <w:r>
              <w:rPr/>
              <w:t>16.</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(a)</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if any, of the holders of any Series of Preferred Shares and any Certificate of Designation, general meetings of Shareholders may be called (i) by the board of Directors acting pursuant to a resolution approved by the affirmative vote of a simple majority of the voting power of the Directors present at a meeting of the Directors, or in accordance with the terms set out in Article 54 of these Articles, or (ii) on the requisition in writing of any Shareholder or Shareholders entitled to attend and vote at a general meeting of the Company (whether such a general meeting is a physical meeting, a hybrid meeting or an electronic meeting, a “</w:t>
            </w:r>
            <w:r>
              <w:rPr>
                <w:rFonts w:ascii="Times New Roman" w:hAnsi="Times New Roman"/>
                <w:b/>
                <w:sz w:val="20"/>
              </w:rPr>
              <w:t>Shareholder Requisitioned General Meeting</w:t>
            </w:r>
            <w:r>
              <w:rPr>
                <w:rFonts w:ascii="Times New Roman" w:hAnsi="Times New Roman"/>
                <w:sz w:val="20"/>
              </w:rPr>
              <w:t>”) holding at least forty (40) percent of the paid up voting share capital of the Company (the “</w:t>
            </w:r>
            <w:r>
              <w:rPr>
                <w:rFonts w:ascii="Times New Roman" w:hAnsi="Times New Roman"/>
                <w:b/>
                <w:sz w:val="20"/>
              </w:rPr>
              <w:t>Requisite Percentage</w:t>
            </w:r>
            <w:r>
              <w:rPr>
                <w:rFonts w:ascii="Times New Roman" w:hAnsi="Times New Roman"/>
                <w:sz w:val="20"/>
              </w:rPr>
              <w:t>”) as of the ownership record date (as defined below) delivered to an officer or the Directors at the principal executive offices of the Company (a “</w:t>
            </w:r>
            <w:r>
              <w:rPr>
                <w:rFonts w:ascii="Times New Roman" w:hAnsi="Times New Roman"/>
                <w:b/>
                <w:sz w:val="20"/>
              </w:rPr>
              <w:t>Shareholder Requisition</w:t>
            </w:r>
            <w:r>
              <w:rPr>
                <w:rFonts w:ascii="Times New Roman" w:hAnsi="Times New Roman"/>
                <w:sz w:val="20"/>
              </w:rPr>
              <w:t>” and such delivery date, the “</w:t>
            </w:r>
            <w:r>
              <w:rPr>
                <w:rFonts w:ascii="Times New Roman" w:hAnsi="Times New Roman"/>
                <w:b/>
                <w:sz w:val="20"/>
              </w:rPr>
              <w:t>Shareholder Requisition Delivery Date</w:t>
            </w:r>
            <w:r>
              <w:rPr>
                <w:rFonts w:ascii="Times New Roman" w:hAnsi="Times New Roman"/>
                <w:sz w:val="20"/>
              </w:rPr>
              <w:t xml:space="preserve">”)). Such Shareholder Requisition shall (i) specify the business of the general meeting and the matters to be proposed at the general meeting, each of which shall be a business and matter properly brought before a general meeting in accordance with these Articles and applicable law, (ii) be dated and signed by each such Shareholder (or qualified representative) (iii) contain the information required by Articles 9-15 with respect to any director nominations or other business proposed to be presented at the general meeting; provided however, that, with respect to the Material Ownership Interests disclosure required by Article 10(e), the Shareholder Requisition shall be accompanied by documentary evidence supporting such disclosure as of the ownership record date; provided, however, that if the requesting persons are not the beneficial owners of the Shares representing the Requisite Percentage, then to be valid, the Shareholder Requisition must also include documentary evidence of the Material Ownership Interests of the beneficial owners on whose behalf the Shareholder Requisition is made, and (iv) be delivered to an officer or the Directors at the principal executive offices of the Company, by hand or by certified or registered mail, return receipt requested, within 60 days after the ownership record date. For the avoidance of doubt, the number of nominees a Shareholder may nominate for election at a general meeting (or in the case of a Shareholder giving the notice on behalf of a beneficial owner, the number of nominees a Shareholder may nominate for election at the general meeting on behalf of the beneficial owner) shall not exceed the number of directors to be elected at such general meeting. Only those matters set forth in the notice of the general meeting may be considered or acted upon at a general meeting of Shareholders. For the avoidance of doubt, nominations of persons for election to the board of Directors of the Company and Shareholder proposals of other business may be brought before a general meeting of Shareholders in the same manner as provided for annual general meetings in accordance with the terms of Articles 9-15. Any person seeking to request a general meeting shall first request that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board of Directors fix a record date to determine the persons entitled to request a special meeting (the “</w:t>
            </w:r>
            <w:r>
              <w:rPr>
                <w:b/>
              </w:rPr>
              <w:t>ownership record date</w:t>
            </w:r>
            <w:r>
              <w:rPr/>
              <w:t>”) by delivering notice in writing to the Secretary or the Directors at the principal executive offices of the Company (the “</w:t>
            </w:r>
            <w:r>
              <w:rPr>
                <w:b/>
              </w:rPr>
              <w:t>record date request notice</w:t>
            </w:r>
            <w:r>
              <w:rPr/>
              <w:t xml:space="preserve">”). A person’s record date request notice shall contain information about the Class or Series and number of shares of the Company which are owned of record and beneficially by the person as of the date of the record date request notice and state the business proposed to be acted on at the meeting. Upon receiving a record date request notice, the board of Directors may set an ownership record date. Notwithstanding any other provision of these Articles, the ownership record date shall not precede the date upon which the resolution fixing the ownership record date is adopted by the board of Directors, and shall not be more than 10 days after the close of business on the date upon which the resolution fixing the ownership record date is adopted by the board of Directors. If the board of Directors, within 10 days after the date upon which a valid record date request notice is received by the Secretary or the Directors, does not adopt a resolution fixing the ownership record date, the ownership record date shall be the close of business on the 10th day after the date upon which a valid record date request notice is received by the Secretary or the Directors (or, if such 10th day is not a business day, the first business day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not be required to call a Shareholder Requisitioned General Meeting if (i) the Shareholder Requisition does not comply with Article 16, (ii) the board of Directors has called, or calls an annual general meeting or a general meeting to be held within ninety (90) days after the Shareholder Requisition Delivery Date and the business of such meeting includes the business specified in the Shareholder Requisition; (iii) an annual general meeting or a general meeting has been held within twelve (12) months of the Shareholder Requisition Delivery Date at which the business specified in the Shareholder Requisition was considered; or (iv) the Shareholder Requisition relates to an item of business that is not a Proper Subject, or that involves a violation of, applicable law, such determinations under (ii), (iii) and (iv) to be made in good faith by the board of Directors. If the Shareholders who deposited the Shareholder Requisition in accordance with Article 16 do not attend the Shareholder Requisitioned General Meeting either in person (or by proxy) or by a qualified representative to present the business specified in the Shareholder Requisition, the Company shall not be required to present such business for a vote at such Shareholder Requisitioned General Meeting notwithstanding that proxies and votes in respect of such matter may have been received by the Company. Business transacted at a shareholder-requested general meeting shall be limited to: (i) the business stated in the valid Shareholder Requisition received from the Requisite Percentage; and (ii) any additional business that the board of Directors determines to include in the Company’s notice of meeting. The board of Directors may postpone or adjourn any general meeting previously scheduled pursuant to this Article 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a Shareholder Requisitioned General Meeting is determined by an officer or the board of Directors, as applicable, to comply with Article 16, such Shareholder Requisitioned General Meeting shall be held not less than sixty (60) days and not more than ninety (90) days after the Shareholder Requisition Delivery Date, and written notice of such Shareholder Requisitioned General Meeting shall be given in accordance with the provisions in Article 17, save that the timing requirements for notice set out in Article 17 shall be replaced by the requirement that such notice of Shareholder Requisitioned General Meeting be given no later than 30 days after the Shareholder Requisition Delivery Date. Any Shareholder having requisitioned a Shareholder Requisitioned General Meeting in compliance with Article 16 may revoke such Shareholder Requisition at any time by written notice delivered to an officer or the Directors.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Notice of Meetings; Adjournments; Postponements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17.</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notice of each annual general meeting stating the time, date and place of such annual general meeting (and, if the annual general meeting is to be a hybrid meeting or an electronic meeting, the details of the electronic facilities for attendance and participation by electronic means at the annual general meeting)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which Shareholders and proxyholders may be deemed to be present in person and vote at such meeting, in each case as determined by the Directors, shall be given not less than seven (7) days nor more than sixty (60) days before the annual general meeting, to each Shareholder entitled to vote thereat as of the relevant record date for such meeting by delivering such notice to such Shareholder in accordance with Articles 123-127. No business may be transacted at such annual general meeting otherwise than specified in the notice of annual general meeting or as otherwise outlined in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18.</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all general meetings of Shareholders shall be given in the same manner as provided for annual general meetings, except that the notice of all general meetings shall state the business, purpose or purposes for which the meeting has been called.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19.</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an annual general meeting or general meeting of Shareholders need not be given to a Shareholder if a waiver of notice is executed and filed with the records of the meeting, or waiver of notice by electronic transmission is provided, before or after such meeting by such Shareholder or if such Shareholder attends such meeting (whether such meeting is a physical meeting, a hybrid meeting or an electronic meeting), unless such attendance is for the express purpose of objecting at the beginning of the meeting to the transaction of any business because the meeting was not lawfully called or convened or that a matter to be considered when it is presented to the meeting, is not within the purposes described in the notice of such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20.</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postpone, cancel and reschedule any previously scheduled annual general meeting or general meeting of Shareholders and any record date with respect thereto for any reason or for no reason at any time prior to the time for holding such meeting or, if the meeting is adjourned, adjourn for the reasons set out in, and in accordance with, Article 21. The Directors shall make a public announcement of any cancellation or postponement or otherwise provide notice to Shareholders of any cancellation or postponement, including a public announcement or notice specifying the form of the postponed or adjourned meeting (whether a physical meeting, a hybrid meeting or an electronic meeting). A postponement may be for a stated period of any length or indefinitely as the Directors may determine. In no event shall the public announcement of an adjournment, cancellation, postponement or rescheduling of any previously scheduled meeting of Shareholders commence a new time period (or extend any time period) for the giving of a Shareholder’s notice under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any meeting is convened, the chairman of the meeting may adjourn the meeting if (i) no quorum is present for the transaction of business, (ii) the chairman determines that adjournment is necessary or appropriate to enable the Shareholders to consider fully information which the chairman determines has not been made sufficiently or timely available to Shareholders, or (iii) the chairman determines that adjournment is otherwise in the best interests of the Company. When any annual general meeting or general meeting of Shareholders is adjourned to another time, date or place, notice need not be given of the adjourned meeting other than an announcement at the meeting at which the adjournment is taken of the time, date, place and the form of such meeting (whether a physical meeting, a hybrid meeting or an electronic meeting), if any, to which the meeting is adjourned; provided, however, that if the adjournment is for more than thirty (30) days from the meeting date, or if after the adjournment a new record date is fixed for the adjourned meeting, notice of the adjourned meeting specifying the time, date, place and the form of such meeting (whether a physical meeting, a hybrid meeting or an electronic meeting) shall be given to each Shareholder of record entitled to vote thereat and each Shareholder who, under these Articles, is entitled to such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22.</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meeting to or the non-receipt of a notice of a meeting by any Shareholder shall not invalidate the proceedings at any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Quorum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23.</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required in any Certificate of Designation (as the case may be) or these Articles, the holders of record of one-third of the issued and outstanding Shares entitled to vote, present in person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represented by proxy, shall constitute a quorum at any meeting of Shareholders. If less than a quorum is present at a meeting, the holders of Shares representing a simple majority of the voting power present at the meeting or the presiding officer or chairman may adjourn the meeting from time to time, and the meeting may be held as adjourned without further notice, except as provided in Articles 17-21. A meeting will be adjourned until quorum is present. At such adjourned meeting at which a quorum is present, any business may be transacted which might have been transacted at the original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24.</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attendance at an annual general meeting or general meeting, it is immaterial whether any two or more Shareholders attending it are in the same place or using the same form (whether a physical meeting, a hybrid meeting or an electronic meeting) as each other.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25.</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or more Shareholders who are not in the same place as each other (or not attending using the same form as each other, whether through a physical meeting, a hybrid meeting or an electronic meeting) attend an annual general meeting or general meeting if their circumstances are such that if they have (or were to have) rights to speak and vote at that meeting, they are (or would be) able to exercise them.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Voting and Proxies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335"/>
        <w:gridCol w:w="920"/>
      </w:tblGrid>
      <w:tr>
        <w:trPr/>
        <w:tc>
          <w:tcPr>
            <w:tcW w:w="335" w:type="dxa"/>
            <w:tcBorders/>
            <w:vAlign w:val="center"/>
          </w:tcPr>
          <w:p>
            <w:pPr>
              <w:pStyle w:val="TableContents"/>
              <w:bidi w:val="0"/>
              <w:spacing w:before="0" w:after="283"/>
              <w:jc w:val="left"/>
              <w:rPr/>
            </w:pPr>
            <w:r>
              <w:rPr/>
              <w:t>26.</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in these Articles and subject to any rights and restrictions for the time being attached to any Share, every holder of an Ordinary Share present in person and every Person representing a Shareholder by proxy shall, at an annual general meeting or general meeting of the Company, have one vote for each Ordinary Share of which he or she or the Person represented by proxy is the 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otherwise provided for in a Certificate of Designation or as otherwise provided in these Articles and subject to any rights and restrictions for the time being attached to any Share, a holder of a Preferred Share shall have no voting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27.</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those Shareholders entitled to vote at any meeting of the Shareholders, except as otherwise provided by law, only persons in whose names are recorded on the Register on the record date, as provided in Article 41, shall be entitled to vote at any meeting of Shareholders. Every person entitled to vote shall have the right to do so either in person, by remote communication, if applicable, or by an agent or agents authorized by a duly appointed proxy. An agent so appointed need not be a Shareholder.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283"/>
              <w:jc w:val="left"/>
              <w:rPr/>
            </w:pPr>
            <w:r>
              <w:rPr/>
              <w:t>28.</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29.</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either: (i) in writing under the hand of the appointor or of his or her duly authorized attorney or, if the appointor is a corporation, either under Seal or under the hand of an Officer or attorney duly authorized; or (ii) given in such other manner as described in any form of proxy provided by the Company. A proxy need not be a Shareholder.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335"/>
        <w:gridCol w:w="9830"/>
      </w:tblGrid>
      <w:tr>
        <w:trPr/>
        <w:tc>
          <w:tcPr>
            <w:tcW w:w="335" w:type="dxa"/>
            <w:tcBorders/>
            <w:vAlign w:val="center"/>
          </w:tcPr>
          <w:p>
            <w:pPr>
              <w:pStyle w:val="TableContents"/>
              <w:bidi w:val="0"/>
              <w:spacing w:before="0" w:after="283"/>
              <w:jc w:val="left"/>
              <w:rPr/>
            </w:pPr>
            <w:r>
              <w:rPr/>
              <w:t>30.</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instrument appointing a proxy may be in any usual or common form or such other form as the Directors may approve.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31.</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Office or at such other place as is specified for that purpose in the notice convening the meeting no later than the time specified in the notice convening the general meeting or, if no such time is specified, no later than the time for holding the meeting or, if the meeting is adjourned, the time for holding such adjourned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Shares held in the name of two or more persons shall be valid if executed by or on behalf of any one of them unless at or prior to the exercise of the proxy the Company receives a specific written notice to the contrary from any one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33.</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resolution put to the vote of the meeting shall be decided on a poll in such manner as the chairman directs and the result of the poll shall be deemed to be the resolution of the meeting.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Action at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34.</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a quorum is present at any meeting of Shareholders, any matter before any such meeting (other than an election of a director or directors) shall be decided by a simple majority of the votes properly cast for and against such matter, except where otherwise required under these Articles (including, without limitation, Articles 93, 128, 137 and 139), any Certificate of Designation, or by applicable law. For the avoidance of doubt, any election of directors by Shareholders entitled to vote on such election shall be determined by a plurality of the votes in accordance with Article 44.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Conduct of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every meeting of Shareholders, and unless otherwise determined by the board of Directors, the chairman of the Directors, or, if a chairman has not been appointed or is absent, the chief executive officer shall act as chairman of the meeting. The Secretary, or, in his or her absence, an assistant Secretary directed to do so by the chairman, shall act as Secretary of the meeting. The chairman of the meeting shall be entitled to make such rules or regulations for the conduct of meetings of Shareholders as it shall deem necessary, appropriate or convenient including, without limitation, establishing order of business for the meeting, rules and procedures for maintaining order at the meeting, limitations on participation in such meeting to Shareholders of record of the Company and regulation of the opening and closing of the polls for balloting on matters which are to be voted on by ballot. The chairman at any meeting of Shareholders shall have the power, among other things, to adjourn such meeting at any time and from time to time, subject to Article 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36.</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meeting may, in its absolute discretion, arrange for persons entitled to attend an annual general meeting or general meeting to do so by either one or both of the following: (i) physical attendance at the location of the annual general meeting or general meeting as determined by the chairman of the meeting in its absolute discretion and (ii) participation by means of electronic facilities as determined by the chairman of the meeting, in its absolute discretion. Without prejudice to any other provision of these Articles, any Shareholder or any proxy physically attending in any such way and any Shareholder or any proxy participating in any electronic meeting or a hybrid meeting by means of electronic facilities is deemed to be present at and shall be counted in the quorum of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pPr>
            <w:r>
              <w:rPr/>
              <w:t>37.</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 annual general meeting or general meeting may attend, preside as chair at, and conduct proceedings of, such meeting by means of electronic facilities.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Inspector of Elections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38.</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advance of any meeting of Shareholders, appoint one or more inspectors to act at the meeting and make a written report thereof. The Company may designate one or more persons as alternate inspectors to replace any inspector who fails to act. If no inspector or alternate is able to act at a meeting of Shareholders, the presiding officer or chairman shall appoint one or more inspectors to act at the meeting. Any inspector may, but need not, be an officer, employee or agent of the Company. Each inspector, before entering upon the discharge of his or her duties, shall take and sign an oath faithfully to execute the duties of inspector with strict impartiality and according to the best of his or her ability. The inspectors shall perform such duties as are required by applicable law, including the counting of all votes and ballots. The inspectors may appoint or retain other persons or entities to assist the inspectors in the performance of the duties of the inspectors. The presiding officer or chairman may review all determinations made by the inspectors, and in so doing the presiding officer or chairman shall be entitled to exercise his or her sole judgment and discretion and he or she shall not be bound by any determinations made by the inspectors. All determinations by the inspectors and, if applicable, the presiding officer or chairman, shall be subject to further review by any court of competent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Corporations Acting by Representatives at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39.</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Shareholder or a Director may by resolution of its directors or other governing body authorize such Person as it thinks fit to act as its representative at any meeting of the Company or of any meeting of holders of any Class of Shareholder or of the Directors or of a committee of Directors, and the Person so authorized shall be entitled to exercise the same powers on behalf of the corporation which he or she represents as that corporation could exercise if it were an individual Shareholder or Director.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Clearing Houses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40.</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clearing house (or its nominee) is a Shareholder of the Company it may authorize (including through an omnibus proxy form) such Person or Persons as it thinks fit to act as its representative or representatives at any meeting of the Company or at any meeting of any Class of Shareholder of the Company. A Person so authorized pursuant to this Article 40 shall be entitled to exercise the same powers on behalf of the clearing house (or its nominee) which he or she represents as that clearing house (or its nominee) could exercise if it were an individual Shareholder holding the number and Class of Shares specified in such authorization.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Record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41.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that the Company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Shares or for the purpose of any other lawful action, the board of Directors may fix a record date, which record date shall not precede the date upon which the resolution fixing the record date is adopted by the board of Directors, unless otherwise agreed by the Directors, and which record date: (a) in the case of determination of Shareholders entitled to vote at any meeting of Shareholders, shall, unless otherwise required by applicable law, not be more than sixty (60) nor less than ten (10) days before the date of such meeting and (b) in the case of any other action, shall not be more than sixty (60) days prior to such other action. If no record date is fixed: (i)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and (ii) the record date for determining Shareholders for any other purpose shall be at the close of business on the day on which the board of Directors adopts the resolution relating thereto.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Powers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42.</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Term of Office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43.</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specified by these Articles or any Certificate of Designation, the size of the board of Directors shall be fixed by the board of Directors and may be increased or decreased at any time by the affirmative vote of a simple majority of the voting power of the Directors present, or in accordance with terms set out in Article 54 of these Articles. If for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reason, the Directors shall not have been elected at an annual general meeting in accordance with these Articles, they may be elected as soon thereafter as convenient at a general meeting of the Shareholders called for that purpose in the manner provided in these Articles.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44.</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the holders of any Series of Preferred Shares to elect additional directors specified by these Articles or any Certificate of Designation, for so long as the Company’s Shares are traded on a Designated Stock Exchange, the Directors (other than those who may be elected by the holders of any Series of Preferred Shares) shall be divided into three classes designated as Class I, Class II and Class III, respectively. The Directors are authorized to assign Directors already in office to such classes in accordance with a resolution or resolutions adopted by the board of Directors. At the first annual general meeting of Shareholders following the date of adoption of these Articles, the term of office of the Class I directors shall expire and Class I directors shall be elected for a full term of three years. At the second annual general meeting of Shareholders following the date of adoption of these Articles, the term of office of the Class II directors shall expire and Class II directors shall be elected for a full term of three years. At the third annual general meeting of Shareholders following the date of adoption of these Articles, the term of office of the Class III directors shall expire and Class III directors shall be elected for a full term of three years. At each succeeding annual general meeting of Shareholders, directors shall be elected for a full term of three years to succeed the directors of the class whose terms expire at such annual general meeting. Notwithstanding the foregoing provisions of this Article 42, each Director shall serve until his or her successor is duly elected and qualified or until his or her earlier death, resignation or removal. No decrease in the number of directors constituting the board of Directors shall shorten the term of any incumbent director. Any election of directors by Shareholders shall be determined by a plurality of the votes properly cast on the election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Qualification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283"/>
              <w:jc w:val="left"/>
              <w:rPr/>
            </w:pPr>
            <w:r>
              <w:rPr/>
              <w:t>45.</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Director or officer need be a Shareholder of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Vacancies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46.</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to elect Directors and to fill vacancies in the board of Directors relating thereto in these Articles or any Certificate of Designation, any and all vacancies in the board of Directors, however occurring, including, without limitation, by reason of an increase in the size of the board of Directors, or the death, resignation, disqualification or removal of a Director, shall be filled by the affirmative vote of a simple majority of the voting power of the Directors present, or in accordance with the terms set out in Article 54 of these Articles, or by a sole remaining director, and not by the Shareholders.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In the event of a vacancy in the board of Directors, the remaining Directors, except as otherwise provided by law, shall exercise the powers of the full board of Directors until the vacancy is filled.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Removal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47.</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these Articles or any Certificate of Designation, neither the board of Directors nor any individual Director may be removed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48.</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Ordinary Resolution (the “</w:t>
            </w:r>
            <w:r>
              <w:rPr>
                <w:rFonts w:ascii="Times New Roman" w:hAnsi="Times New Roman"/>
                <w:b/>
                <w:i/>
                <w:sz w:val="20"/>
              </w:rPr>
              <w:t>Shareholder</w:t>
            </w:r>
            <w:r>
              <w:rPr>
                <w:rFonts w:ascii="Times New Roman" w:hAnsi="Times New Roman"/>
                <w:sz w:val="20"/>
              </w:rPr>
              <w:t xml:space="preserv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49.</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and restrictions of holders of any Series of Preferred Shares to remove Directors specified by these Articles or any Certificate of Designation, any individual Director or board of Directors may be removed with cause by a simple majority of Directors then in office (the “</w:t>
            </w:r>
            <w:r>
              <w:rPr>
                <w:rFonts w:ascii="Times New Roman" w:hAnsi="Times New Roman"/>
                <w:b/>
                <w:i/>
                <w:sz w:val="20"/>
              </w:rPr>
              <w:t>Director Requisite Removal with Cause Threshold</w:t>
            </w:r>
            <w:r>
              <w:rPr>
                <w:rFonts w:ascii="Times New Roman" w:hAnsi="Times New Roman"/>
                <w:sz w:val="20"/>
              </w:rPr>
              <w:t>” and together with the Shareholder Requisite Removal with Cause Threshold, the “</w:t>
            </w:r>
            <w:r>
              <w:rPr>
                <w:rFonts w:ascii="Times New Roman" w:hAnsi="Times New Roman"/>
                <w:b/>
                <w:i/>
                <w:sz w:val="20"/>
              </w:rPr>
              <w:t>Requisite Removal with Cause Threshold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purposes of Articles 47, 48 and 49 and any Certificate of Designation (as the case may be), “cause” for the removal of a Director shall be deemed to exist only if such Director has been found by the affirmative vote of the applicable Requisite Removal with Cause Threshold (provided that written advice of external legal counsel has been provided to the Company in support of such finding), or by a court of competent jurisdiction, to have been guilty of (a) wilful misconduct or fraud in the performance of such director’s duties to the Company or (b) any fraud or dishonesty or having acted in any manner which brings, or is likely to bring, such director or the Company into disrepute or is materially adverse to the Company’s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Resignation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50.</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resign at any time by electronic transmission or by giving written notice to the board of Directors, the chairman, if one is elected, or the Secretary. A resignation shall be effective upon receipt, unless the resignation otherwise provides.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Meetings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Meetings of the board of Directors may be held at such time, date and place (including any electronic facilities) as the board of Directors may from time to time determine and publicize by means of twenty-four hours’ notice (either orally or in writing, by telephone, including a voice-messaging system or other system designed to record and communicate messages, telegraph or telex, or by electronic mail or other electronic means), unless such notice is waived. A notice or waiver of notice need not specify the purpose of the meeting. Notice of a meeting need not be given to any Director if a waiver of notice signed by the Director before or after the meeting or delivered by the Director by means of electronic transmission is filed with the minutes or to any Director who attends the meeting without objecting to holding the meeting or transacting business at the meeting at the beginning of the meeting or promptly upon the Director’s arrival or who thereafter votes for or assents to action taken at the meeting. No further notice shall be required for meetings of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52.</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 simple majority of the voting power of the Directors then in office shall constitute a quorum for the transaction of business, but if less than a quorum is present at a meeting, the chairman, if one is elected, or a simple majority of the voting power of the Directors present may adjourn the meeting finally or from time to time without further notice until a quorum is secured. Any business which might have been transacted at the meeting as originally noticed may be transacted at such adjourned meeting at which a quorum is present. For purposes of this Article 52, the total number of Directors includes any unfilled vacancies on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at Directors’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53.</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meeting of the board of Directors at which a quorum is present, the vote of a simple majority of the voting power of the Directors present shall constitute action by the board of Directors, unless otherwise specified under these Articles or any Certificate of Designation (as the case may be).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Action By Consent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54.</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 writing signed by all the Directors or all the members of a committee of Directors entitled to receive notice of a meeting of Directors or committee of Directors, as the case may be (an alternate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Manner of Participation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55.</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Articles.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Chairman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56.</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elect a chairman of their meetings and determine the period for which they are to hold office but if no such chairman is elected, or if at any meeting the chairman is not present after the time appointed for holding the meeting, the Directors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Committees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57.</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by vote of a simple majority of the voting power of the Directors present or in accordance with the terms set out in Article 54 of these Articles, may elect one or more committees and may delegate thereto some or all of its powers in accordance with these Articles.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Articles for the board of Directors. All members of such committees shall hold such offices as the board of Directors may determine. The board of Directors may abolish any such committee at any time. Any committee to which the board of Directors delegates any of its powers or duties shall keep records of its meetings and shall report its action to the board of Directors. Subject to any regulations imposed on it by the Directors, a committee appointed by the Directors may elect a chairman of its meetings. If no such chairman is elected, or if at any meeting the chairman is not present after the time appointed for holding the meeting, the committee members present may choose one of their number to be chairman of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58.</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shall receive such compensation for their services as shall be determined by a simple majority of the voting power of the Directors present or in accordance with the terms set out in Article 54 of these Articles, or a designated committee thereof.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59.</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is in any way, whether directly or indirectly, interested in a contract or proposed contract with the Company shall declare the nature of his or her interest at a meeting of the Directors. A general notice given to the Directors by any Director to the effect that he or she is to be regarded as interested in any contract or other arrangement which may thereafter be made with that company or firm shall be deemed a sufficient declaration of interest in regard to any contract so made. A Director may vote in respect of any contract or proposed contract or arrangement notwithstanding that he or she may be interested therein and if he or she does so his or her vote shall be counted and he or she may be counted in the quorum at any meeting of the Directors at which any such contract or proposed contract or arrangement shall come before the meeting for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60.</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 Records </w:t>
      </w:r>
    </w:p>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335"/>
        <w:gridCol w:w="6860"/>
      </w:tblGrid>
      <w:tr>
        <w:trPr/>
        <w:tc>
          <w:tcPr>
            <w:tcW w:w="335" w:type="dxa"/>
            <w:tcBorders/>
            <w:vAlign w:val="center"/>
          </w:tcPr>
          <w:p>
            <w:pPr>
              <w:pStyle w:val="TableContents"/>
              <w:bidi w:val="0"/>
              <w:spacing w:before="0" w:after="283"/>
              <w:jc w:val="left"/>
              <w:rPr/>
            </w:pPr>
            <w:r>
              <w:rPr/>
              <w:t>61.</w:t>
            </w:r>
          </w:p>
        </w:tc>
        <w:tc>
          <w:tcPr>
            <w:tcW w:w="6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provided for the purpose of recording: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275"/>
        <w:gridCol w:w="42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appointments of Officers made by the Directors;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290"/>
        <w:gridCol w:w="89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Directors present at each meeting of the Directors and of any committee of the Directors; and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275"/>
        <w:gridCol w:w="94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resolutions and proceedings at all meetings of the Company, and of the Directors and of committees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Authority to Wind Up the Company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pPr>
            <w:r>
              <w:rPr/>
              <w:t>62.</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have the authority to present a winding up petition on behalf of the Company without the sanction of a resolution passed by the Company in a general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Alternate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63.</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Director may in writing appoint another Person to be his or her alternate and, save to the extent provided otherwise in the form of appointment, such alternate shall have authority to sign written resolutions on behalf of the appointing Director, but shall not be authorized to sign such written resolutions where they have been signed by the appointing Director, and to act in such Director’s place at any meeting of the Directors. Every such alternate shall be entitled to attend and vote at meetings of the Directors as the alternate of the Director appointing him or her and where he or she is a Director to have a separate vote in addition to his or her own vote. A Director may at any time in writing revoke the appointment of an alternate appointed by him or her. Such alternate shall not be an Officer solely as a result of his or her appointment as an alternate other than in respect of such times as the alternate acts as a Director. The remuneration of such alternate shall be payable out of the remuneration of the Director appointing him or her and the proportion thereof shall be agreed between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64.</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appoint any Person, whether or not a Director to hold such office in the Company as the Directors may think necessary for the administration of the Company (including, for the avoidance of doubt and without limitation, any chairman (or co-chairman) of the board of Directors, one or more chief executive officers, presiding officer, presidents, a chief financial officer, a Secretary, assistant Secretary, vice-presidents, assistant vice-presidents, a treasurer, assistant treasurer or any other Officers as may be determined by the Directors), and for such term and at such remuneration (whether by way of salary or commission or participation in profits or partly in one way and partly in another), and with such powers and duties as the Directors may think fit. Any Person so appointed by the Directors may be removed by the Directors. No Officer need be a Shareholder or a Director. Any Person may occupy more than one office of the Company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w:t>
            </w:r>
            <w:r>
              <w:rPr>
                <w:rFonts w:ascii="Times New Roman" w:hAnsi="Times New Roman"/>
                <w:b/>
                <w:sz w:val="20"/>
              </w:rPr>
              <w:t>Attorney</w:t>
            </w:r>
            <w:r>
              <w:rPr>
                <w:rFonts w:ascii="Times New Roman" w:hAnsi="Times New Roman"/>
                <w:sz w:val="20"/>
              </w:rPr>
              <w:t>” or “</w:t>
            </w:r>
            <w:r>
              <w:rPr>
                <w:rFonts w:ascii="Times New Roman" w:hAnsi="Times New Roman"/>
                <w:b/>
                <w:sz w:val="20"/>
              </w:rPr>
              <w:t>Authorised</w:t>
            </w:r>
            <w:r>
              <w:rPr>
                <w:rFonts w:ascii="Times New Roman" w:hAnsi="Times New Roman"/>
                <w:sz w:val="20"/>
              </w:rPr>
              <w:t xml:space="preserve"> </w:t>
            </w:r>
            <w:r>
              <w:rPr>
                <w:rFonts w:ascii="Times New Roman" w:hAnsi="Times New Roman"/>
                <w:b/>
                <w:sz w:val="20"/>
              </w:rPr>
              <w:t>Signatory</w:t>
            </w:r>
            <w:r>
              <w:rPr>
                <w:rFonts w:ascii="Times New Roman" w:hAnsi="Times New Roman"/>
                <w:sz w:val="20"/>
              </w:rPr>
              <w:t xml:space="preserve">”,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to the rights and restrictions of holders of any Series of Preferred Shares specified by these Articles or any Certificate of Designation and, where applicable, the rules of the Designated Stock Exchange and/or any competent regulatory authority, all Shares for the time being unissued shall be under the control of the Directors who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allot and dispose of the same to such Persons, in such manner, on such terms and having such rights and being subject to such restrictions as they may from time to time determine; and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290"/>
        <w:gridCol w:w="8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options with respect to such Shares and issue warrants or similar instruments with respect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for such purposes, the Directors may reserve an appropriate number of Shares for the time being unissued.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67.</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Directors, or the Shareholders by Ordinary Resolution, may authorize the division of Shares into any number of Classes and sub-classes and Series and sub-Series and the different Classes and sub-classes and Series and sub-Series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and Series (if any) may be fixed and determined by the Directors or the Shareholders by Ordinary Resolution.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68.</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of Shares may be effected in any manner available under applicable law, including redeeming or repurchasing the relevant Shares and applying the proceeds thereof towards payment for the new Shares. For the purposes of the repurchase or redemption, the Directors may, subject to the Company being able to pay its debts in the ordinary course of business, make payments out of amounts standing to the credit of the Company’s Share Premium Account or out of its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69.</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refuse to accept any application for Shares, and may accept any application in whole or in part, for any reason or for no reason. The Company may, insofar as may be permitted by law, pay a commission to any Person in consideration of their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pPr>
            <w:r>
              <w:rPr/>
              <w:t>70.</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issue fractions of a Share and, if so issued, a fraction of a Share shall be subject to and carry the corresponding fraction of liabilities (whether with respect to nominal or par value, premium,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Calls on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71.</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allotment and issue of any Shares, the Directors may from time to time make calls upon the Shareholders in respect of Shares that are not fully paid, and each Shareholder shall (subject to receiving at least 14 days’ notice specifying the time or times of payment) pay to the Company at the time or times so specified the amount unpaid on such Shares. The Directors may at any time declare any Share to be wholly or in part exempt from the provisions of this Article.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335"/>
        <w:gridCol w:w="7685"/>
      </w:tblGrid>
      <w:tr>
        <w:trPr/>
        <w:tc>
          <w:tcPr>
            <w:tcW w:w="335" w:type="dxa"/>
            <w:tcBorders/>
            <w:vAlign w:val="center"/>
          </w:tcPr>
          <w:p>
            <w:pPr>
              <w:pStyle w:val="TableContents"/>
              <w:bidi w:val="0"/>
              <w:spacing w:before="0" w:after="283"/>
              <w:jc w:val="left"/>
              <w:rPr/>
            </w:pPr>
            <w:r>
              <w:rPr/>
              <w:t>72.</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calls in respect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73.</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74.</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arrangements on the issue of partly paid Shares for a difference between the Shareholders, or the particular Shares, in the amount of calls to be paid and in the times of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75.</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Forfeiture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76.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Shareholder fails to pay any call or instalment of a call in respect of any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77.</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notice shall name a further day (not earlier than the expiration of 14 days from the date of the notice) on or before which the payment required by the notice is to be made, and shall state that in the event of non-payment at or before the time appointed the Shares in respect of which the call was made will be liable to be forfeited.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78.</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79.</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80.</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81.</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statutory declaration in writing that the declarant is a Director, and that a Share has been duly forfeited on a date stated in the declaration, shall be conclusive evidence of the facts in the declaration as against all Persons claiming to be entitled to the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82.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83.</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and the rules or regulations of the Designated Stock Exchange or any relevant rules of the SEC or securities laws (including, but not limited to the Exchange Act), a Shareholder may transfer all or any of his or her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84.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(i) any usual or common form; (ii) such form as is prescribed by the Designated Stock Exchange; or (iii) in any other form the Directors may determine and shall be executed by or on behalf of the transferor (or otherwise as prescribed by the rules and regulations of the Designated Stock Exchange)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85.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issue thereof and the rules or regulations of the Designated Stock Exchange or any relevant rules of the SEC or securities laws (including, but not limited to the Exchange Act), the Directors may determine to decline to register any transfer of Shares without assigning any reason therefor.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pPr>
            <w:r>
              <w:rPr/>
              <w:t>86.</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times and for such periods as the Directors may from time to time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87.</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instruments of transfer that are registered shall be retained by the Company, but any instrument of transfer that the Directors decline to register shall (except in any case of fraud) be returned to the Person depositing the same.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Transmission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88.</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holder of the Share, shall be the only Person recognised by the Company as having any title to the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89.</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90.</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91.</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from time to time by Ordinary Resolution increase the share capital by such sum, to be divided into Shares of such Classes and amount, as the resolution shall prescribe.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92.</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specified by these Articles or any Certificate of Designation, the Company may by Ordinary Resolution: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75"/>
        <w:gridCol w:w="87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a larger amount than its existing Shares;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290"/>
        <w:gridCol w:w="94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convert all or any of its paid up Shares into stock and reconvert that stock into paid up Shares of any denomination;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(d)</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that, at the date of the passing of the resolution, have not been taken or agreed to be taken by any Person and diminish the amount of its share capital by the amount of the Shares so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93.</w:t>
            </w:r>
          </w:p>
        </w:tc>
        <w:tc>
          <w:tcPr>
            <w:tcW w:w="98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reduce its share capital and any capital redemption reserve in any manner authorized by law.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Purchase and Surrender of Shares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335"/>
        <w:gridCol w:w="8045"/>
      </w:tblGrid>
      <w:tr>
        <w:trPr/>
        <w:tc>
          <w:tcPr>
            <w:tcW w:w="335" w:type="dxa"/>
            <w:tcBorders/>
            <w:vAlign w:val="center"/>
          </w:tcPr>
          <w:p>
            <w:pPr>
              <w:pStyle w:val="TableContents"/>
              <w:bidi w:val="0"/>
              <w:spacing w:before="0" w:after="283"/>
              <w:jc w:val="left"/>
              <w:rPr/>
            </w:pPr>
            <w:r>
              <w:rPr/>
              <w:t>94.</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rules of the Designated Stock Exchange, the Company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Company or the Shareholder on such terms and in such manner as the Directors may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on such terms and in such manner as the Directors may determine and agree with the Shareholder;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authorized by the Companies Act, including out of its capital;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(d)</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95.</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96.</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purchase or surrender of any Share shall not be deemed to give rise to the redemption, purchase or surrender of any other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97.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when making payments in respect of redemption or purchase of Shares, if authorized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pPr>
            <w:r>
              <w:rPr/>
              <w:t>98.</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that the Company purchases, redeems or acquires (by way of surrender or otherwise) may, at the option of the Company, be cancelled immediately or held as Treasury Shares in accordance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Companies Act. In the event that the Directors do not specify that the relevant Shares are to be held as Treasury Shares, such Shares shall be cancelled.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99.</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dividend may be declared or paid, and no other distribution (whether in cash or otherwise) of the Company’s assets (including any distribution of assets to Shareholders on a winding up) may be declared or paid in respect of a Treasury Share.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455"/>
        <w:gridCol w:w="7955"/>
      </w:tblGrid>
      <w:tr>
        <w:trPr/>
        <w:tc>
          <w:tcPr>
            <w:tcW w:w="455" w:type="dxa"/>
            <w:tcBorders/>
            <w:vAlign w:val="center"/>
          </w:tcPr>
          <w:p>
            <w:pPr>
              <w:pStyle w:val="TableContents"/>
              <w:bidi w:val="0"/>
              <w:spacing w:before="0" w:after="283"/>
              <w:jc w:val="left"/>
              <w:rPr/>
            </w:pPr>
            <w:r>
              <w:rPr/>
              <w:t>100.</w:t>
            </w:r>
          </w:p>
        </w:tc>
        <w:tc>
          <w:tcPr>
            <w:tcW w:w="7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entered in the Register as the holder of the Treasury Shares; provided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be treated as a member for any purpose and shall not exercise any right in respect of the Treasury Shares, and any purported exercise of such a right shall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455"/>
        <w:gridCol w:w="9320"/>
      </w:tblGrid>
      <w:tr>
        <w:trPr/>
        <w:tc>
          <w:tcPr>
            <w:tcW w:w="455" w:type="dxa"/>
            <w:tcBorders/>
            <w:vAlign w:val="center"/>
          </w:tcPr>
          <w:p>
            <w:pPr>
              <w:pStyle w:val="TableContents"/>
              <w:bidi w:val="0"/>
              <w:spacing w:before="0" w:after="283"/>
              <w:jc w:val="left"/>
              <w:rPr/>
            </w:pPr>
            <w:r>
              <w:rPr/>
              <w:t>101.</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Treasury Shares may be disposed of by the Company on such terms and conditions as determined by the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Capitalization of Reserves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455"/>
        <w:gridCol w:w="5555"/>
      </w:tblGrid>
      <w:tr>
        <w:trPr/>
        <w:tc>
          <w:tcPr>
            <w:tcW w:w="455" w:type="dxa"/>
            <w:tcBorders/>
            <w:vAlign w:val="center"/>
          </w:tcPr>
          <w:p>
            <w:pPr>
              <w:pStyle w:val="TableContents"/>
              <w:bidi w:val="0"/>
              <w:spacing w:before="0" w:after="283"/>
              <w:jc w:val="left"/>
              <w:rPr/>
            </w:pPr>
            <w:r>
              <w:rPr/>
              <w:t>102.</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these Articles, the Directors may: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resolve to capitalize an amount standing to the credit of reserves (including a Share Premium Account, capital redemption reserve and profit and loss account), whether or not available for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the sum resolved to be capitalized to the Shareholders in proportion to the nominal amount of Shares (whether or not fully paid) held by them respectively and apply that sum on their behalf in or towards: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paying up the amounts (if any) for the time being unpaid on Shares held by them respectively, or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290"/>
        <w:gridCol w:w="7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paying up in full unissued Shares or debentures of a nominal amount equal to that sum,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102, only be applied in paying up unissued Shares to be allotted to Shareholders credited as fully 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any arrangements they think fit to resolve a difficulty arising in the distribution of a capitalized reserve and in particular, without limitation, where Shares or debentures become distributable in fractions the Directors may deal with the fractions as they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(d)</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a Person to enter (on behalf of all the Shareholders concerned) into an agreement with the Company providing for either: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(i)</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allotment to the Shareholders respectively, credited as fully paid, of Shares or debentures to which they may be entitled on the capitalization,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Company on behalf of the Shareholders (by the application of their respective proportions of the reserves resolved to be capitalized) of the amounts or part of the amounts remaining unpaid on their existing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any such agreement made under this authority being effective and binding on all those Shareholders;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250" w:type="dxa"/>
        <w:jc w:val="left"/>
        <w:tblInd w:w="0" w:type="dxa"/>
        <w:tblLayout w:type="fixed"/>
        <w:tblCellMar>
          <w:top w:w="0" w:type="dxa"/>
          <w:left w:w="0" w:type="dxa"/>
          <w:bottom w:w="0" w:type="dxa"/>
          <w:right w:w="0" w:type="dxa"/>
        </w:tblCellMar>
      </w:tblPr>
      <w:tblGrid>
        <w:gridCol w:w="75"/>
        <w:gridCol w:w="275"/>
        <w:gridCol w:w="89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do all acts and things required to give effect to any of the actions contemplated by this Article 102.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Premium Account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103.</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in accordance with the Companies Act establish a Share Premium Account and shall carry to the credit of such account from time to time a sum equal to the amount or value of the premium paid on the issue of any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104.</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debited to any Share Premium Account on the redemption or purchase of a Share the difference between the nominal value of such Share and the redemption or purchase price; provided that at the determination of the Directors such sum may be paid out of the profits of the Company or, if permitted by the Companies Act, out of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Certificates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105.</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so determined by the Directors, any Person whose name is entered as a member in the Register may receive a certificate in the form determined by the Directors. All certificates shall specify the Share or Shares held by that person and the amount paid up thereon;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Shareholder’s registered address as appearing in the Register.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283"/>
              <w:jc w:val="left"/>
              <w:rPr/>
            </w:pPr>
            <w:r>
              <w:rPr/>
              <w:t>106.</w:t>
            </w:r>
          </w:p>
        </w:tc>
        <w:tc>
          <w:tcPr>
            <w:tcW w:w="97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share certificate of the Company shall bear legends required under the applicable laws, including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107.</w:t>
            </w:r>
          </w:p>
        </w:tc>
        <w:tc>
          <w:tcPr>
            <w:tcW w:w="97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two or more certificates representing Shares of any one Class held by any Shareholder may at the Shareholder’s request be cancelled and a single new certificate for such Shares issued in lieu on payment (if the Directors shall so require) of US$1.00 or such smaller sum as the Directors shall determine.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108.</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share certificate shall be damaged or defaced or alleged to have been lost, stolen or destroyed, a new certificate representing the same Shares may be issued to the relevant Shareholder upon request subject to delivery of the old certificate or (if alleged to have been lost, stolen or destroyed) compliance with such conditions as to evidence and indemnity and the payment of out-of-pocket expenses of the Company in connection with the request as the Directors may think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283"/>
              <w:jc w:val="left"/>
              <w:rPr/>
            </w:pPr>
            <w:r>
              <w:rPr/>
              <w:t>109.</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Shares are held jointly by several persons, any request may be made by any one of the joint holders and if so made shall be binding on all of the joint 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110.</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Whenever the capital of the Company is divided into different Classes (and as otherwise determined by the Directors)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a simple majority of the issued Shares of the relevant Class, or with the sanction of a resolution passed at a separate meeting of the holders of the Shares of such Class by a simple majority of the votes cast at such a meeting. To every such separate meeting all the provisions of these Articles relating to general meetings of the Company or to the proceedings thereat shall, mutatis mutandis, apply.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The Directors may vary the rights attaching to any Class without the consent or approval of Shareholders provided that the rights will not, in the determination of the Directors, be materially adversely varied or abrogated by such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111.</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upon the holders of the Shares of any Class shall not, unless otherwise expressly provided by the terms of issue of the Shares of that Class, be deemed to be materially adversely varied or abrogated by, inter alia, the creation, allotment or issue of Shares ranking pari passu with them, subsequent to them, with preferred rights (including enhanced voting rights) or the redemption or purchase of any Shares of any Class by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Declaration of Dividends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112.</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or as otherwise provided for in the Companies Act, these Articles and any Certificate of Designation, the Directors may from time to time declare dividends (including interim dividends) and other distributions on Shares in issue and authorize payment of the same out of the funds of the Company lawfully available therefor. Dividends may be paid in cash, in property, or in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113.</w:t>
            </w:r>
          </w:p>
        </w:tc>
        <w:tc>
          <w:tcPr>
            <w:tcW w:w="97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114.</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dividend may be paid in any manner as the Directors may determine. If paid by cheque it will be sent through the post to the registered address of the Shareholder or Person entitled thereto, or in the case of joint holders, to any one of such joint holders at his or her registered address or to such Person and such address as the Shareholder or Person entitled, or such joint holders as the case may be, may direct. Every such cheque shall be made payable to the order of the Person to whom it is sent or to the order of such other Person as the Shareholder or Person entitled, or such joint holders as the case may be, may direct.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
        <w:gridCol w:w="9770"/>
      </w:tblGrid>
      <w:tr>
        <w:trPr/>
        <w:tc>
          <w:tcPr>
            <w:tcW w:w="435" w:type="dxa"/>
            <w:tcBorders/>
            <w:vAlign w:val="center"/>
          </w:tcPr>
          <w:p>
            <w:pPr>
              <w:pStyle w:val="TableContents"/>
              <w:bidi w:val="0"/>
              <w:spacing w:before="0" w:after="283"/>
              <w:jc w:val="left"/>
              <w:rPr/>
            </w:pPr>
            <w:r>
              <w:rPr/>
              <w:t>115.</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several Persons are registered as joint holders of any Share, any of them may give effectual receipts for any dividend or other moneys payable on or in respect of the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Indemnification Of Directors, Officers, Employees and Other Agents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116.</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 the fullest extent permitted by law, every Director (including, for the purposes of this Article 116, any alternate Director appointed pursuant to the provisions of these Articles), Secretary, assistant Secretary, or other Officer (but not including the Company’s auditors) and the personal representatives of the same (each an “</w:t>
            </w:r>
            <w:r>
              <w:rPr>
                <w:rFonts w:ascii="Times New Roman" w:hAnsi="Times New Roman"/>
                <w:b/>
                <w:i/>
                <w:sz w:val="20"/>
              </w:rPr>
              <w:t>Indemnified Person</w:t>
            </w:r>
            <w:r>
              <w:rPr>
                <w:rFonts w:ascii="Times New Roman" w:hAnsi="Times New Roman"/>
                <w:sz w:val="20"/>
              </w:rPr>
              <w:t xml:space="preserve">”)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wilful default or wilful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Each Shareholder agrees to waive any claim or right of action he or she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wilful default or wilful neglect which may attach to such Director or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40" w:type="dxa"/>
        <w:jc w:val="left"/>
        <w:tblInd w:w="0" w:type="dxa"/>
        <w:tblLayout w:type="fixed"/>
        <w:tblCellMar>
          <w:top w:w="0" w:type="dxa"/>
          <w:left w:w="0" w:type="dxa"/>
          <w:bottom w:w="0" w:type="dxa"/>
          <w:right w:w="0" w:type="dxa"/>
        </w:tblCellMar>
      </w:tblPr>
      <w:tblGrid>
        <w:gridCol w:w="455"/>
        <w:gridCol w:w="3185"/>
      </w:tblGrid>
      <w:tr>
        <w:trPr/>
        <w:tc>
          <w:tcPr>
            <w:tcW w:w="455" w:type="dxa"/>
            <w:tcBorders/>
            <w:vAlign w:val="center"/>
          </w:tcPr>
          <w:p>
            <w:pPr>
              <w:pStyle w:val="TableContents"/>
              <w:bidi w:val="0"/>
              <w:spacing w:before="0" w:after="283"/>
              <w:jc w:val="left"/>
              <w:rPr/>
            </w:pPr>
            <w:r>
              <w:rPr/>
              <w:t>117.</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Indemnified Person shall be liable: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275"/>
        <w:gridCol w:w="91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acts, receipts, neglects, defaults or omissions of any other Director or Officer or agent of the Company; or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290"/>
        <w:gridCol w:w="62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on account of defect of title to any property of the Company; or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275"/>
        <w:gridCol w:w="92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account of the insufficiency of any security in or upon which any money of the Company shall be invested;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290"/>
        <w:gridCol w:w="59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incurred through any bank, broker or other similar Person;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(e)</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occasioned by any negligence, default, breach of duty, breach of trust, error of judgement or oversight on such Indemnified Person’s part;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(f)</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any loss, damage or misfortune whatsoever which may happen in or arise from the execution or discharge of the duties, powers, authorities, or discretions of such Indemnified Person’s office or in relation thereto;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same shall happen through such Indemnified Person’s own actual fraud, wilful default or wilful neglect as determined by a court of competent jurisdiction.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118.</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these Articles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119.</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purchase and maintain insurance for the benefit of any Director or Officer of the Company against any liability which, by virtue of any rule of law, would otherwise attach to such Person in respect of any negligence, default, breach of duty or breach of trust of which such Person may be guilty in relation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pPr>
            <w:r>
              <w:rPr/>
              <w:t>120.</w:t>
            </w:r>
          </w:p>
        </w:tc>
        <w:tc>
          <w:tcPr>
            <w:tcW w:w="9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
        <w:gridCol w:w="9751"/>
      </w:tblGrid>
      <w:tr>
        <w:trPr/>
        <w:tc>
          <w:tcPr>
            <w:tcW w:w="454" w:type="dxa"/>
            <w:tcBorders/>
            <w:vAlign w:val="center"/>
          </w:tcPr>
          <w:p>
            <w:pPr>
              <w:pStyle w:val="TableContents"/>
              <w:bidi w:val="0"/>
              <w:spacing w:before="0" w:after="283"/>
              <w:jc w:val="left"/>
              <w:rPr/>
            </w:pPr>
            <w:r>
              <w:rPr/>
              <w:t>121.</w:t>
            </w:r>
          </w:p>
        </w:tc>
        <w:tc>
          <w:tcPr>
            <w:tcW w:w="97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fiscal year of the Company shall end on 31 December of each year or such other date as the Directors may determine.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THE SEAL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7"/>
        <w:gridCol w:w="9778"/>
      </w:tblGrid>
      <w:tr>
        <w:trPr/>
        <w:tc>
          <w:tcPr>
            <w:tcW w:w="427" w:type="dxa"/>
            <w:tcBorders/>
            <w:vAlign w:val="center"/>
          </w:tcPr>
          <w:p>
            <w:pPr>
              <w:pStyle w:val="TableContents"/>
              <w:bidi w:val="0"/>
              <w:spacing w:before="0" w:after="283"/>
              <w:jc w:val="left"/>
              <w:rPr/>
            </w:pPr>
            <w:r>
              <w:rPr/>
              <w:t>122.</w:t>
            </w:r>
          </w:p>
        </w:tc>
        <w:tc>
          <w:tcPr>
            <w:tcW w:w="97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adopt and alter a Seal. The Seal may be used by causing it or a facsimile thereof to be impressed or affixed or reproduced or otherwise, as may be determined from time to time by the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123.</w:t>
            </w:r>
          </w:p>
        </w:tc>
        <w:tc>
          <w:tcPr>
            <w:tcW w:w="97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may be served by the Company or by the Person entitled to give notice to any Shareholder either personally, or by sending it by post or courier service in a prepaid letter addressed to such Shareholder at his or her address as appearing in the Register, or by electronic mail, or by facsimile should the Directors deem it appropriate. Notice may also be served by electronic communication in accordance with the rules and regulations of the Designated Stock Exchange, the SEC and/or any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competent regulatory authority or by placing it on the Company’s website. In the case of joint holders of a Share, all notices shall be given to that one of the joint holders whose name stands first in the Register in respect of the joint holding, and notice so given shall be sufficient notice to all the joint 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124.</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present, either personally or by proxy, at any meeting of the Company shall for all purposes be deemed to have received due notice of such meeting and, where requisite, of the purposes for which such meeting was convened.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455"/>
        <w:gridCol w:w="3605"/>
      </w:tblGrid>
      <w:tr>
        <w:trPr/>
        <w:tc>
          <w:tcPr>
            <w:tcW w:w="455" w:type="dxa"/>
            <w:tcBorders/>
            <w:vAlign w:val="center"/>
          </w:tcPr>
          <w:p>
            <w:pPr>
              <w:pStyle w:val="TableContents"/>
              <w:bidi w:val="0"/>
              <w:spacing w:before="0" w:after="283"/>
              <w:jc w:val="left"/>
              <w:rPr/>
            </w:pPr>
            <w:r>
              <w:rPr/>
              <w:t>125.</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document, if served by: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275"/>
        <w:gridCol w:w="95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post, shall be deemed to have been served five clear days after the time when the letter containing the same is posted;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facsimile, shall be deemed to have been served upon production by the transmitting facsimile machine of a report confirming transmission of the facsimile in full to the facsimile number of the recipient;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courier service, shall be deemed to have been served 48 hours after the time when the letter containing the same is delivered to the courier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 or other electronic communication (such as transmission to any number, address or internet website (including the website of the SEC) or other electronic delivery methods as otherwise decided and approved by the Directors), shall be deemed to have been served immediately upon the time of the transmission by electronic mail or approved electronic communication, and it shall not be necessary for the receipt of the e-mail to be acknowledged by the recipient;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placing it on the Company’s website; service of the notice shall be deemed to have been effected one hour after the notice or document was placed on the Company’s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proving service by post or courier service it shall be sufficient to prove that the letter containing the notice or documents was properly addressed and duly posted or delivered to the courier service.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126.</w:t>
            </w:r>
          </w:p>
        </w:tc>
        <w:tc>
          <w:tcPr>
            <w:tcW w:w="98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notice or document delivered or sent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455"/>
        <w:gridCol w:w="5480"/>
      </w:tblGrid>
      <w:tr>
        <w:trPr/>
        <w:tc>
          <w:tcPr>
            <w:tcW w:w="455" w:type="dxa"/>
            <w:tcBorders/>
            <w:vAlign w:val="center"/>
          </w:tcPr>
          <w:p>
            <w:pPr>
              <w:pStyle w:val="TableContents"/>
              <w:bidi w:val="0"/>
              <w:spacing w:before="0" w:after="283"/>
              <w:jc w:val="left"/>
              <w:rPr/>
            </w:pPr>
            <w:r>
              <w:rPr/>
              <w:t>127.</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of the Company shall be given 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Shareholders holding Shares with the right to receive notice and who have supplied to the Company an address for the giving of notices to them;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every Person entitled to a Share in consequence of the death or bankruptcy of a Shareholder, who but for his or her death or bankruptcy would be entitled to receive notice of the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OF THE ARTICLES OF ASSOCIATION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128.</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Companies Act and the rights attaching to the various Classes, including pursuant to any Certificate of Designation, the Company may at any time and from time to time by Special Resolution alter or amend these Articles in whole or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ACCOUNTS, AUDIT AND ANNUAL RETURN AND DECLARATION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5"/>
        <w:gridCol w:w="9760"/>
      </w:tblGrid>
      <w:tr>
        <w:trPr/>
        <w:tc>
          <w:tcPr>
            <w:tcW w:w="445" w:type="dxa"/>
            <w:tcBorders/>
            <w:vAlign w:val="center"/>
          </w:tcPr>
          <w:p>
            <w:pPr>
              <w:pStyle w:val="TableContents"/>
              <w:bidi w:val="0"/>
              <w:spacing w:before="0" w:after="283"/>
              <w:jc w:val="left"/>
              <w:rPr/>
            </w:pPr>
            <w:r>
              <w:rPr/>
              <w:t>129.</w:t>
            </w:r>
          </w:p>
        </w:tc>
        <w:tc>
          <w:tcPr>
            <w:tcW w:w="9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relating to the Company’s affairs shall be kept in such manner as may be determined from time to time by the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pPr>
            <w:r>
              <w:rPr/>
              <w:t>130.</w:t>
            </w:r>
          </w:p>
        </w:tc>
        <w:tc>
          <w:tcPr>
            <w:tcW w:w="97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books of account shall be kept at the Office, or at such other place or places as the Directors think fit, and shall always be open to the inspection of the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131.</w:t>
            </w:r>
          </w:p>
        </w:tc>
        <w:tc>
          <w:tcPr>
            <w:tcW w:w="97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as conferred by law or authorized by the Directors or by Ordinary Resolution.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132.</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accounts relating to the Company’s affairs shall only be audited if the Directors so determine, in which case the financial year end and the accounting principles will be determined by the Directors. The financial year of the Company is set out in Article 121.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133.</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Without prejudice to the freedom of the Directors to establish any other committee, if the Shares are listed or quoted on the Designated Stock Exchange, and if required by the Designated Stock Exchange, the Directors shall establish and maintain an audit committee (the “</w:t>
            </w:r>
            <w:r>
              <w:rPr>
                <w:rFonts w:ascii="Times New Roman" w:hAnsi="Times New Roman"/>
                <w:b/>
                <w:i/>
                <w:sz w:val="20"/>
              </w:rPr>
              <w:t>Audit Committee</w:t>
            </w:r>
            <w:r>
              <w:rPr>
                <w:rFonts w:ascii="Times New Roman" w:hAnsi="Times New Roman"/>
                <w:sz w:val="20"/>
              </w:rPr>
              <w:t xml:space="preserve">”) as a committee of the board of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pPr>
            <w:r>
              <w:rPr/>
              <w:t>134.</w:t>
            </w:r>
          </w:p>
        </w:tc>
        <w:tc>
          <w:tcPr>
            <w:tcW w:w="97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Directors in each year shall prepare, or cause to be prepared, an annual return and declaration setting forth the particulars required by the Companies Act and deliver a copy thereof to the Registrar of Companies in the Cayman Islands.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before="0" w:after="283"/>
              <w:jc w:val="left"/>
              <w:rPr/>
            </w:pPr>
            <w:r>
              <w:rPr/>
              <w:t>135.</w:t>
            </w:r>
          </w:p>
        </w:tc>
        <w:tc>
          <w:tcPr>
            <w:tcW w:w="97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shall apply the assets of the Company in such manner and order as he or she thinks fit in satisfaction of creditors’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136.</w:t>
            </w:r>
          </w:p>
        </w:tc>
        <w:tc>
          <w:tcPr>
            <w:tcW w:w="98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if any, of the holders of any Series of Preferred Shares and any Certificate of Designation, if the Company shall be wound up, the liquidator may, with the sanction of an Ordinary Resolution divide amongst the holders of Ordinary Shares, in specie or kind the whole or any part of the assets of the Company (whether they shall consist of property of the same kind or not) and may, for such purpose set such value as he or she deems fair upon any property to be divided as aforesaid and may determine how such division shall be carried out as between the holders of Ordinary Shares or different Classes, including, by reference to the rights and restrictions attached to such Shares under these Articles or any Certificate of Designation. The liquidator may, with the like sanction, vest the whole or any part of such assets in trustees upon such trusts for the benefit of the Shareholders as the liquidator, with the like sanction shall think fit, but so that no Shareholder shall be compelled to accept any assets whereon there is any liability.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137.</w:t>
            </w:r>
          </w:p>
        </w:tc>
        <w:tc>
          <w:tcPr>
            <w:tcW w:w="9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137, the Directors may cause an application to be made to the Registrar of Companies to deregister the Company in the Cayman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Islands or such other jurisdiction in which it is for the time being incorporated, registered or existing and may cause all such further steps as they consider appropriate to be taken to effect the transfer by way of continuation of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MERGERS AND CONSOLIDATION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455"/>
        <w:gridCol w:w="6575"/>
      </w:tblGrid>
      <w:tr>
        <w:trPr/>
        <w:tc>
          <w:tcPr>
            <w:tcW w:w="455" w:type="dxa"/>
            <w:tcBorders/>
            <w:vAlign w:val="center"/>
          </w:tcPr>
          <w:p>
            <w:pPr>
              <w:pStyle w:val="TableContents"/>
              <w:bidi w:val="0"/>
              <w:spacing w:before="0" w:after="283"/>
              <w:jc w:val="left"/>
              <w:rPr/>
            </w:pPr>
            <w:r>
              <w:rPr/>
              <w:t>138.</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merge or consolidate in accordance with the Companies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283"/>
              <w:jc w:val="left"/>
              <w:rPr/>
            </w:pPr>
            <w:r>
              <w:rPr/>
              <w:t>139.</w:t>
            </w:r>
          </w:p>
        </w:tc>
        <w:tc>
          <w:tcPr>
            <w:tcW w:w="9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by the Companies Act, the Company may by Special Resolution resolve to merge or consolidate the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EXCLUSIVE JURISDICTION AND FORUM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pPr>
            <w:r>
              <w:rPr/>
              <w:t>140.</w:t>
            </w:r>
          </w:p>
        </w:tc>
        <w:tc>
          <w:tcPr>
            <w:tcW w:w="97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the Company consents in writing to the selection of an alternative forum, the courts of the Cayman Islands shall have exclusive jurisdiction over any claim or dispute arising out of or in connection with the Memorandum of Association, the Articles or otherwise related in any way to each Shareholder’s shareholding in the Company, including but not limited to: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275"/>
        <w:gridCol w:w="5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any fiduciary or other duty owed by any current or former Director, Officer or other employee of the Company to the Company or the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(c)</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Companies Act, the Memorandum of Association or the Articles; or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290"/>
        <w:gridCol w:w="65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the Company concerning its internal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283"/>
              <w:jc w:val="left"/>
              <w:rPr/>
            </w:pPr>
            <w:r>
              <w:rPr/>
              <w:t>141.</w:t>
            </w:r>
          </w:p>
        </w:tc>
        <w:tc>
          <w:tcPr>
            <w:tcW w:w="97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Article 143 below, each Shareholder irrevocably submits to the exclusive jurisdiction of the courts of the Cayman Islands over all such claims or disputes.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142.</w:t>
            </w:r>
          </w:p>
        </w:tc>
        <w:tc>
          <w:tcPr>
            <w:tcW w:w="97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prejudice to any other rights or remedies that the Company may have, each Shareholder acknowledges that damages alone would not be an adequate remedy for any breach of the exclusive jurisdiction and forum provisions set out above and that accordingly the Company shall be entitled, without proof of special damages, to the remedies of injunction, specific performance or other equitable relief for any threatened or actual breach of those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pPr>
            <w:r>
              <w:rPr/>
              <w:t>143.</w:t>
            </w:r>
          </w:p>
        </w:tc>
        <w:tc>
          <w:tcPr>
            <w:tcW w:w="97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Articles 140, 141 and 142 shall not apply to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 such a claim.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0" w:name="tx111069_57"/>
      <w:bookmarkEnd w:id="200"/>
      <w:r>
        <w:rPr>
          <w:rFonts w:ascii="Times New Roman" w:hAnsi="Times New Roman"/>
          <w:b/>
          <w:sz w:val="20"/>
        </w:rPr>
        <w:t xml:space="preserve">Annex L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 262.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Provided, however</w:t>
      </w:r>
      <w:r>
        <w:rPr>
          <w:rFonts w:ascii="Times New Roman" w:hAnsi="Times New Roman"/>
          <w:sz w:val="20"/>
        </w:rPr>
        <w:t xml:space="preserve">,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conversion, transfer, domestication or continuance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owner consents to receive notices given by the surviving, resulting or converted entity hereunder and to be set forth on the verified list required by subsection (f)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24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24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L-6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1" w:name="tx111069_58"/>
      <w:bookmarkEnd w:id="201"/>
      <w:r>
        <w:rPr>
          <w:rFonts w:ascii="Times New Roman" w:hAnsi="Times New Roman"/>
          <w:b/>
          <w:sz w:val="20"/>
        </w:rPr>
        <w:t xml:space="preserve">Annex M </w:t>
      </w:r>
    </w:p>
    <w:p>
      <w:pPr>
        <w:pStyle w:val="TextBody"/>
        <w:bidi w:val="0"/>
        <w:spacing w:before="240" w:after="0"/>
        <w:jc w:val="center"/>
        <w:rPr>
          <w:rFonts w:ascii="Times New Roman" w:hAnsi="Times New Roman"/>
          <w:b/>
          <w:sz w:val="20"/>
        </w:rPr>
      </w:pPr>
      <w:r>
        <w:rPr>
          <w:rFonts w:ascii="Times New Roman" w:hAnsi="Times New Roman"/>
          <w:b/>
          <w:sz w:val="20"/>
        </w:rPr>
        <w:t xml:space="preserve">Resolutions of the Board of Directors for the Cayman Redomestication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Redomestication of the Company to the Cayman Islands by way of Continuation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as part of their ongoing oversight, direction and management of the business of Cyclerion Therapeutics, Inc., a Massachusetts corporation (the “</w:t>
      </w:r>
      <w:r>
        <w:rPr>
          <w:rFonts w:ascii="Times New Roman" w:hAnsi="Times New Roman"/>
          <w:b/>
          <w:i/>
          <w:sz w:val="20"/>
        </w:rPr>
        <w:t>Company</w:t>
      </w:r>
      <w:r>
        <w:rPr>
          <w:rFonts w:ascii="Times New Roman" w:hAnsi="Times New Roman"/>
          <w:sz w:val="20"/>
        </w:rPr>
        <w:t>”), the board of directors of the Company (the “</w:t>
      </w:r>
      <w:r>
        <w:rPr>
          <w:rFonts w:ascii="Times New Roman" w:hAnsi="Times New Roman"/>
          <w:b/>
          <w:i/>
          <w:sz w:val="20"/>
        </w:rPr>
        <w:t>Board</w:t>
      </w:r>
      <w:r>
        <w:rPr>
          <w:rFonts w:ascii="Times New Roman" w:hAnsi="Times New Roman"/>
          <w:sz w:val="20"/>
        </w:rPr>
        <w:t xml:space="preserve">”) and management have thoroughly discussed the issue of the Company’s jurisdiction of incorporation;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after considering other jurisdictions of incorporation, the Board decided to focus on Massachusetts and the Cayman Islands and evaluate the domestication of the Company from the Commonwealth of Massachusetts to the Cayman Islands by way of continuation of the Company from a corporation organized under the laws of the Commonwealth of Massachusetts to an exempted company incorporated under the laws of the Cayman Islands, pursuant to and in accordance with Section 9.20 of the Massachusetts Business Corporations Act, as amended (the “</w:t>
      </w:r>
      <w:r>
        <w:rPr>
          <w:rFonts w:ascii="Times New Roman" w:hAnsi="Times New Roman"/>
          <w:b/>
          <w:i/>
          <w:sz w:val="20"/>
        </w:rPr>
        <w:t>MBCA</w:t>
      </w:r>
      <w:r>
        <w:rPr>
          <w:rFonts w:ascii="Times New Roman" w:hAnsi="Times New Roman"/>
          <w:sz w:val="20"/>
        </w:rPr>
        <w:t>”), Part XII of the Companies Act, as amended, of the Cayman Islands (the “</w:t>
      </w:r>
      <w:r>
        <w:rPr>
          <w:rFonts w:ascii="Times New Roman" w:hAnsi="Times New Roman"/>
          <w:b/>
          <w:i/>
          <w:sz w:val="20"/>
        </w:rPr>
        <w:t>Companies Act</w:t>
      </w:r>
      <w:r>
        <w:rPr>
          <w:rFonts w:ascii="Times New Roman" w:hAnsi="Times New Roman"/>
          <w:sz w:val="20"/>
        </w:rPr>
        <w:t>”), and the proposed Plan of Domestication (the “</w:t>
      </w:r>
      <w:r>
        <w:rPr>
          <w:rFonts w:ascii="Times New Roman" w:hAnsi="Times New Roman"/>
          <w:b/>
          <w:i/>
          <w:sz w:val="20"/>
        </w:rPr>
        <w:t>Plan of Domestication</w:t>
      </w:r>
      <w:r>
        <w:rPr>
          <w:rFonts w:ascii="Times New Roman" w:hAnsi="Times New Roman"/>
          <w:sz w:val="20"/>
        </w:rPr>
        <w:t xml:space="preserve">”), substantially in the form attached hereto as </w:t>
      </w:r>
      <w:r>
        <w:rPr>
          <w:rFonts w:ascii="Times New Roman" w:hAnsi="Times New Roman"/>
          <w:sz w:val="20"/>
          <w:u w:val="single"/>
        </w:rPr>
        <w:t>Exhibit A</w:t>
      </w:r>
      <w:r>
        <w:rPr>
          <w:rFonts w:ascii="Times New Roman" w:hAnsi="Times New Roman"/>
          <w:sz w:val="20"/>
        </w:rPr>
        <w:t xml:space="preserve"> (such domestication and continuation, the “</w:t>
      </w:r>
      <w:r>
        <w:rPr>
          <w:rFonts w:ascii="Times New Roman" w:hAnsi="Times New Roman"/>
          <w:b/>
          <w:i/>
          <w:sz w:val="20"/>
        </w:rPr>
        <w:t>Cayman Redomestication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evaluated a number of factors in reaching a decision regarding the Company’s jurisdiction of incorporation, including possible negative impacts from a potential redomestication, meaningful differences in corporate law between Massachusetts and the Cayman Islands and implications to the Company’s shareholders for economic, governance and litigation rights, as well as the other factors and considerations reflected in the draft management proposal (the “</w:t>
      </w:r>
      <w:r>
        <w:rPr>
          <w:rFonts w:ascii="Times New Roman" w:hAnsi="Times New Roman"/>
          <w:b/>
          <w:i/>
          <w:sz w:val="20"/>
        </w:rPr>
        <w:t>Cayman</w:t>
      </w:r>
      <w:r>
        <w:rPr>
          <w:rFonts w:ascii="Times New Roman" w:hAnsi="Times New Roman"/>
          <w:sz w:val="20"/>
        </w:rPr>
        <w:t xml:space="preserve"> </w:t>
      </w:r>
      <w:r>
        <w:rPr>
          <w:rFonts w:ascii="Times New Roman" w:hAnsi="Times New Roman"/>
          <w:b/>
          <w:i/>
          <w:sz w:val="20"/>
        </w:rPr>
        <w:t>Redomestication Proposal</w:t>
      </w:r>
      <w:r>
        <w:rPr>
          <w:rFonts w:ascii="Times New Roman" w:hAnsi="Times New Roman"/>
          <w:sz w:val="20"/>
        </w:rPr>
        <w:t xml:space="preserve">”), substantially in the form attached hereto as </w:t>
      </w:r>
      <w:r>
        <w:rPr>
          <w:rFonts w:ascii="Times New Roman" w:hAnsi="Times New Roman"/>
          <w:sz w:val="20"/>
          <w:u w:val="single"/>
        </w:rPr>
        <w:t>Exhibit B</w:t>
      </w:r>
      <w:r>
        <w:rPr>
          <w:rFonts w:ascii="Times New Roman" w:hAnsi="Times New Roman"/>
          <w:sz w:val="20"/>
        </w:rPr>
        <w:t xml:space="preserve"> and as included in the proxy statement/prospectus for the Annual Meeting in lieu of an annual meeting of the Company’s shareholders (including any adjournments or postponements thereof, the “</w:t>
      </w:r>
      <w:r>
        <w:rPr>
          <w:rFonts w:ascii="Times New Roman" w:hAnsi="Times New Roman"/>
          <w:b/>
          <w:i/>
          <w:sz w:val="20"/>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through the adoption of the Plan of Domestication, upon the Cayman Redomestication, the Company will cease to be governed by the laws of the Commonwealth of Massachusetts and its existing restated articles of organization, as amended by certificates of amendment, and amended and restated bylaws and will become an exempted company governed by the laws of the Cayman Islands (the “</w:t>
      </w:r>
      <w:r>
        <w:rPr>
          <w:rFonts w:ascii="Times New Roman" w:hAnsi="Times New Roman"/>
          <w:b/>
          <w:i/>
          <w:sz w:val="20"/>
        </w:rPr>
        <w:t>Converted Company</w:t>
      </w:r>
      <w:r>
        <w:rPr>
          <w:rFonts w:ascii="Times New Roman" w:hAnsi="Times New Roman"/>
          <w:sz w:val="20"/>
        </w:rPr>
        <w:t xml:space="preserve">”) as well as by the proposed Cayman Islands memorandum and articles of association, substantially in the forms attached hereto and incorporated herein by reference as </w:t>
      </w:r>
      <w:r>
        <w:rPr>
          <w:rFonts w:ascii="Times New Roman" w:hAnsi="Times New Roman"/>
          <w:sz w:val="20"/>
          <w:u w:val="single"/>
        </w:rPr>
        <w:t xml:space="preserve">Exhibit C </w:t>
      </w:r>
      <w:r>
        <w:rPr>
          <w:rFonts w:ascii="Times New Roman" w:hAnsi="Times New Roman"/>
          <w:sz w:val="20"/>
        </w:rPr>
        <w:t>(the “</w:t>
      </w:r>
      <w:r>
        <w:rPr>
          <w:rFonts w:ascii="Times New Roman" w:hAnsi="Times New Roman"/>
          <w:b/>
          <w:i/>
          <w:sz w:val="20"/>
        </w:rPr>
        <w:t>Cayman Articles</w:t>
      </w:r>
      <w:r>
        <w:rPr>
          <w:rFonts w:ascii="Times New Roman" w:hAnsi="Times New Roman"/>
          <w:sz w:val="20"/>
        </w:rPr>
        <w:t xml:space="preserve">”), and the proposed Cayman Islands certificates of designation of Series A Non-Voting Convertible Preferred Shares and Series B Non-Voting Convertible Preferred Shares, substantially in the forms attached hereto and incorporated herein by reference as </w:t>
      </w:r>
      <w:r>
        <w:rPr>
          <w:rFonts w:ascii="Times New Roman" w:hAnsi="Times New Roman"/>
          <w:sz w:val="20"/>
          <w:u w:val="single"/>
        </w:rPr>
        <w:t>Exhibit D-1</w:t>
      </w:r>
      <w:r>
        <w:rPr>
          <w:rFonts w:ascii="Times New Roman" w:hAnsi="Times New Roman"/>
          <w:sz w:val="20"/>
        </w:rPr>
        <w:t xml:space="preserve"> and </w:t>
      </w:r>
      <w:r>
        <w:rPr>
          <w:rFonts w:ascii="Times New Roman" w:hAnsi="Times New Roman"/>
          <w:sz w:val="20"/>
          <w:u w:val="single"/>
        </w:rPr>
        <w:t>Exhibit D-2</w:t>
      </w:r>
      <w:r>
        <w:rPr>
          <w:rFonts w:ascii="Times New Roman" w:hAnsi="Times New Roman"/>
          <w:sz w:val="20"/>
        </w:rPr>
        <w:t>, respectively (collectively, the “</w:t>
      </w:r>
      <w:r>
        <w:rPr>
          <w:rFonts w:ascii="Times New Roman" w:hAnsi="Times New Roman"/>
          <w:b/>
          <w:i/>
          <w:sz w:val="20"/>
        </w:rPr>
        <w:t>Cayman Certificates of Designation</w:t>
      </w:r>
      <w:r>
        <w:rPr>
          <w:rFonts w:ascii="Times New Roman" w:hAnsi="Times New Roman"/>
          <w:sz w:val="20"/>
        </w:rPr>
        <w:t>” and, together with the Cayman Articles, the “</w:t>
      </w:r>
      <w:r>
        <w:rPr>
          <w:rFonts w:ascii="Times New Roman" w:hAnsi="Times New Roman"/>
          <w:b/>
          <w:i/>
          <w:sz w:val="20"/>
        </w:rPr>
        <w:t>Cayman 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upon receipt of shareholder approval of the Cayman Redomestication Proposal and the Cayman Redomestication (including the Plan of Domestication, the Redomestication Documents (as hereinafter defined) and Cayman Governing Documents) and these resolutions approving the Cayman Redomestication at the Annual Meeting, the Cayman Redomestication will become effective on the date and/or time (the “</w:t>
      </w:r>
      <w:r>
        <w:rPr>
          <w:rFonts w:ascii="Times New Roman" w:hAnsi="Times New Roman"/>
          <w:b/>
          <w:i/>
          <w:sz w:val="20"/>
        </w:rPr>
        <w:t>Effective Date</w:t>
      </w:r>
      <w:r>
        <w:rPr>
          <w:rFonts w:ascii="Times New Roman" w:hAnsi="Times New Roman"/>
          <w:sz w:val="20"/>
        </w:rPr>
        <w:t>”) (i) of the registration of the Converted Company by the Cayman Islands Registrar of Companies (the “</w:t>
      </w:r>
      <w:r>
        <w:rPr>
          <w:rFonts w:ascii="Times New Roman" w:hAnsi="Times New Roman"/>
          <w:b/>
          <w:i/>
          <w:sz w:val="20"/>
        </w:rPr>
        <w:t>Certificate of Continuation</w:t>
      </w:r>
      <w:r>
        <w:rPr>
          <w:rFonts w:ascii="Times New Roman" w:hAnsi="Times New Roman"/>
          <w:sz w:val="20"/>
        </w:rPr>
        <w:t>”) and (ii) specified in articles of charter surrender meeting the requirements of Section 9.23 of the MBCA (the “</w:t>
      </w:r>
      <w:r>
        <w:rPr>
          <w:rFonts w:ascii="Times New Roman" w:hAnsi="Times New Roman"/>
          <w:b/>
          <w:i/>
          <w:sz w:val="20"/>
        </w:rPr>
        <w:t>Articles of Charter Surrender</w:t>
      </w:r>
      <w:r>
        <w:rPr>
          <w:rFonts w:ascii="Times New Roman" w:hAnsi="Times New Roman"/>
          <w:sz w:val="20"/>
        </w:rPr>
        <w:t xml:space="preserve">”) to be properly executed and filed in accordance with such section;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the Effective Date, (i) each share of common stock, no par value per share (“</w:t>
      </w:r>
      <w:r>
        <w:rPr>
          <w:rFonts w:ascii="Times New Roman" w:hAnsi="Times New Roman"/>
          <w:b/>
          <w:i/>
          <w:sz w:val="20"/>
        </w:rPr>
        <w:t>Common Stock</w:t>
      </w:r>
      <w:r>
        <w:rPr>
          <w:rFonts w:ascii="Times New Roman" w:hAnsi="Times New Roman"/>
          <w:sz w:val="20"/>
        </w:rPr>
        <w:t xml:space="preserve">”), of the Company issued and outstanding or held in treasury immediately prior to the Effective Date will be automatically converted into one outstanding ordinary share of the Converted Company with a nominal or par value of $0.0001 per ordinary share; (ii) each share of any series of the preferred stock, no par value per share, of the Company issued and outstanding immediately prior to the Effective Date will be automatically converted into one outstanding share, with a nominal or par value of $0.0001 per ordinary share, of the corresponding series of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shares of the Converted Company; and (iii) each option or right to acquire shares of Common Stock of the Company issued and outstanding will continue in existence in the form of and will automatically become an option or right to acquire an equal number of ordinary shares, each with a nominal or par value of $0.0001 per ordinary share of the Converted Company under the same terms and conditions;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determined that it is in the best interests of the Company and its shareholders for the Company to domesticate to the Cayman Islands by way of continuation.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the Board hereby unanimously determines that the Cayman Redomestication, the Plan of Domestication, the Redomestication Documents and the Cayman Governing Documents are in the best interests of the Company and its shareholders and approves and adopts the Cayman Redomestication, the Plan of Domestication, the Redomestication Documents and the Cayman Governing Documents;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Plan of Domestication (including each attachment thereto) is incorporated herein by reference and that the form, terms, provisions and conditions of the Plan of Domestication be, and the same hereby are, in all respects approved and adopted;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board of directors of the Converted Company shall consist of the same directors as the Board immediately prior to the Effective Date,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initial term of office of the Class I directors shall expire at the Converted Company’s 2027 annual meeting of shareholders, the initial term of office of the Class II directors shall expire at the Converted Company’s 2028 annual meeting of shareholders, the initial term of office of the Class III directors shall expire at the Converted Company’s 2029 annual meeting of shareholders, and at each annual meeting of shareholders following the Effective Date, directors elected to succeed those directors of the class whose terms then expire shall be elected for a term of office to expire at the third succeeding annual meeting of shareholders after their election;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in accordance with the Plan of Domestication, from and after the Effective Date, the Chair of the Board as of the Effective Date shall continue to serve as the Chair of the board of directors of the Converted Company until a successor has been duly elected or appointed and qualified or until his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effective as of the Effective Date, each committee of the Board as of immediately prior to the Effective Date shall be, from and after the Effective Date, constituted as a committee of the board of directors of the Converted Company on the same terms and with the same powers and authority of the Board as of immediately prior to the Effective Date, and the members of each committee of the Board as of immediately prior to the Effective Date shall be, from and after the Effective Date, the members of each such committee of the board of directors of the Converted Company, to serve until their successors have been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directs that the Cayman Redomestication (including the Plan of Domestication and Cayman Governing Documents) and these resolutions approving the Cayman Redomestication be submitted for approval and adoption, respectively, by the shareholders of the Company at the Annual Meeting;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Board hereby unanimously recommends a vote “FOR” the Cayman Redomestication Proposal, including, without limitation, the Cayman Redomestication (including the Plan of Domestication and the Cayman Governing Documents), and that the Company’s shareholders approve the Cayman Redomestication (including the Plan of Domestication and the Cayman Governing Documents) and adopt these resolutions at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that upon receipt of shareholder approval of the Cayman Redomestication Proposal at the Annual Meeting, including, without limitation, the approval of the Cayman Redomestication (including the Plan of Domestication and the Cayman Governing Documents) and the adoption of these resolutions, at the Annual Meeting, each of the duly authorized officers of the Company (together, the “</w:t>
      </w:r>
      <w:r>
        <w:rPr>
          <w:rFonts w:ascii="Times New Roman" w:hAnsi="Times New Roman"/>
          <w:b/>
          <w:i/>
          <w:sz w:val="20"/>
        </w:rPr>
        <w:t>Authorized Officers</w:t>
      </w:r>
      <w:r>
        <w:rPr>
          <w:rFonts w:ascii="Times New Roman" w:hAnsi="Times New Roman"/>
          <w:sz w:val="20"/>
        </w:rPr>
        <w:t>” and each, an “</w:t>
      </w:r>
      <w:r>
        <w:rPr>
          <w:rFonts w:ascii="Times New Roman" w:hAnsi="Times New Roman"/>
          <w:b/>
          <w:i/>
          <w:sz w:val="20"/>
        </w:rPr>
        <w:t>Authorized Officer</w:t>
      </w:r>
      <w:r>
        <w:rPr>
          <w:rFonts w:ascii="Times New Roman" w:hAnsi="Times New Roman"/>
          <w:sz w:val="20"/>
        </w:rPr>
        <w:t>”)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Domestication and Redomestication Documents and to consummate the Cayman Redomestication, including, without limitation, (a) the execution and filing of any and all documents relating to and in connection with the Cayman Redomestication required under the MBCA and the Companies Act, including, without limitation, any affidavit, undertaking, declaration, notice or otherwise (the “</w:t>
      </w:r>
      <w:r>
        <w:rPr>
          <w:rFonts w:ascii="Times New Roman" w:hAnsi="Times New Roman"/>
          <w:b/>
          <w:i/>
          <w:sz w:val="20"/>
        </w:rPr>
        <w:t>Redomestication</w:t>
      </w:r>
      <w:r>
        <w:rPr>
          <w:rFonts w:ascii="Times New Roman" w:hAnsi="Times New Roman"/>
          <w:sz w:val="20"/>
        </w:rPr>
        <w:t xml:space="preserve"> </w:t>
      </w:r>
      <w:r>
        <w:rPr>
          <w:rFonts w:ascii="Times New Roman" w:hAnsi="Times New Roman"/>
          <w:b/>
          <w:i/>
          <w:sz w:val="20"/>
        </w:rPr>
        <w:t>Documents</w:t>
      </w:r>
      <w:r>
        <w:rPr>
          <w:rFonts w:ascii="Times New Roman" w:hAnsi="Times New Roman"/>
          <w:sz w:val="20"/>
        </w:rPr>
        <w:t xml:space="preserve">”), (b) the execution and filing of the Plan of Domestication and the Cayman Articles; (c) the filing of the annual reports required by the Secretary of the Commonwealth of Massachusetts; (d) the payment of any fees that may be necessary in connection with the Cayman Redomestication; (e) the submission of all required notifications to the Nasdaq Stock Market LLC or any other applicable stock exchange; and (f) the filing of Current Reports on Form 8-K and any other regulatory filings that may be necessary, desirable or appropriate in connection with the Cayman Redomestication;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approval by the shareholders of the Company at the Annual Meeting of the Cayman Redomestication (including the Plan of Domestication and the Cayman Governing Documents) and the adoption of these resolutions, the Board may, at any time prior to the Effective Date, abandon the Cayman Redomestication and the Plan of Domestication without further action by the shareholders of the Company;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pursuant to the Plan of Domestication, at the Effective Date, any outstanding stock certificates that immediately prior to the Effective Date represented issued and outstanding shares of Common Stock of the Company shall be deemed, subject to the below, for all purposes to evidence ownership of and to represent the respective ordinary shares of the Converted Company into which the shares represented by such certificates are converted pursuant to the Plan of Domestication, and that, at the Effective Date, the transfer agent be and is hereby authorized to make any updates to the register of members of the Company that may be required in connection with the Cayman Redomestication; and </w:t>
      </w:r>
    </w:p>
    <w:p>
      <w:pPr>
        <w:pStyle w:val="TextBody"/>
        <w:bidi w:val="0"/>
        <w:spacing w:before="240" w:after="0"/>
        <w:jc w:val="left"/>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notwithstanding the foregoing resolutions, any ordinary shares of the Converted Company may be issued as uncertificated shares, whether upon original issuance, re-issuance or subsequent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2" w:name="tx111069_59"/>
      <w:bookmarkEnd w:id="202"/>
      <w:r>
        <w:rPr>
          <w:rFonts w:ascii="Times New Roman" w:hAnsi="Times New Roman"/>
          <w:b/>
          <w:sz w:val="20"/>
        </w:rPr>
        <w:t xml:space="preserve">Annex N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w:t>
      </w:r>
    </w:p>
    <w:p>
      <w:pPr>
        <w:pStyle w:val="TextBody"/>
        <w:bidi w:val="0"/>
        <w:spacing w:before="0" w:after="0"/>
        <w:jc w:val="center"/>
        <w:rPr>
          <w:rFonts w:ascii="Times New Roman" w:hAnsi="Times New Roman"/>
          <w:b/>
          <w:sz w:val="20"/>
        </w:rPr>
      </w:pPr>
      <w:r>
        <w:rPr>
          <w:rFonts w:ascii="Times New Roman" w:hAnsi="Times New Roman"/>
          <w:b/>
          <w:sz w:val="20"/>
        </w:rPr>
        <w:t xml:space="preserve">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SERIES A CONVERTIBLE PREFERRED SHARES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A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A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TERMS OF SERIES A CONVERTIBLE PREFERRED SHARES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275"/>
        <w:gridCol w:w="5285"/>
      </w:tblGrid>
      <w:tr>
        <w:trPr/>
        <w:tc>
          <w:tcPr>
            <w:tcW w:w="275" w:type="dxa"/>
            <w:tcBorders/>
            <w:vAlign w:val="center"/>
          </w:tcPr>
          <w:p>
            <w:pPr>
              <w:pStyle w:val="TableContents"/>
              <w:bidi w:val="0"/>
              <w:spacing w:before="0" w:after="283"/>
              <w:jc w:val="left"/>
              <w:rPr/>
            </w:pPr>
            <w:r>
              <w:rPr/>
              <w:t>D.</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Designation, Amount and Par Value of Series A Preferred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series of Preferred Shares shall be designated as “Series A Convertible Preferred Shares” (the “</w:t>
      </w:r>
      <w:r>
        <w:rPr>
          <w:rFonts w:ascii="Times New Roman" w:hAnsi="Times New Roman"/>
          <w:b/>
          <w:sz w:val="20"/>
        </w:rPr>
        <w:t>Series A Preferred Shares</w:t>
      </w:r>
      <w:r>
        <w:rPr>
          <w:rFonts w:ascii="Times New Roman" w:hAnsi="Times New Roman"/>
          <w:sz w:val="20"/>
        </w:rPr>
        <w:t xml:space="preserve">”) and the number of shares constituting the Series A Preferred Shares shall be 500,000. Each Series A Preferred Share shall have a par value of $0.0001 per share. Such number of shares may be increased or decreased by resolution of the Board of Directors; provided, that no decrease shall reduce the number of Series A Preferred Shares to a number less than the number of shares then issued and outstanding plus the number of shares reserved for issuance upon the exercise of outstanding options, rights or warrants or upon the conversion of any outstanding securities issued by the Company convertible into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From and after the date of the issuance of any Series A Preferred Shares (the “</w:t>
      </w:r>
      <w:r>
        <w:rPr>
          <w:rFonts w:ascii="Times New Roman" w:hAnsi="Times New Roman"/>
          <w:b/>
          <w:sz w:val="20"/>
        </w:rPr>
        <w:t>Series A Original Issue Date</w:t>
      </w:r>
      <w:r>
        <w:rPr>
          <w:rFonts w:ascii="Times New Roman" w:hAnsi="Times New Roman"/>
          <w:sz w:val="20"/>
        </w:rPr>
        <w:t xml:space="preserve">”), the holders of Series A Preferred Shares shall be entitled to receive, and the Company shall pay, dividends or distributions on Series A Preferred Shares (on an as-if-converted-to-Ordinary Shares basis, whether or not there is then a sufficient number of authorized but unissued Ordinary Shares to effect such conversion) in the same amount and form as dividends or distributions actually paid on Ordinary Shares when, as and if such dividends or distributions are paid on Ordinary Shares. No other dividends or distributions shall be paid on Series A Preferred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to Holders of Series A Preferred Shares and Ordinary Shares</w:t>
      </w:r>
      <w:r>
        <w:rPr>
          <w:rFonts w:ascii="Times New Roman" w:hAnsi="Times New Roman"/>
          <w:sz w:val="20"/>
        </w:rPr>
        <w:t xml:space="preserve">. In the event of any voluntary or involuntary liquidation, dissolution or winding up of the Company, the holders of the Series A Preferred Shares then issued and outstanding shall be entitled to a payment of $0.01 per share, subject to adjustment as provided below, before any payment is made to the holders of Ordinary Shares, and thereafter the holders of the Series A Preferred Shares then issued and outstanding shall be entitled to be paid out of the remaining assets of the Company available for distribution (on an as-converted-into-Ordinary Shares basis) on a pari passu basis with the holders of Ordinary Shares then issued and outstanding. The Series A Preferred Shares will rank junior to the holders of shares of any other class or series of preferred shares designated to be senior to the Ordinary Shares or the Series A Preferred Shares in the event of any voluntary or involuntary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The holders of Series A Preferred Shares shall not be entitled to vote on any matter presented to the shareholders of the Company for their action or consideration at any meeting of shareholders of the Company (or by written consent of shareholders in lieu of meeting),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Series A Preferred Shares shall have conversion rights as follows (the “</w:t>
      </w:r>
      <w:r>
        <w:rPr>
          <w:rFonts w:ascii="Times New Roman" w:hAnsi="Times New Roman"/>
          <w:b/>
          <w:sz w:val="20"/>
        </w:rPr>
        <w:t>Series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Ratio</w:t>
      </w:r>
      <w:r>
        <w:rPr>
          <w:rFonts w:ascii="Times New Roman" w:hAnsi="Times New Roman"/>
          <w:sz w:val="20"/>
        </w:rPr>
        <w:t>. Each Series A Preferred Share shall be convertible, at the option of the holder thereof and without the payment of additional consideration by the holder thereof, into one fully paid and non-assessable Ordinary Share (the “</w:t>
      </w:r>
      <w:r>
        <w:rPr>
          <w:rFonts w:ascii="Times New Roman" w:hAnsi="Times New Roman"/>
          <w:b/>
          <w:sz w:val="20"/>
        </w:rPr>
        <w:t>Series A Conversion Ratio</w:t>
      </w:r>
      <w:r>
        <w:rPr>
          <w:rFonts w:ascii="Times New Roman" w:hAnsi="Times New Roman"/>
          <w:sz w:val="20"/>
        </w:rPr>
        <w:t xml:space="preserve">”). Such initial Series A Conversion Ratio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Series A Conversion Rights</w:t>
      </w:r>
      <w:r>
        <w:rPr>
          <w:rFonts w:ascii="Times New Roman" w:hAnsi="Times New Roman"/>
          <w:sz w:val="20"/>
        </w:rPr>
        <w:t xml:space="preserve">. In the event of a liquidation, dissolution or winding up of the Company, the Series A Conversion Rights shall terminate at the close of business on the last full day preceding the date fixed for the payment of any such amounts distributable on such event to the holders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Fractional Shares</w:t>
      </w:r>
      <w:r>
        <w:rPr>
          <w:rFonts w:ascii="Times New Roman" w:hAnsi="Times New Roman"/>
          <w:sz w:val="20"/>
        </w:rPr>
        <w:t xml:space="preserve">. No fractional Ordinary Share shall be issued upon conversion of the Series A Preferred Shares. In lieu of any fractional shares to which the holder would otherwise be entitled, the Company shall pay cash equal to such fraction multiplied by the fair market value of a share of Ordinary Shares as determined in good faith by the Board of Directors of the Company. 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Notice of Conversion</w:t>
      </w:r>
      <w:r>
        <w:rPr>
          <w:rFonts w:ascii="Times New Roman" w:hAnsi="Times New Roman"/>
          <w:sz w:val="20"/>
        </w:rPr>
        <w:t xml:space="preserve">. In order for a holder of Series A Preferred Shares to voluntarily convert sham of Series A Preferred Shares into Ordinary Shares, such holder shall, at the office of the transfer agent for the Series A Preferred Shares (or at the principal office of the Company if the Company serves as its own transfer agent with respect to the Series A Preferred Shares), deliver written notice that such holder elects to convert all or any number of Series A Preferred Shares owned by such holder and, if applicable, any event on which such conversion is contingent. Such notice shall state such holder’s name or the names of the nominees in which such holder wishes Ordinary Shares to be issued. The close of business on the date of receipt by the transfer agent (or by the Company if the Company serves as its own transfer agent with respect to the Series A Preferred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notice shall be the time of conversion (the “</w:t>
      </w:r>
      <w:r>
        <w:rPr>
          <w:rFonts w:ascii="Times New Roman" w:hAnsi="Times New Roman"/>
          <w:b/>
          <w:sz w:val="20"/>
        </w:rPr>
        <w:t>Series A Conversion Time</w:t>
      </w:r>
      <w:r>
        <w:rPr>
          <w:rFonts w:ascii="Times New Roman" w:hAnsi="Times New Roman"/>
          <w:sz w:val="20"/>
        </w:rPr>
        <w:t xml:space="preserve">”), and the Ordinary Shares issuable upon such conversion shall be deemed to be issued and outstanding of record as of such date. The Company shall, as soon as practicable after the Series A Conversion Time (but not more than two days thereafter), (i) issue and deliver to such holder of Series A Preferred Shares, or to his, her or its nominees, book entry for the number of full Ordinary Shares issuable upon such conversion in accordance with the provisions hereof, (ii) pay in cash such amount as provided in </w:t>
      </w:r>
      <w:r>
        <w:rPr>
          <w:rFonts w:ascii="Times New Roman" w:hAnsi="Times New Roman"/>
          <w:sz w:val="20"/>
          <w:u w:val="single"/>
        </w:rPr>
        <w:t>Section 4(b)</w:t>
      </w:r>
      <w:r>
        <w:rPr>
          <w:rFonts w:ascii="Times New Roman" w:hAnsi="Times New Roman"/>
          <w:sz w:val="20"/>
        </w:rPr>
        <w:t xml:space="preserve"> in lieu of any fraction of a share of Ordinary Shares otherwise issuable upon such conversion and (iii) pay all declared but unpaid dividends on the Series A Preferred Shares converted.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Reservation of Shares</w:t>
      </w:r>
      <w:r>
        <w:rPr>
          <w:rFonts w:ascii="Times New Roman" w:hAnsi="Times New Roman"/>
          <w:sz w:val="20"/>
        </w:rPr>
        <w:t xml:space="preserve">. The Company shall at all times when the Series A Preferred Shares shall be issued and outstanding, reserve and keep available out of its authorized but unissued share capital, for the purpose of effecting the conversion of the Series A Preferred Shares, such number of its duly authorized Ordinary Shares as shall from time to time be sufficient to effect the conversion of all the issued and outstanding Series A Preferred Shares; and if at any time the number of authorized but unissued Common Shares shall not be sufficient to effect the conversion of all the then issued and outstanding Series A Preferred Shares, the Company shall take such corporate action as may be necessary to increase its authorized but unissued Ordinary Shares to such number of shares as shall be sufficient for such purposes, including, without limitation, engaging in best efforts to obtain the requisite shareholder approval of any necessary amendment to the Articles.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Effect of Conversion</w:t>
      </w:r>
      <w:r>
        <w:rPr>
          <w:rFonts w:ascii="Times New Roman" w:hAnsi="Times New Roman"/>
          <w:sz w:val="20"/>
        </w:rPr>
        <w:t xml:space="preserve">. All Series A Preferred Shares which shall have been surrendered for conversion as herein provided shall no longer be deemed to be issued and outstanding and all rights with respect to such shares shall immediately cease and terminate at the Series A Conversion Time, except only the right of the holders thereof to receive Ordinary Shares in exchange therefor, to receive payment in lieu of any fraction of a share otherwise issuable upon such conversion as provided in </w:t>
      </w:r>
      <w:r>
        <w:rPr>
          <w:rFonts w:ascii="Times New Roman" w:hAnsi="Times New Roman"/>
          <w:sz w:val="20"/>
          <w:u w:val="single"/>
        </w:rPr>
        <w:t>Section 4(b)</w:t>
      </w:r>
      <w:r>
        <w:rPr>
          <w:rFonts w:ascii="Times New Roman" w:hAnsi="Times New Roman"/>
          <w:sz w:val="20"/>
        </w:rPr>
        <w:t xml:space="preserve"> and to receive payment of any dividends declared but unpaid on the Series A Preferred Shares so converted. Any Series A Preferred Shares so converted shall be retired and cancelled and may not be reissued as shares of such series, and the Company may thereafter take such appropriate action (without the need for shareholder action) as may be necessary to reduce the authorized number of Series A Preferred Shares accordingly.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Taxes</w:t>
      </w:r>
      <w:r>
        <w:rPr>
          <w:rFonts w:ascii="Times New Roman" w:hAnsi="Times New Roman"/>
          <w:sz w:val="20"/>
        </w:rPr>
        <w:t xml:space="preserve">. The Company shall pay any and all issue and other similar taxes that may be payable in respect of any issuance or delivery of Ordinary Shares upon conversion of Series A Preferred Shares pursuant to this </w:t>
      </w:r>
      <w:r>
        <w:rPr>
          <w:rFonts w:ascii="Times New Roman" w:hAnsi="Times New Roman"/>
          <w:sz w:val="20"/>
          <w:u w:val="single"/>
        </w:rPr>
        <w:t>Section 4</w:t>
      </w:r>
      <w:r>
        <w:rPr>
          <w:rFonts w:ascii="Times New Roman" w:hAnsi="Times New Roman"/>
          <w:sz w:val="20"/>
        </w:rPr>
        <w:t xml:space="preserve">. The Company shall not, however, be required to pay any tax which may be payable in respect of any transfer involved in the issuance and delivery of Ordinary Shares in a name other than that in which the Series A Preferred Shares so convened were registered, and no such issuance or delivery shall be made unless and until the person or entity requesting such issuance has paid to the Company the amount of any such tax or has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Adjustment for Share Splits and Combinations. </w:t>
      </w:r>
      <w:r>
        <w:rPr>
          <w:rFonts w:ascii="Times New Roman" w:hAnsi="Times New Roman"/>
          <w:sz w:val="20"/>
        </w:rPr>
        <w:t xml:space="preserve">If the Company shall at any time or from time to time after the Series A Original Issue Date effect a subdivision of the issued and outstanding Ordinary Shares, the Series A Conversion Ratio in effect immediately before that subdivision shall be proportionately adjusted so that the number of Ordinary Shares issuable on conversion of each share of such series shall be increased in proportion to such increase in the aggregate number of Ordinary Shares issued and outstanding. If the Company shall at any time or from time to time after the Series A Original Issue Date combine the issued and outstanding Ordinary Shares, the Series A Conversion Ratio in effect immediately before the combination shall be proportionately adjusted so that the number of Ordinary Shares issuable on conversion of each share of such series shall be decreased in proportion to such decrease in the aggregate number of Ordinary Shares issued and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Adjustment for Certain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on the Ordinary Shares in additional Ordinary Shares, then and in each such event the Series A Conversion Ratio in effect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such event shall be adjusted as of the time of such issuance or, in the event such a record date shall have been fixed, as of the close of business on such record date, by multiplying the number of Ordinary Shares into which the Series A Preferred Shares may be converted, as then in effect, by a fraction: </w:t>
      </w:r>
    </w:p>
    <w:p>
      <w:pPr>
        <w:pStyle w:val="TextBody"/>
        <w:bidi w:val="0"/>
        <w:spacing w:before="120" w:after="0"/>
        <w:jc w:val="left"/>
        <w:rPr>
          <w:rFonts w:ascii="Times New Roman" w:hAnsi="Times New Roman"/>
          <w:sz w:val="20"/>
        </w:rPr>
      </w:pPr>
      <w:r>
        <w:rPr>
          <w:rFonts w:ascii="Times New Roman" w:hAnsi="Times New Roman"/>
          <w:sz w:val="20"/>
        </w:rPr>
        <w:t xml:space="preserve">(1) the numerator of which shall be the total number of Ordinary Shares issued and outstanding immediately prior to the time of such issuance or the close of business on such record date plus the number of Ordinary Shares issuable in payment of such dividend or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Ordinary Shares issued and outstanding immediately prior to the time of such issuance or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Series A Conversion Ratio shall be recomputed accordingly as of the close of business on such record date and thereafter the Series A Conversion Ratio shall be adjusted pursuant to this subsection as of the time of actual payment of such dividends or distributions; and (b) that no such adjustment shall be made if the holders of Series A Preferred Shares simultaneously receive a dividend or other distribution of Ordinary Shares in a number equal to the number of Ordinary Shares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Adjustments for Other Dividends and Distributions</w:t>
      </w:r>
      <w:r>
        <w:rPr>
          <w:rFonts w:ascii="Times New Roman" w:hAnsi="Times New Roman"/>
          <w:sz w:val="20"/>
        </w:rPr>
        <w:t xml:space="preserve">. In the event the Company at any time or from time to time after the Series A Original Issue Date shall make or issue, or fix a record date for the determination of holders of Ordinary Shares entitled to receive, a dividend or other distribution payable in securities of the Company (other than a distribution of Ordinary Shares in respect of issued and outstanding Ordinary Shares)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Series A Preferred Shares shall receive, simultaneously with the distribution to the holders of Ordinary Shares, a dividend or other distribution of such securities or other property in an amount equal to the amount of such securities or other property as they would have received if all issued and outstanding Series A Preferred Shares had been converted into Ordinary Shares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 for Merger or Reorganization, etc</w:t>
      </w:r>
      <w:r>
        <w:rPr>
          <w:rFonts w:ascii="Times New Roman" w:hAnsi="Times New Roman"/>
          <w:sz w:val="20"/>
        </w:rPr>
        <w:t xml:space="preserve">. If there shall occur any reorganization, recapitalization, reclassification, consolidation or merger involving the Company in which the Ordinary Shares (but not the Series A Preferred Shares) is converted into or exchanged for securities, cash or other property, then, following any such reorganization, recapitalization, reclassification, consolidation or merger, each share of Series A Preferred Shares shall thereafter be convertible in lieu of the Ordinary Shares into which it was convertible prior to such event into the kind and amount of securities, cash or other property which a holder of the number of Ordinary Shares of the Company issuable upon conversion of one share of Series A Preferred Shares immediately prior to such reorganization, recapitalization, reclassification, consolidation or merger would have been entitled to receive pursuant to such transaction; and, in such case, appropriate adjustment (as determined in good faith by the Board of Directors of the Company)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Series A Preferred Shares,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Series A Conversion Ratio) shall thereafter be applicable, as nearly as reasonably may be, in relation to any securities or other property thereafter deliverable upon the conversion of the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Series A Conversion Ratio pursuant to this </w:t>
      </w:r>
      <w:r>
        <w:rPr>
          <w:rFonts w:ascii="Times New Roman" w:hAnsi="Times New Roman"/>
          <w:sz w:val="20"/>
          <w:u w:val="single"/>
        </w:rPr>
        <w:t>Section 4</w:t>
      </w:r>
      <w:r>
        <w:rPr>
          <w:rFonts w:ascii="Times New Roman" w:hAnsi="Times New Roman"/>
          <w:sz w:val="20"/>
        </w:rPr>
        <w:t xml:space="preserve">, the Company at its expense shall, as promptly as reasonably practicable but in any event not later than ten (10) days thereafter, compute such adjustment or readjustment in accordance with the terms hereof and furnish to each holder of Series A Preferred Shares a certificate setting forth such adjustment or readjustment (including the kind and amount of securities, cash or other property into which the Series A Preferred Shares is convertible) and showing in detail the facts upon which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readjustment is based. The Company shall, as promptly as reasonably practicable after the written request at any time of any holder of Series A Preferred Shares (but in any event not later than ten (10) days thereafter), furnish or cause to be furnished to such holder a certificate setting forth (i) the Series A Conversion Ratio then in effect, and (ii) the number of Ordinary Shares and the amount, if any, of other securities, cash or property which then would be received upon the conversion of Series A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take a record of the holders of its Ordinary Shares (or other shares or securities at the time issuable upon conversion of the Series A Preferred Shares) for the purpose of entitling or enabling them to receive any dividend or other distribution, or to receive any right to subscribe for or purchase any shares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(2) of any capital reorganization of the Company, any reclassification of the Ordinary Shares of the Company, or any recapitalization, consolidation or merger involving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(3) of the voluntary or involuntary dissolution, liquidation or winding-up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will send or cause to be sent to the holders of the Series A Preferred Shares a notice specifying, as the case may be, (i) the record date for such dividend, distribution or right, and the amount and manner of payment of such dividend, distribution or right, or (ii) the effective date on which such reorganization, reclassification, consolidation, merger, transfer, dissolution, liquidation or winding-up is proposed to take place, and the time, if any is to be fixed, as of which the holders of record of Ordinary Shares (or such other shares or securities at the time issuable upon the conversion of the Series A Preferred Shares) shall be entitled to exchange their Ordinary Shares (or such other shares or securities) for securities or other property deliverable upon such reorganization, reclassification, consolidation, merger, transfer, dissolution, liquidation or winding-up, and the amount per share and character of such exchange applicable to the Series A Preferred Shares and the Ordinary Shares.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Acquired Shares</w:t>
      </w:r>
      <w:r>
        <w:rPr>
          <w:rFonts w:ascii="Times New Roman" w:hAnsi="Times New Roman"/>
          <w:sz w:val="20"/>
        </w:rPr>
        <w:t xml:space="preserve">. Any Series A Preferred Shares that are acquired by the Company or any of its subsidiaries shall be automatically and immediately cancelled and retired and shall not be reissued, sold or transferred. Neither the Company nor any of its subsidiaries may exercise any voting or other rights granted to the holders of Series A Preferred Shares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Waiver</w:t>
      </w:r>
      <w:r>
        <w:rPr>
          <w:rFonts w:ascii="Times New Roman" w:hAnsi="Times New Roman"/>
          <w:sz w:val="20"/>
        </w:rPr>
        <w:t xml:space="preserve">. Any of the rights, powers, preferences and other terms of the Series A Preferred Shares set forth herein may be waived on behalf of all holders of Series A Preferred Shares by the affirmative written consent or vote of the holders of at least a majority of the Series A Preferred Shares then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Notices.</w:t>
      </w:r>
      <w:r>
        <w:rPr>
          <w:rFonts w:ascii="Times New Roman" w:hAnsi="Times New Roman"/>
          <w:sz w:val="20"/>
        </w:rPr>
        <w:t xml:space="preserve"> Any notice required or permitted by the provisions of hereof to be given to a holder of Series A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 xml:space="preserve">Korsana Biosciences, Inc. </w:t>
      </w:r>
      <w:r>
        <w:rPr>
          <w:rFonts w:ascii="Times New Roman" w:hAnsi="Times New Roman"/>
          <w:sz w:val="20"/>
        </w:rPr>
        <w:t xml:space="preserve">has caused this Certificate of Designation of Preferences, Rights and Limitations of Series A Convertible Shares to be duly executed on its behalf by a director of the Company on       </w:t>
      </w:r>
    </w:p>
    <w:p>
      <w:pPr>
        <w:pStyle w:val="TextBody"/>
        <w:bidi w:val="0"/>
        <w:spacing w:before="0" w:after="0"/>
        <w:jc w:val="left"/>
        <w:rPr/>
      </w:pPr>
      <w:r>
        <w:rPr/>
        <w:t> </w:t>
      </w:r>
    </w:p>
    <w:tbl>
      <w:tblPr>
        <w:tblW w:w="2629" w:type="dxa"/>
        <w:jc w:val="left"/>
        <w:tblInd w:w="0" w:type="dxa"/>
        <w:tblLayout w:type="fixed"/>
        <w:tblCellMar>
          <w:top w:w="0" w:type="dxa"/>
          <w:left w:w="0" w:type="dxa"/>
          <w:bottom w:w="0" w:type="dxa"/>
          <w:right w:w="0" w:type="dxa"/>
        </w:tblCellMar>
      </w:tblPr>
      <w:tblGrid>
        <w:gridCol w:w="2148"/>
        <w:gridCol w:w="212"/>
        <w:gridCol w:w="269"/>
      </w:tblGrid>
      <w:tr>
        <w:trPr/>
        <w:tc>
          <w:tcPr>
            <w:tcW w:w="21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b/>
              </w:rPr>
            </w:pPr>
            <w:r>
              <w:rPr>
                <w:b/>
              </w:rPr>
              <w:t>Korsana Biosciences, Inc.</w:t>
            </w:r>
          </w:p>
        </w:tc>
      </w:tr>
      <w:tr>
        <w:trPr/>
        <w:tc>
          <w:tcPr>
            <w:tcW w:w="2148"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r>
      <w:tr>
        <w:trPr/>
        <w:tc>
          <w:tcPr>
            <w:tcW w:w="2148" w:type="dxa"/>
            <w:tcBorders/>
            <w:vAlign w:val="center"/>
          </w:tcPr>
          <w:p>
            <w:pPr>
              <w:pStyle w:val="TableContents"/>
              <w:bidi w:val="0"/>
              <w:spacing w:before="0" w:after="283"/>
              <w:jc w:val="left"/>
              <w:rPr/>
            </w:pPr>
            <w:r>
              <w:rPr/>
              <w:t>By:</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Name: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Title: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N-5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3" w:name="tx111069_60"/>
      <w:bookmarkEnd w:id="203"/>
      <w:r>
        <w:rPr>
          <w:rFonts w:ascii="Times New Roman" w:hAnsi="Times New Roman"/>
          <w:b/>
          <w:sz w:val="20"/>
        </w:rPr>
        <w:t xml:space="preserve">Annex O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DESIGNATION OF PREFERENCES, RIGHTS AND LIMITATIONS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SERIES B CONVERTIBLE PREFERRED SHARE </w:t>
      </w:r>
    </w:p>
    <w:p>
      <w:pPr>
        <w:pStyle w:val="TextBody"/>
        <w:bidi w:val="0"/>
        <w:spacing w:before="240" w:after="0"/>
        <w:jc w:val="left"/>
        <w:rPr>
          <w:rFonts w:ascii="Times New Roman" w:hAnsi="Times New Roman"/>
          <w:sz w:val="20"/>
        </w:rPr>
      </w:pPr>
      <w:r>
        <w:rPr>
          <w:rFonts w:ascii="Times New Roman" w:hAnsi="Times New Roman"/>
          <w:sz w:val="20"/>
        </w:rPr>
        <w:t>Pursuant to the memorandum and articles of association of the Company, adopted by special resolution on       (as amended from time to time, the “</w:t>
      </w:r>
      <w:r>
        <w:rPr>
          <w:rFonts w:ascii="Times New Roman" w:hAnsi="Times New Roman"/>
          <w:b/>
          <w:i/>
          <w:sz w:val="20"/>
        </w:rPr>
        <w:t>Articles</w:t>
      </w:r>
      <w:r>
        <w:rPr>
          <w:rFonts w:ascii="Times New Roman" w:hAnsi="Times New Roman"/>
          <w:sz w:val="20"/>
        </w:rPr>
        <w:t xml:space="preserve">”). Capitalised terms not otherwise defined herein shall have the meanings assigned thereto in the Articles. </w:t>
      </w:r>
    </w:p>
    <w:p>
      <w:pPr>
        <w:pStyle w:val="TextBody"/>
        <w:bidi w:val="0"/>
        <w:spacing w:before="240" w:after="0"/>
        <w:jc w:val="left"/>
        <w:rPr>
          <w:rFonts w:ascii="Times New Roman" w:hAnsi="Times New Roman"/>
          <w:sz w:val="20"/>
        </w:rPr>
      </w:pPr>
      <w:r>
        <w:rPr>
          <w:rFonts w:ascii="Times New Roman" w:hAnsi="Times New Roman"/>
          <w:b/>
          <w:sz w:val="20"/>
        </w:rPr>
        <w:t xml:space="preserve">Korsana Biosciences, Inc. </w:t>
      </w:r>
      <w:r>
        <w:rPr>
          <w:rFonts w:ascii="Times New Roman" w:hAnsi="Times New Roman"/>
          <w:sz w:val="20"/>
        </w:rPr>
        <w:t>(the “</w:t>
      </w:r>
      <w:r>
        <w:rPr>
          <w:rFonts w:ascii="Times New Roman" w:hAnsi="Times New Roman"/>
          <w:b/>
          <w:i/>
          <w:sz w:val="20"/>
        </w:rPr>
        <w:t>Company</w:t>
      </w:r>
      <w:r>
        <w:rPr>
          <w:rFonts w:ascii="Times New Roman" w:hAnsi="Times New Roman"/>
          <w:sz w:val="20"/>
        </w:rPr>
        <w:t xml:space="preserve">”), an exempted company incorporated in the Cayman Islands with limited liability, DOES HEREBY CERTIFY: </w:t>
      </w:r>
    </w:p>
    <w:p>
      <w:pPr>
        <w:pStyle w:val="TextBody"/>
        <w:bidi w:val="0"/>
        <w:spacing w:before="120" w:after="0"/>
        <w:jc w:val="left"/>
        <w:rPr>
          <w:rFonts w:ascii="Times New Roman" w:hAnsi="Times New Roman"/>
          <w:sz w:val="20"/>
        </w:rPr>
      </w:pPr>
      <w:r>
        <w:rPr>
          <w:rFonts w:ascii="Times New Roman" w:hAnsi="Times New Roman"/>
          <w:sz w:val="20"/>
        </w:rPr>
        <w:t>That, pursuant to the authority conferred by the Articles, at a duly convened meeting of the board of directors of the Company (the “</w:t>
      </w:r>
      <w:r>
        <w:rPr>
          <w:rFonts w:ascii="Times New Roman" w:hAnsi="Times New Roman"/>
          <w:b/>
          <w:i/>
          <w:sz w:val="20"/>
        </w:rPr>
        <w:t>Board of Directors</w:t>
      </w:r>
      <w:r>
        <w:rPr>
          <w:rFonts w:ascii="Times New Roman" w:hAnsi="Times New Roman"/>
          <w:sz w:val="20"/>
        </w:rPr>
        <w:t xml:space="preserve">”) on      , the Board of Directors adopted the following resolutions, which such resolutions provides for the creation of a series of the Company’s Preferred Shares with a par value of US$0.0001 per share, which is designated as “Series B Convertible Preferred Shares,” with the preferences, rights and limitations set forth therein relating to dividends, conversion, redemption, dissolution and distribution of assets of the Company. </w:t>
      </w:r>
    </w:p>
    <w:p>
      <w:pPr>
        <w:pStyle w:val="TextBody"/>
        <w:bidi w:val="0"/>
        <w:spacing w:before="240" w:after="0"/>
        <w:jc w:val="left"/>
        <w:rPr>
          <w:rFonts w:ascii="Times New Roman" w:hAnsi="Times New Roman"/>
          <w:sz w:val="20"/>
        </w:rPr>
      </w:pPr>
      <w:r>
        <w:rPr>
          <w:rFonts w:ascii="Times New Roman" w:hAnsi="Times New Roman"/>
          <w:sz w:val="20"/>
        </w:rPr>
        <w:t>WHEREAS: the Articles provide for a class of shares known as Preferred Shares, consisting of 100,000,000 shares with par value of US$0.0001 per share (the “</w:t>
      </w:r>
      <w:r>
        <w:rPr>
          <w:rFonts w:ascii="Times New Roman" w:hAnsi="Times New Roman"/>
          <w:b/>
          <w:i/>
          <w:sz w:val="20"/>
        </w:rPr>
        <w:t>Preferred Shares</w:t>
      </w:r>
      <w:r>
        <w:rPr>
          <w:rFonts w:ascii="Times New Roman" w:hAnsi="Times New Roman"/>
          <w:sz w:val="20"/>
        </w:rPr>
        <w:t xml:space="preserve">”), issuable from time to time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RESOLVED: that, pursuant to authority conferred upon the Board of Directors by the Articles, the Board of Directors (i) does hereby create and authorize and provide for the issuance and allotment of a series of Preferred Shares of the Company with a par value of US$0.0001 per share, designated as “Series B Convertible Preferred Shares”, and (ii) hereby fixes the designations, powers, preferences and relative, participating, optional or other special rights, and the qualifications, limitations or restrictions thereof, of such Preferred Shares, in addition to any provisions set forth in the Articles that are applicable to the Preferred Shares of all classes and series,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the purposes of this section, the following terms shall have the following meanings: </w:t>
      </w:r>
    </w:p>
    <w:p>
      <w:pPr>
        <w:pStyle w:val="TextBody"/>
        <w:bidi w:val="0"/>
        <w:spacing w:before="120" w:after="0"/>
        <w:jc w:val="left"/>
        <w:rPr/>
      </w:pPr>
      <w:r>
        <w:rPr/>
        <w:t>“</w:t>
      </w:r>
      <w:r>
        <w:rPr>
          <w:rFonts w:ascii="Times New Roman" w:hAnsi="Times New Roman"/>
          <w:b/>
          <w:i/>
          <w:sz w:val="20"/>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i/>
          <w:sz w:val="20"/>
        </w:rPr>
        <w:t>Buy-In</w:t>
      </w:r>
      <w:r>
        <w:rPr>
          <w:rFonts w:ascii="Times New Roman" w:hAnsi="Times New Roman"/>
          <w:sz w:val="20"/>
        </w:rPr>
        <w:t xml:space="preserve">” shall have the meaning set forth in </w:t>
      </w:r>
      <w:r>
        <w:rPr>
          <w:rFonts w:ascii="Times New Roman" w:hAnsi="Times New Roman"/>
          <w:sz w:val="20"/>
          <w:u w:val="single"/>
        </w:rPr>
        <w:t>Section 6.5.4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Sale Price</w:t>
      </w:r>
      <w:r>
        <w:rPr>
          <w:rFonts w:ascii="Times New Roman" w:hAnsi="Times New Roman"/>
          <w:sz w:val="20"/>
        </w:rPr>
        <w:t xml:space="preserve">”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i/>
          <w:sz w:val="20"/>
        </w:rPr>
        <w:t>Conversion Shares</w:t>
      </w:r>
      <w:r>
        <w:rPr>
          <w:rFonts w:ascii="Times New Roman" w:hAnsi="Times New Roman"/>
          <w:sz w:val="20"/>
        </w:rPr>
        <w:t xml:space="preserve">” means, collectively, the Ordinary Shares issuable upon conversion of the Series B Non-Voting Preferred Shares in accordance with the terms hereof.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holder of Series B Non-Voting Preferred Shares. </w:t>
      </w:r>
    </w:p>
    <w:p>
      <w:pPr>
        <w:pStyle w:val="TextBody"/>
        <w:bidi w:val="0"/>
        <w:spacing w:before="240" w:after="0"/>
        <w:jc w:val="left"/>
        <w:rPr/>
      </w:pPr>
      <w:r>
        <w:rPr/>
        <w:t>“</w:t>
      </w:r>
      <w:r>
        <w:rPr>
          <w:rFonts w:ascii="Times New Roman" w:hAnsi="Times New Roman"/>
          <w:b/>
          <w:i/>
          <w:sz w:val="20"/>
        </w:rPr>
        <w:t>Ordinary Shares</w:t>
      </w:r>
      <w:r>
        <w:rPr>
          <w:rFonts w:ascii="Times New Roman" w:hAnsi="Times New Roman"/>
          <w:sz w:val="20"/>
        </w:rPr>
        <w:t xml:space="preserve">” means the Company’s ordinary shares of $0.0001 par value, and any other class of shares into which such securities may hereafter be reclassified or changed.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principal Trading Market is open for business.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Designation, Amount and Par Value</w:t>
      </w:r>
      <w:r>
        <w:rPr>
          <w:rFonts w:ascii="Times New Roman" w:hAnsi="Times New Roman"/>
          <w:sz w:val="20"/>
        </w:rPr>
        <w:t>. The series of Preferred Shares shall be designated as the Company’s Series B Non-Voting Convertible Preferred Shares (the “</w:t>
      </w:r>
      <w:r>
        <w:rPr>
          <w:rFonts w:ascii="Times New Roman" w:hAnsi="Times New Roman"/>
          <w:b/>
          <w:i/>
          <w:sz w:val="20"/>
        </w:rPr>
        <w:t>Series B Non-Voting Preferred Shares</w:t>
      </w:r>
      <w:r>
        <w:rPr>
          <w:rFonts w:ascii="Times New Roman" w:hAnsi="Times New Roman"/>
          <w:sz w:val="20"/>
        </w:rPr>
        <w:t xml:space="preserve">”) and the number of shares so designated shall be [  ]. Each Series B Non-Voting Preferred Share shall have a par value of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Holders shall be entitled to receive, and the Company shall pay, dividends on the Series B Non-Voting Preferred Shares (on an as-if-converted-to-Ordinary-Share basis, without regard to the Beneficial Ownership Limitation (as defined below)) equal to and in the same form, and in the same manner, as dividends (other than dividends on Ordinary Shares payable in the form of Ordinary Shares) actually paid on Ordinary Shares when, as and if such dividends (other than dividends payable in the form of Ordinary Shares) are paid on Ordinary Shares. Other than as set forth in the previous sentence, no other dividends shall be paid on Series B Non-Voting Preferred Shares and the Company shall pay no dividends (other than dividends payable in the form of Ordinary Shares) on Ordinary Shares unless it simultaneously complies with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 Except as otherwise provided herein or as otherwise required by the Companies Act (as amended) of the Cayman Islands, the Series B Non-Voting Preferred Shares shall have no voting rights. However, as long as any Series B Non-Voting Preferred Shares are issued and outstanding, the Company shall not, without the affirmative vote of the holders of a majority of the then issued and outstanding Series B Non-Voting Preferred Shares: (i) alter or change adversely the powers, preferences or rights given to the Series B Non-Voting Preferred Shares or alter or amend the rights, powers, preferences and other terms of the Preferred Shares set forth herein (this “</w:t>
      </w:r>
      <w:r>
        <w:rPr>
          <w:rFonts w:ascii="Times New Roman" w:hAnsi="Times New Roman"/>
          <w:b/>
          <w:i/>
          <w:sz w:val="20"/>
        </w:rPr>
        <w:t>Description of Rights</w:t>
      </w:r>
      <w:r>
        <w:rPr>
          <w:rFonts w:ascii="Times New Roman" w:hAnsi="Times New Roman"/>
          <w:sz w:val="20"/>
        </w:rPr>
        <w:t xml:space="preserve">”), amend or repeal any provision of, or add any provision to, the Articles (including this Description of Rights), or file any articles of amendment, descriptions of rights, preferences, limitations and relative rights of any series of Preferred Shares, if such action would adversely alter or change the preferences, rights, privileges or powers of, or restrictions provided for the benefit of the Series B Non-Voting Preferred Shares, regardless of whether any of the foregoing actions shall be by means of amendment to the Articles or by merger, consolidation, recapitalization, reclassification,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issue further Series B Non-Voting Preferred Shares or increase or decrease (other than by conversion) the number of authorized Series B Non-Voting Preferred Shares, (iii) at any time while at least 30% of the originally issued Series B Non-Voting Preferred Shares remains issued and outstanding, (A) consummate (I) any Fundamental Transaction (as defined below) or (II) any merger or consolidation of the Company with or into another entity or any share sale to, or other business combination in which the shareholders of the Company immediately before such transaction do not hold at least a majority of the shares in the capital of the Company immediately after such transaction, (B) increase the size of the Board of Directors of the Company, (C) adopt, amend or repeal any written delegation of authority policy, corporate authority matrix or similar document, framework or schedule unless such adoption, amendment or repeal has been approved by the unanimous vote of the Board of Directors of the Company or (D) retain or replace the Company’s registered independent public accounting firm, independent compensation consultant or corporate counsel or (iv) enter into any agreement with respect to any of the foregoing. Holders of Ordinary Shares acquired upon the conversion of Series B Non-Voting Preferred Shares shall be entitled to the same voting rights as each other holder of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4.2 Any vote required or permitted under </w:t>
      </w:r>
      <w:r>
        <w:rPr>
          <w:rFonts w:ascii="Times New Roman" w:hAnsi="Times New Roman"/>
          <w:sz w:val="20"/>
          <w:u w:val="single"/>
        </w:rPr>
        <w:t>Section 4.1</w:t>
      </w:r>
      <w:r>
        <w:rPr>
          <w:rFonts w:ascii="Times New Roman" w:hAnsi="Times New Roman"/>
          <w:sz w:val="20"/>
        </w:rPr>
        <w:t xml:space="preserve"> or any other Section of this Certificate of Designation may be taken at a meeting of the Holders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At all times when at least 30% of the originally issued Series B Non-Voting Preferred Shares remains issued and outstanding, (i) the holders of record of the Series B Non-Voting Preferred Shares, exclusively and voting together as a separate class on an as-converted to Ordinary Shares basis, shall be entitled to elect four directors of the Company (the “</w:t>
      </w:r>
      <w:r>
        <w:rPr>
          <w:rFonts w:ascii="Times New Roman" w:hAnsi="Times New Roman"/>
          <w:b/>
          <w:i/>
          <w:sz w:val="20"/>
        </w:rPr>
        <w:t>Preferred Directors</w:t>
      </w:r>
      <w:r>
        <w:rPr>
          <w:rFonts w:ascii="Times New Roman" w:hAnsi="Times New Roman"/>
          <w:sz w:val="20"/>
        </w:rPr>
        <w:t>”); and (iii) the holders of record of the Ordinary Shares and of any other class or series of voting share (including the Series B Non-Voting Preferred Shares), exclusively and voting together as a single class on an as-converted to Ordinary Shares basis, shall be entitled to elect the balance of the total number of directors of the Company (the “</w:t>
      </w:r>
      <w:r>
        <w:rPr>
          <w:rFonts w:ascii="Times New Roman" w:hAnsi="Times New Roman"/>
          <w:b/>
          <w:i/>
          <w:sz w:val="20"/>
        </w:rPr>
        <w:t>At-Large Directors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administrative convenience, the initial Preferred Directors may also be appointed by the Board of Directors in connection with the approval of the initial issuance of Series B Non-Voting Preferred Shares without a separate action by the holders of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4.3.2 Any Preferred Director elected as provided in </w:t>
      </w:r>
      <w:r>
        <w:rPr>
          <w:rFonts w:ascii="Times New Roman" w:hAnsi="Times New Roman"/>
          <w:sz w:val="20"/>
          <w:u w:val="single"/>
        </w:rPr>
        <w:t>Section 4.3.1</w:t>
      </w:r>
      <w:r>
        <w:rPr>
          <w:rFonts w:ascii="Times New Roman" w:hAnsi="Times New Roman"/>
          <w:sz w:val="20"/>
        </w:rPr>
        <w:t xml:space="preserve"> may be removed without cause by, and only by, the affirmative vote of the holders of a majority of the Series B Non-Voting Preferred Shares, given either at a meeting of the Holders duly called for that purpose or through the execution of an action by written consent in lieu of such meeting, provided that the consent is executed by Holders representing a majority of the issued and outstanding Series B Non-Voting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4.3.3 If the holders of the Series B Non-Voting Preferred Shares fail to elect a sufficient number of directors to fill all directorships for which they are entitled to elect directors pursuant to </w:t>
      </w:r>
      <w:r>
        <w:rPr>
          <w:rFonts w:ascii="Times New Roman" w:hAnsi="Times New Roman"/>
          <w:sz w:val="20"/>
          <w:u w:val="single"/>
        </w:rPr>
        <w:t>Section 4.3.1</w:t>
      </w:r>
      <w:r>
        <w:rPr>
          <w:rFonts w:ascii="Times New Roman" w:hAnsi="Times New Roman"/>
          <w:sz w:val="20"/>
        </w:rPr>
        <w:t xml:space="preserve"> (and to the extent any of such directorships is not otherwise filled by a director appointed in accordance with the proviso in </w:t>
      </w:r>
      <w:r>
        <w:rPr>
          <w:rFonts w:ascii="Times New Roman" w:hAnsi="Times New Roman"/>
          <w:sz w:val="20"/>
          <w:u w:val="single"/>
        </w:rPr>
        <w:t>Section 4.3.1</w:t>
      </w:r>
      <w:r>
        <w:rPr>
          <w:rFonts w:ascii="Times New Roman" w:hAnsi="Times New Roman"/>
          <w:sz w:val="20"/>
        </w:rPr>
        <w:t xml:space="preserve">), then any directorship not so filled shall remain vacant until such time as the holders of the Series B Non-Voting Preferred Shares fill such directorship in accordance with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4.3.4 At any meeting held for the purpose of electing a Preferred Director, the presence in person or by proxy of the holders of a majority of the issued and outstanding Series B Non-Voting Preferred Shares shall constitute a quorum for the purpose of electing such Preferred Director. </w:t>
      </w:r>
    </w:p>
    <w:p>
      <w:pPr>
        <w:pStyle w:val="TextBody"/>
        <w:bidi w:val="0"/>
        <w:spacing w:before="240" w:after="0"/>
        <w:jc w:val="left"/>
        <w:rPr>
          <w:rFonts w:ascii="Times New Roman" w:hAnsi="Times New Roman"/>
          <w:sz w:val="20"/>
        </w:rPr>
      </w:pPr>
      <w:r>
        <w:rPr>
          <w:rFonts w:ascii="Times New Roman" w:hAnsi="Times New Roman"/>
          <w:sz w:val="20"/>
        </w:rPr>
        <w:t xml:space="preserve">4.3.5 Each Preferred Director shall be entitled to three votes on each matter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Rank; Liquidation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5.1 The Series B Non-Voting Preferred Shares shall rank on parity with the Ordinary Shares, the Company’s Series A Convertible Preferred Shares as to distributions of assets upon liquidation, winding up or subsequent dissolution of the Company, whether voluntarily or involuntarily. </w:t>
      </w:r>
    </w:p>
    <w:p>
      <w:pPr>
        <w:pStyle w:val="TextBody"/>
        <w:bidi w:val="0"/>
        <w:spacing w:before="240" w:after="0"/>
        <w:jc w:val="left"/>
        <w:rPr>
          <w:rFonts w:ascii="Times New Roman" w:hAnsi="Times New Roman"/>
          <w:sz w:val="20"/>
        </w:rPr>
      </w:pPr>
      <w:r>
        <w:rPr>
          <w:rFonts w:ascii="Times New Roman" w:hAnsi="Times New Roman"/>
          <w:sz w:val="20"/>
        </w:rPr>
        <w:t>5.2 Upon any liquidation, winding-up or subsequent dissolution of the Company, whether voluntary or involuntary (a “</w:t>
      </w:r>
      <w:r>
        <w:rPr>
          <w:rFonts w:ascii="Times New Roman" w:hAnsi="Times New Roman"/>
          <w:b/>
          <w:i/>
          <w:sz w:val="20"/>
        </w:rPr>
        <w:t>Liquidation</w:t>
      </w:r>
      <w:r>
        <w:rPr>
          <w:rFonts w:ascii="Times New Roman" w:hAnsi="Times New Roman"/>
          <w:sz w:val="20"/>
        </w:rPr>
        <w:t xml:space="preserve">”), each Holder shall be entitled to receive out of the assets, whether capital or surplus, of the Company the same amount that a holder of Ordinary Shares would receive if the Series B Non-Voting Preferred Shares were fully converted (disregarding for such purpose any Beneficial Ownership Limitations) to Ordinary Shares which amounts shall be paid </w:t>
      </w:r>
      <w:r>
        <w:rPr>
          <w:rFonts w:ascii="Times New Roman" w:hAnsi="Times New Roman"/>
          <w:i/>
          <w:sz w:val="20"/>
        </w:rPr>
        <w:t>pari passu</w:t>
      </w:r>
      <w:r>
        <w:rPr>
          <w:rFonts w:ascii="Times New Roman" w:hAnsi="Times New Roman"/>
          <w:sz w:val="20"/>
        </w:rPr>
        <w:t xml:space="preserve"> with all holders of Ordinary Shares, plus an additional amount equal to any dividends declared on but unpaid to such shares. If, upon any such Liquidation, the assets of the Company shall be insufficient to pay the Holders of the Series B Non-Voting Preferred Shares the amount required under the preceding sentence, then all remaining assets of the Company shall be distributed ratably to the Holders and the holders of Ordinary Shares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Conversion at Option of Holder</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6.5.3</w:t>
      </w:r>
      <w:r>
        <w:rPr>
          <w:rFonts w:ascii="Times New Roman" w:hAnsi="Times New Roman"/>
          <w:sz w:val="20"/>
        </w:rPr>
        <w:t>, each Series B Non-Voting Preferred Share then issued and outstanding shall be convertible, at any time and from time to time, at the option of the Holder thereof, into a number of Ordinary Shares equal to the Conversion Ratio, subject to the Beneficial Ownership Limitation (each, an “</w:t>
      </w:r>
      <w:r>
        <w:rPr>
          <w:rFonts w:ascii="Times New Roman" w:hAnsi="Times New Roman"/>
          <w:b/>
          <w:i/>
          <w:sz w:val="20"/>
        </w:rPr>
        <w:t>Optional Conversion</w:t>
      </w:r>
      <w:r>
        <w:rPr>
          <w:rFonts w:ascii="Times New Roman" w:hAnsi="Times New Roman"/>
          <w:sz w:val="20"/>
        </w:rPr>
        <w:t xml:space="preserve">”). Holders shall effect conversions by providing the Company with the form of conversion notice attached hereto as </w:t>
      </w:r>
      <w:r>
        <w:rPr>
          <w:rFonts w:ascii="Times New Roman" w:hAnsi="Times New Roman"/>
          <w:b/>
          <w:sz w:val="20"/>
          <w:u w:val="single"/>
        </w:rPr>
        <w:t>Annex A</w:t>
      </w:r>
      <w:r>
        <w:rPr>
          <w:rFonts w:ascii="Times New Roman" w:hAnsi="Times New Roman"/>
          <w:sz w:val="20"/>
        </w:rPr>
        <w:t xml:space="preserve"> (a “</w:t>
      </w:r>
      <w:r>
        <w:rPr>
          <w:rFonts w:ascii="Times New Roman" w:hAnsi="Times New Roman"/>
          <w:b/>
          <w:i/>
          <w:sz w:val="20"/>
        </w:rPr>
        <w:t>Notice of Conversion</w:t>
      </w:r>
      <w:r>
        <w:rPr>
          <w:rFonts w:ascii="Times New Roman" w:hAnsi="Times New Roman"/>
          <w:sz w:val="20"/>
        </w:rPr>
        <w:t>”), duly completed and executed. Provided the Company’s transfer agent is participating in the Depository Trust Company (“</w:t>
      </w:r>
      <w:r>
        <w:rPr>
          <w:rFonts w:ascii="Times New Roman" w:hAnsi="Times New Roman"/>
          <w:b/>
          <w:i/>
          <w:sz w:val="20"/>
        </w:rPr>
        <w:t>DTC</w:t>
      </w:r>
      <w:r>
        <w:rPr>
          <w:rFonts w:ascii="Times New Roman" w:hAnsi="Times New Roman"/>
          <w:sz w:val="20"/>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sz w:val="20"/>
        </w:rPr>
        <w:t>DWAC Delivery</w:t>
      </w:r>
      <w:r>
        <w:rPr>
          <w:rFonts w:ascii="Times New Roman" w:hAnsi="Times New Roman"/>
          <w:sz w:val="20"/>
        </w:rPr>
        <w:t>”). The date on which an Optional Conversion shall be deemed effective (the “</w:t>
      </w:r>
      <w:r>
        <w:rPr>
          <w:rFonts w:ascii="Times New Roman" w:hAnsi="Times New Roman"/>
          <w:b/>
          <w:i/>
          <w:sz w:val="20"/>
        </w:rPr>
        <w:t>Conversion Date</w:t>
      </w:r>
      <w:r>
        <w:rPr>
          <w:rFonts w:ascii="Times New Roman" w:hAnsi="Times New Roman"/>
          <w:sz w:val="20"/>
        </w:rPr>
        <w:t xml:space="preserve">”) shall be the Trading Day that the Notice of Conversion, completed and executed, is sent via email to, and received during regular business hours by, the Company; provided, that the original certificate(s) (if any) representing such Series B Non-Voting Preferred Shares being converted, duly endorsed, and the accompanying Notice of Conversion, are received by the Company within two (2) Trading Days thereafter. In all other cases, the Conversion Date shall be defined as the Trading Day on which the original certificate(s) (if any) representing such Series B Non-Voting Preferred Shares being converted, duly endorsed, and the accompanying Notice of Conversion, are received by the Company. The calculations set forth in the Notice of Conversion shall control in the absence of manifest or mathematical error.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Conversion Ratio</w:t>
      </w:r>
      <w:r>
        <w:rPr>
          <w:rFonts w:ascii="Times New Roman" w:hAnsi="Times New Roman"/>
          <w:sz w:val="20"/>
        </w:rPr>
        <w:t>. The “</w:t>
      </w:r>
      <w:r>
        <w:rPr>
          <w:rFonts w:ascii="Times New Roman" w:hAnsi="Times New Roman"/>
          <w:b/>
          <w:i/>
          <w:sz w:val="20"/>
        </w:rPr>
        <w:t>Conversion Ratio</w:t>
      </w:r>
      <w:r>
        <w:rPr>
          <w:rFonts w:ascii="Times New Roman" w:hAnsi="Times New Roman"/>
          <w:sz w:val="20"/>
        </w:rPr>
        <w:t>” for Series B Non-Voting Preferred Shares shall be 1,000 Ordinary Shares issuable upon the conversion (the “</w:t>
      </w:r>
      <w:r>
        <w:rPr>
          <w:rFonts w:ascii="Times New Roman" w:hAnsi="Times New Roman"/>
          <w:b/>
          <w:i/>
          <w:sz w:val="20"/>
        </w:rPr>
        <w:t>Conversion</w:t>
      </w:r>
      <w:r>
        <w:rPr>
          <w:rFonts w:ascii="Times New Roman" w:hAnsi="Times New Roman"/>
          <w:sz w:val="20"/>
        </w:rPr>
        <w:t xml:space="preserve">”) of each Series B Non-Voting Preferred Share (corresponding to a ratio of 1,000:1), subject to adjustment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Beneficial Ownership Limitation</w:t>
      </w:r>
      <w:r>
        <w:rPr>
          <w:rFonts w:ascii="Times New Roman" w:hAnsi="Times New Roman"/>
          <w:sz w:val="20"/>
        </w:rPr>
        <w:t xml:space="preserve">. Notwithstanding anything herein to the contrary, the Company shall not effect any conversion of any Series B Non-Voting Preferred Share, and a Holder shall not have the right to convert any portion of the Series B Non-Voting Preferred Shares pursuant to </w:t>
      </w:r>
      <w:r>
        <w:rPr>
          <w:rFonts w:ascii="Times New Roman" w:hAnsi="Times New Roman"/>
          <w:sz w:val="20"/>
          <w:u w:val="single"/>
        </w:rPr>
        <w:t>Section 6.2</w:t>
      </w:r>
      <w:r>
        <w:rPr>
          <w:rFonts w:ascii="Times New Roman" w:hAnsi="Times New Roman"/>
          <w:sz w:val="20"/>
        </w:rPr>
        <w:t xml:space="preserve">, to the extent that, after giving effect to such attempted conversion set forth on an applicable Notice of Conversion (as defined in this Description of Rights) with respect to the Series B Preferred Share, such Holder (or any of such Holder’s Affiliates or any other Person who would be a beneficial owner of Ordinary Shares beneficially owned by the Holder for purposes of Section 13(d) or Section 16 of the Exchange Act and the applicable rules and regulations of the Commission, including any “group” of which the Holder is a member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i/>
          <w:sz w:val="20"/>
        </w:rPr>
        <w:t>Attribution Parties</w:t>
      </w:r>
      <w:r>
        <w:rPr>
          <w:rFonts w:ascii="Times New Roman" w:hAnsi="Times New Roman"/>
          <w:sz w:val="20"/>
        </w:rPr>
        <w:t xml:space="preserve">”)) would beneficially own a number of Ordinary Shares in excess of the Beneficial Ownership Limitation. For purposes of the foregoing sentence, the aggregate number of Ordinary Shares beneficially owned by such Holder and its Attribution Parties shall include the number of Ordinary Shares issuable upon conversion of the Series B Non-Voting Preferred Shares subject to the Notice of Conversion, with respect to which such determination is being made, but shall exclude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sz w:val="20"/>
          <w:u w:val="single"/>
        </w:rPr>
        <w:t>Section 6.4</w:t>
      </w:r>
      <w:r>
        <w:rPr>
          <w:rFonts w:ascii="Times New Roman" w:hAnsi="Times New Roman"/>
          <w:sz w:val="20"/>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sz w:val="20"/>
          <w:u w:val="single"/>
        </w:rPr>
        <w:t>Section 6.4</w:t>
      </w:r>
      <w:r>
        <w:rPr>
          <w:rFonts w:ascii="Times New Roman" w:hAnsi="Times New Roman"/>
          <w:sz w:val="20"/>
        </w:rPr>
        <w:t>, in determining the number of issued and outstanding Ordinary Shares, a Holder may rely on the number of authorized but issued and outstanding Ordinary Shares as stated in the most recent of the following: (A) the Company’s most recent periodic or annual filing with the Commission, as the case may be, (B) a more recent public announcement by the Company that is filed with the Commission, or (C) a more recent notice by the Company or the Company’s transfer agent to the Holder setting forth the number of Ordinary Shares authorized but then issued and outstanding. Upon the written request of a Holder (which may be by email), the Company shall, within two (2) Trading Days thereof, confirm in writing to such Holder (which may be via email) the number of Ordinary Shares authorized but then issued and outstanding. In any case, the number of issued and outstanding Ordinary Shares shall be determined after giving effect to any actual conversion or exercise of securities of the Company, including Series B Non-Voting Preferred Shares, by such Holder or its Attribution Parties since the date as of which such number of issued and outstanding Ordinary Shares was last publicly reported or confirmed to the Holder. The “</w:t>
      </w:r>
      <w:r>
        <w:rPr>
          <w:rFonts w:ascii="Times New Roman" w:hAnsi="Times New Roman"/>
          <w:b/>
          <w:i/>
          <w:sz w:val="20"/>
        </w:rPr>
        <w:t>Beneficial Ownership Limitation</w:t>
      </w:r>
      <w:r>
        <w:rPr>
          <w:rFonts w:ascii="Times New Roman" w:hAnsi="Times New Roman"/>
          <w:sz w:val="20"/>
        </w:rPr>
        <w:t xml:space="preserve">” shall initially be set at the discretion of each Holder to a percentage designated by such Holder on its signature page to the Purchase Agreement or otherwise between 0% and 19.99% of the number of Ordinary Shares issued and outstanding or deemed to be outstanding as of the applicable measurement date, and such percentage shall be set at 19.99% for any Holder that does not make such designation in the Purchase Agreement or otherwise. The Company shall be entitled to rely on representations made to it by the Holder in any Notice of Conversion regarding its Beneficial Ownership Limitation. Notwithstanding the foregoing, by written notice to the Company (email being sufficient), (i) the Holder may reset the Beneficial Ownership Limitation percentage to a higher percentage, not to exceed 19.99%, which increase will not be effective until the sixty-first (61st) day after such written notice is delivered to the Company,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sz w:val="20"/>
          <w:u w:val="single"/>
        </w:rPr>
        <w:t>Section 6.4</w:t>
      </w:r>
      <w:r>
        <w:rPr>
          <w:rFonts w:ascii="Times New Roman" w:hAnsi="Times New Roman"/>
          <w:sz w:val="20"/>
        </w:rPr>
        <w:t xml:space="preserve">. Notwithstanding the foregoing, (x) at any time following notice of a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and (y) at any time that the beneficial ownership of Ordinary Shares (together with any of such Holder’s Attribution Parties) is equal to or less than 9.00% of the number of Ordinary Shares issued and outstanding as of any given date, then such Holder’s Beneficial Ownership Limitation shall automatically be set to 9.99%. The provisions of this </w:t>
      </w:r>
      <w:r>
        <w:rPr>
          <w:rFonts w:ascii="Times New Roman" w:hAnsi="Times New Roman"/>
          <w:sz w:val="20"/>
          <w:u w:val="single"/>
        </w:rPr>
        <w:t xml:space="preserve">Section 6.4 </w:t>
      </w:r>
      <w:r>
        <w:rPr>
          <w:rFonts w:ascii="Times New Roman" w:hAnsi="Times New Roman"/>
          <w:sz w:val="20"/>
        </w:rPr>
        <w:t xml:space="preserve">shall be construed, corrected and implemented in a manner so as to effectuate the intended Beneficial Ownership Limitation herein contained and the Ordinary Shares underlying the Securities in excess of the Beneficial Ownership Limitation shall not be deemed to be beneficially owned by the Purchaser for any purpose including for purposes of Section 13(d) or Rule 16a-1(a)(1)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6.5.1 </w:t>
      </w:r>
      <w:r>
        <w:rPr>
          <w:rFonts w:ascii="Times New Roman" w:hAnsi="Times New Roman"/>
          <w:sz w:val="20"/>
          <w:u w:val="single"/>
        </w:rPr>
        <w:t>Delivery of Certificate or Electronic Issuance</w:t>
      </w:r>
      <w:r>
        <w:rPr>
          <w:rFonts w:ascii="Times New Roman" w:hAnsi="Times New Roman"/>
          <w:sz w:val="20"/>
        </w:rPr>
        <w:t>. Upon Conversion not later than two (2) Trading Days after the applicable Conversion Date, or if the Holder requests the issuance of physical certificate(s), two (2) Trading Days after receipt by the Company of the original certificate(s) representing such Series B Non-Voting Preferred Shares being converted, duly endorsed, and the accompanying Notice of Conversion (the “</w:t>
      </w:r>
      <w:r>
        <w:rPr>
          <w:rFonts w:ascii="Times New Roman" w:hAnsi="Times New Roman"/>
          <w:b/>
          <w:i/>
          <w:sz w:val="20"/>
        </w:rPr>
        <w:t>Share Delivery Date</w:t>
      </w:r>
      <w:r>
        <w:rPr>
          <w:rFonts w:ascii="Times New Roman" w:hAnsi="Times New Roman"/>
          <w:sz w:val="20"/>
        </w:rPr>
        <w:t xml:space="preserve">”), the Company shall either: (a) deliver, or cause to be delivered, to the converting Holder a physical certificate or certificates representing the number of Conversion Shares being acquired upon the conversion of Series B Non-Voting Preferred Shares,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Company at any time on or before its receipt of such certificate or certificates for Conversion Shares or electronic receipt of such shares, as applicable, in which event the Company shall promptly return to such Holder any original Series B Non-Voting Preferred Share certificate delivered to the Company and such Holder shall promptly return to the Company any share certificates or otherwise direct the return of any Ordinary Shares delivered to the Holder through the DWAC system, representing the Series B Non-Voting Preferred Shares unsuccessfully tendered for conversion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6.5.2 </w:t>
      </w:r>
      <w:r>
        <w:rPr>
          <w:rFonts w:ascii="Times New Roman" w:hAnsi="Times New Roman"/>
          <w:sz w:val="20"/>
          <w:u w:val="single"/>
        </w:rPr>
        <w:t>Obligation Absolute</w:t>
      </w:r>
      <w:r>
        <w:rPr>
          <w:rFonts w:ascii="Times New Roman" w:hAnsi="Times New Roman"/>
          <w:sz w:val="20"/>
        </w:rPr>
        <w:t xml:space="preserve">.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the Company’s obligation to issue and deliver the Conversion Shares upon conversion of Series B Non-Voting Preferred Shares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Company or any violation or alleged violation of law by such Holder or any other Person, and irrespective of any other circumstance which might otherwise limit such obligation of the Company to such Holder in connection with the issuance of such Conversion Shares.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in the event a Holder shall elect to convert any or all of its Series B Non-Voting Preferred Shares, the Company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Shares of such Holder shall have been sought and obtained by the Company, and the Company posts a surety bond for the benefit of such Holder in the amount of 150% of the value of the Conversion Shares into which would be converted the Series B Non-Voting Preferred Shares which is subject to such injunction, which bond shall remain in effect until the completion of arbitration/litigation of the underlying dispute and the proceeds of which shall be payable to such Holder to the extent it obtains judgment. In the absence of such injunction, the Company shall, subject to </w:t>
      </w:r>
      <w:r>
        <w:rPr>
          <w:rFonts w:ascii="Times New Roman" w:hAnsi="Times New Roman"/>
          <w:sz w:val="20"/>
          <w:u w:val="single"/>
        </w:rPr>
        <w:t>Section 6.4</w:t>
      </w:r>
      <w:r>
        <w:rPr>
          <w:rFonts w:ascii="Times New Roman" w:hAnsi="Times New Roman"/>
          <w:sz w:val="20"/>
        </w:rPr>
        <w:t xml:space="preserve"> and subject to Holder’s right to rescind a Notice of Conversion pursuant to </w:t>
      </w:r>
      <w:r>
        <w:rPr>
          <w:rFonts w:ascii="Times New Roman" w:hAnsi="Times New Roman"/>
          <w:sz w:val="20"/>
          <w:u w:val="single"/>
        </w:rPr>
        <w:t>Section 6.5.1</w:t>
      </w:r>
      <w:r>
        <w:rPr>
          <w:rFonts w:ascii="Times New Roman" w:hAnsi="Times New Roman"/>
          <w:sz w:val="20"/>
        </w:rPr>
        <w:t xml:space="preserve">, issue Conversion Shares upon a properly noticed conversion. </w:t>
      </w:r>
    </w:p>
    <w:p>
      <w:pPr>
        <w:pStyle w:val="TextBody"/>
        <w:bidi w:val="0"/>
        <w:spacing w:before="240" w:after="0"/>
        <w:jc w:val="left"/>
        <w:rPr>
          <w:rFonts w:ascii="Times New Roman" w:hAnsi="Times New Roman"/>
          <w:sz w:val="20"/>
        </w:rPr>
      </w:pPr>
      <w:r>
        <w:rPr>
          <w:rFonts w:ascii="Times New Roman" w:hAnsi="Times New Roman"/>
          <w:sz w:val="20"/>
        </w:rPr>
        <w:t xml:space="preserve">6.5.3 </w:t>
      </w:r>
      <w:r>
        <w:rPr>
          <w:rFonts w:ascii="Times New Roman" w:hAnsi="Times New Roman"/>
          <w:sz w:val="20"/>
          <w:u w:val="single"/>
        </w:rPr>
        <w:t>Cash Settlement</w:t>
      </w:r>
      <w:r>
        <w:rPr>
          <w:rFonts w:ascii="Times New Roman" w:hAnsi="Times New Roman"/>
          <w:sz w:val="20"/>
        </w:rPr>
        <w:t xml:space="preserve">. If, at any time after the initial issuance of the Series B Non-Voting Preferred Share, the Company fails to deliver to a Holder such certificate or certificates, or electronically deliver (or instruct its transfer agent to electronically deliver) such shares in the case of a DWAC Delivery, pursuant to </w:t>
      </w:r>
      <w:r>
        <w:rPr>
          <w:rFonts w:ascii="Times New Roman" w:hAnsi="Times New Roman"/>
          <w:sz w:val="20"/>
          <w:u w:val="single"/>
        </w:rPr>
        <w:t>Section 6.5.1</w:t>
      </w:r>
      <w:r>
        <w:rPr>
          <w:rFonts w:ascii="Times New Roman" w:hAnsi="Times New Roman"/>
          <w:sz w:val="20"/>
        </w:rPr>
        <w:t xml:space="preserve"> on or prior to the third (3rd) Trading Day after the Share Delivery Date applicable to such conversion (other than a failure caused by (i) materially incorrect or incomplete information provided by Holder to the Company or (ii) the application of the Beneficial Ownership Limitation, then, unless the Holder has rescinded the applicable Notice of Conversion pursuant to </w:t>
      </w:r>
      <w:r>
        <w:rPr>
          <w:rFonts w:ascii="Times New Roman" w:hAnsi="Times New Roman"/>
          <w:sz w:val="20"/>
          <w:u w:val="single"/>
        </w:rPr>
        <w:t>Section 6.5.1</w:t>
      </w:r>
      <w:r>
        <w:rPr>
          <w:rFonts w:ascii="Times New Roman" w:hAnsi="Times New Roman"/>
          <w:sz w:val="20"/>
        </w:rPr>
        <w:t xml:space="preserve">, the Company shall, at the request of the Holder, pay an amount equal to the Fair Value (as defined below) of such undelivered shares, with such payment to be made within two Business Days from the date of request by the Holder, whereupon the Company’s obligations to deliver such shares underlying the Notice of Conversion shall be extinguished upon payment in full of the Fair Value of such undelivered shares. For purposes of this </w:t>
      </w:r>
      <w:r>
        <w:rPr>
          <w:rFonts w:ascii="Times New Roman" w:hAnsi="Times New Roman"/>
          <w:sz w:val="20"/>
          <w:u w:val="single"/>
        </w:rPr>
        <w:t>Section 6.5.3</w:t>
      </w:r>
      <w:r>
        <w:rPr>
          <w:rFonts w:ascii="Times New Roman" w:hAnsi="Times New Roman"/>
          <w:sz w:val="20"/>
        </w:rPr>
        <w:t xml:space="preserve">, the “Fair Value”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fixed with reference to the last reported Closing Sale Price on the principal Trading Market on which the Ordinary Shares are listed as of the Trading Day immediately prior to the date on which the Notice of Conversion is delivered to the Company. For the avoidance of doubt, the cash settlement provisions set forth in this </w:t>
      </w:r>
      <w:r>
        <w:rPr>
          <w:rFonts w:ascii="Times New Roman" w:hAnsi="Times New Roman"/>
          <w:sz w:val="20"/>
          <w:u w:val="single"/>
        </w:rPr>
        <w:t>Section 6.5.3</w:t>
      </w:r>
      <w:r>
        <w:rPr>
          <w:rFonts w:ascii="Times New Roman" w:hAnsi="Times New Roman"/>
          <w:sz w:val="20"/>
        </w:rPr>
        <w:t xml:space="preserve"> shall be available irrespective of the reason for the Company’s failure to timely deliver Conversion Shares (other than a failure caused by (i) materially incorrect or incomplete information provided by Holder to the Company or (ii) the application of the Beneficial Ownership Limitation, including due to limitations set forth in </w:t>
      </w:r>
      <w:r>
        <w:rPr>
          <w:rFonts w:ascii="Times New Roman" w:hAnsi="Times New Roman"/>
          <w:sz w:val="20"/>
          <w:u w:val="single"/>
        </w:rPr>
        <w:t>Section 6.5.6</w:t>
      </w:r>
      <w:r>
        <w:rPr>
          <w:rFonts w:ascii="Times New Roman" w:hAnsi="Times New Roman"/>
          <w:sz w:val="20"/>
        </w:rPr>
        <w:t xml:space="preserve">, due to applicable Trading Market rules. </w:t>
      </w:r>
    </w:p>
    <w:p>
      <w:pPr>
        <w:pStyle w:val="TextBody"/>
        <w:bidi w:val="0"/>
        <w:spacing w:before="240" w:after="0"/>
        <w:jc w:val="left"/>
        <w:rPr>
          <w:rFonts w:ascii="Times New Roman" w:hAnsi="Times New Roman"/>
          <w:sz w:val="20"/>
        </w:rPr>
      </w:pPr>
      <w:r>
        <w:rPr>
          <w:rFonts w:ascii="Times New Roman" w:hAnsi="Times New Roman"/>
          <w:sz w:val="20"/>
        </w:rPr>
        <w:t xml:space="preserve">6.5.4 </w:t>
      </w:r>
      <w:r>
        <w:rPr>
          <w:rFonts w:ascii="Times New Roman" w:hAnsi="Times New Roman"/>
          <w:sz w:val="20"/>
          <w:u w:val="single"/>
        </w:rPr>
        <w:t>Buy-In on Failure to Timely Deliver Certificates</w:t>
      </w:r>
      <w:r>
        <w:rPr>
          <w:rFonts w:ascii="Times New Roman" w:hAnsi="Times New Roman"/>
          <w:sz w:val="20"/>
        </w:rPr>
        <w:t xml:space="preserve">. If the Company fails to deliver to a Holder the applicable certificate or certificates or to effect a DWAC Delivery, as applicable, by the Share Delivery Date pursuant to </w:t>
      </w:r>
      <w:r>
        <w:rPr>
          <w:rFonts w:ascii="Times New Roman" w:hAnsi="Times New Roman"/>
          <w:sz w:val="20"/>
          <w:u w:val="single"/>
        </w:rPr>
        <w:t>Section 6.5.1</w:t>
      </w:r>
      <w:r>
        <w:rPr>
          <w:rFonts w:ascii="Times New Roman" w:hAnsi="Times New Roman"/>
          <w:sz w:val="20"/>
        </w:rPr>
        <w:t xml:space="preserve"> (other than a failure caused by materially incorrect or incomplete information provided by Holder to the Company or the application of the Beneficial Ownership Limitation), and if after such Share Delivery Date such Holder is required by its brokerage firm to purchase (in an open market transaction or otherwise), or the Holder’s brokerage firm otherwise purchases, Ordinary Shares to deliver in satisfaction of a sale by such Holder of the Conversion Shares which such Holder was entitled to receive upon the conversion relating to such Share Delivery Date (a “</w:t>
      </w:r>
      <w:r>
        <w:rPr>
          <w:rFonts w:ascii="Times New Roman" w:hAnsi="Times New Roman"/>
          <w:b/>
          <w:i/>
          <w:sz w:val="20"/>
        </w:rPr>
        <w:t>Buy-In</w:t>
      </w:r>
      <w:r>
        <w:rPr>
          <w:rFonts w:ascii="Times New Roman" w:hAnsi="Times New Roman"/>
          <w:sz w:val="20"/>
        </w:rPr>
        <w:t xml:space="preserve">”), then the Company shall (A) pay in cash to such Holder (in addition to any other remedies available to or elected by such Holder) the amount by which (x) such Holder’s total purchase price (including any brokerage commissions) for the Ordinary Shares so purchased exceeds (y) the product of (1) the aggregate number of Ordinary Shares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Series B Non-Voting Preferred Shares equal to the number of Series B Non-Voting Preferred Shares submitted for conversion or deliver to such Holder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For example, if a Holder purchases Ordinary Shares having a total purchase price of $11,000 to cover a Buy-In with respect to an attempted conversion of Series B Non-Voting Preferred Shares with respect to which the actual sale price (including any brokerage commissions) giving rise to such purchase obligation was a total of $10,000 under clause (A) of the immediately preceding sentence, the Company shall be required to pay such Holder $1,000. The Holder shall provide the Company written notice, within three (3) Trading Days after the occurrence of a Buy-In, indicating the amounts payable to such Holder in respect of such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Ordinary Shares upon conversion of Series B Non-Voting Preferred Shares as required pursuant to the terms hereof or the cash settlement remedy set forth in </w:t>
      </w:r>
      <w:r>
        <w:rPr>
          <w:rFonts w:ascii="Times New Roman" w:hAnsi="Times New Roman"/>
          <w:sz w:val="20"/>
          <w:u w:val="single"/>
        </w:rPr>
        <w:t>Section 6.5.3</w:t>
      </w:r>
      <w:r>
        <w:rPr>
          <w:rFonts w:ascii="Times New Roman" w:hAnsi="Times New Roman"/>
          <w:sz w:val="20"/>
        </w:rPr>
        <w:t xml:space="preserve">; provided, however, that the Holder shall not be entitled to both (i) require the reissuance of Series B Non-Voting Preferred Shares submitted for conversion for which such conversion was not timely honored and (ii) receive the number of Ordinary Shares that would have been issued if the Company had timely complied with its delivery requirements under </w:t>
      </w:r>
      <w:r>
        <w:rPr>
          <w:rFonts w:ascii="Times New Roman" w:hAnsi="Times New Roman"/>
          <w:sz w:val="20"/>
          <w:u w:val="single"/>
        </w:rPr>
        <w:t>Section 6.5.1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6.5.5 </w:t>
      </w:r>
      <w:r>
        <w:rPr>
          <w:rFonts w:ascii="Times New Roman" w:hAnsi="Times New Roman"/>
          <w:sz w:val="20"/>
          <w:u w:val="single"/>
        </w:rPr>
        <w:t>Reservation of Shares Issuable Upon Conversion</w:t>
      </w:r>
      <w:r>
        <w:rPr>
          <w:rFonts w:ascii="Times New Roman" w:hAnsi="Times New Roman"/>
          <w:sz w:val="20"/>
        </w:rPr>
        <w:t xml:space="preserve">. The Company covenants that at all times it will reserve and keep available out of its authorized and unissued shares Ordinary Shares for the sole purpose of issuance upon conversion of the Series B Non-Voting Preferred Shares, free from preemptive rights or any other actual contingent purchase rights of Persons other than the Holders of the Series B Non-Voting Preferred Shares, not less than such aggregate number of Ordinary Shares as shall be issuable (taking into account the adjustments of </w:t>
      </w:r>
      <w:r>
        <w:rPr>
          <w:rFonts w:ascii="Times New Roman" w:hAnsi="Times New Roman"/>
          <w:sz w:val="20"/>
          <w:u w:val="single"/>
        </w:rPr>
        <w:t>Section 7</w:t>
      </w:r>
      <w:r>
        <w:rPr>
          <w:rFonts w:ascii="Times New Roman" w:hAnsi="Times New Roman"/>
          <w:sz w:val="20"/>
        </w:rPr>
        <w:t xml:space="preserve">) upon the conversion of all issued and outstanding Series B Non-Voting Preferred Shares. The Company covenants that all Ordinary Shares that shall be so issuable shall, upon issue, be duly authorized,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6.5.6 </w:t>
      </w:r>
      <w:r>
        <w:rPr>
          <w:rFonts w:ascii="Times New Roman" w:hAnsi="Times New Roman"/>
          <w:sz w:val="20"/>
          <w:u w:val="single"/>
        </w:rPr>
        <w:t>Fractional Shares</w:t>
      </w:r>
      <w:r>
        <w:rPr>
          <w:rFonts w:ascii="Times New Roman" w:hAnsi="Times New Roman"/>
          <w:sz w:val="20"/>
        </w:rPr>
        <w:t xml:space="preserve">. No fractional Ordinary Shares shall be issued upon conversion of the Series B Non-Voting Preferred Shares, no certificates or scrip for any such fractional shares shall be issued and no cash shall be paid for any such fractional shares. Any fractional Ordinary Shares that a Holder of Series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Non-Voting Preferred Shares would otherwise be entitled to receive shall be aggregated with all fractional Ordinary Shares issuable to such Holder and any remaining fractional shares shall be rounded up to the nearest whole share. Whether or not fractional shares would be issuable upon such conversion shall be determined on the basis of the total number of Series B Non-Voting Preferred Shares the Holder seeks to convert into Ordinary Shares and the aggregate number of Ordinary Shares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6.5.7 </w:t>
      </w:r>
      <w:r>
        <w:rPr>
          <w:rFonts w:ascii="Times New Roman" w:hAnsi="Times New Roman"/>
          <w:sz w:val="20"/>
          <w:u w:val="single"/>
        </w:rPr>
        <w:t>Transfer Taxes</w:t>
      </w:r>
      <w:r>
        <w:rPr>
          <w:rFonts w:ascii="Times New Roman" w:hAnsi="Times New Roman"/>
          <w:sz w:val="20"/>
        </w:rPr>
        <w:t xml:space="preserve">. The issuance of certificates for Ordinary Shares upon conversion of the Series B Non-Voting Preferred Shares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registered Holder(s) of such Series B Non-Voting Preferred Shares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Status as Shareholder</w:t>
      </w:r>
      <w:r>
        <w:rPr>
          <w:rFonts w:ascii="Times New Roman" w:hAnsi="Times New Roman"/>
          <w:sz w:val="20"/>
        </w:rPr>
        <w:t xml:space="preserve">. Upon each Conversion Date, (i) the Series B Non-Voting Preferred Shares being converted shall be deemed converted into Ordinary Shares and (ii) the Holder’s rights as a holder of such converted Series B Non-Voting Preferred Shares shall cease and terminate, excepting only the right to receive certificates for such Ordinary Shares and to any remedies provided herein or otherwise available at law or in equity to such Holder because of a failure by the Company to comply with the terms of this Description of Rights. In all cases, the Holder shall retain all of its rights and remedies for the Company’s failure to convert Series B Non-Voting Preferred Share.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Share Dividends and Share Splits</w:t>
      </w:r>
      <w:r>
        <w:rPr>
          <w:rFonts w:ascii="Times New Roman" w:hAnsi="Times New Roman"/>
          <w:sz w:val="20"/>
        </w:rPr>
        <w:t xml:space="preserve">. If the Company, at any time while Series B Non-Voting Preferred Shares are issued and outstanding: (A) pays a share dividend or otherwise makes a distribution or distributions payable in Ordinary Shares (which, for avoidance of doubt, shall not include any Ordinary Shares issued by the Company upon conversion of this Series B Non-Voting Preferred Share) with respect to the then outstanding Ordinary Shares; (B) subdivides issued and outstanding Ordinary Shares into a larger number of shares; or (C) combines (including by way of a reverse share split) issued and outstanding Ordinary Shares into a smaller number of shares, then the Conversion Ratio shall be multiplied by a fraction of which the numerator shall be the number of Ordinary Shares (excluding any treasury shares of the Company) issued and outstanding immediately after such event and of which the denominator shall be the number of Ordinary Shares outstanding immediately before such event (excluding any treasury shares of the Company). Any adjustment made pursuant to this </w:t>
      </w:r>
      <w:r>
        <w:rPr>
          <w:rFonts w:ascii="Times New Roman" w:hAnsi="Times New Roman"/>
          <w:sz w:val="20"/>
          <w:u w:val="single"/>
        </w:rPr>
        <w:t>Section 7.1</w:t>
      </w:r>
      <w:r>
        <w:rPr>
          <w:rFonts w:ascii="Times New Roman" w:hAnsi="Times New Roman"/>
          <w:sz w:val="20"/>
        </w:rPr>
        <w:t xml:space="preserve"> shall become effective immediately after the record date for the determination of shareholders entitled to receive such dividend or distribution and shall become effective immediately after the effective date in the case of a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Fundamental Transaction</w:t>
      </w:r>
      <w:r>
        <w:rPr>
          <w:rFonts w:ascii="Times New Roman" w:hAnsi="Times New Roman"/>
          <w:sz w:val="20"/>
        </w:rPr>
        <w:t xml:space="preserve">. If, at any time while the Series B Non-Voting Preferred Shares are issued and outstanding, (A) the Company effects any merger or consolidation of the Company with or into another Person or any share sale to, or other business combination (including, without limitation, a reorganization, recapitalization, spin-off, share exchange or scheme of arrangement) with or into another Person (other than such a transaction in which the Company is the surviving or continuing entity and its Ordinary Shares are not exchanged for or converted into other securities, cash or property), (B) the Company effects any sale, lease, transfer or exclusive license of all or substantially all of its assets in one transaction or a series of related transactions, (C) any tender offer or exchange offer by the Company is completed pursuant to which more than 50% of the Ordinary Shares not held by the Company is exchanged for or converted into other securities, cash or property, or (D) the Company effects any reclassification of the Ordinary Shares or any compulsory share exchange pursuant (other than as a result of a dividend, subdivision or combination covered by </w:t>
      </w:r>
      <w:r>
        <w:rPr>
          <w:rFonts w:ascii="Times New Roman" w:hAnsi="Times New Roman"/>
          <w:sz w:val="20"/>
          <w:u w:val="single"/>
        </w:rPr>
        <w:t>Section 7.1</w:t>
      </w:r>
      <w:r>
        <w:rPr>
          <w:rFonts w:ascii="Times New Roman" w:hAnsi="Times New Roman"/>
          <w:sz w:val="20"/>
        </w:rPr>
        <w:t xml:space="preserve">) to which the Ordinary Shares are effectively converted into or exchanged for other securities, cash or property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such case, a “</w:t>
      </w:r>
      <w:r>
        <w:rPr>
          <w:rFonts w:ascii="Times New Roman" w:hAnsi="Times New Roman"/>
          <w:b/>
          <w:i/>
          <w:sz w:val="20"/>
        </w:rPr>
        <w:t>Fundamental Transaction</w:t>
      </w:r>
      <w:r>
        <w:rPr>
          <w:rFonts w:ascii="Times New Roman" w:hAnsi="Times New Roman"/>
          <w:sz w:val="20"/>
        </w:rPr>
        <w:t>”), then, upon any subsequent conversion of the Series B Non-Voting Preferred Shares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Ordinary Share (the “</w:t>
      </w:r>
      <w:r>
        <w:rPr>
          <w:rFonts w:ascii="Times New Roman" w:hAnsi="Times New Roman"/>
          <w:b/>
          <w:i/>
          <w:sz w:val="20"/>
        </w:rPr>
        <w:t>Alternate Consideration</w:t>
      </w:r>
      <w:r>
        <w:rPr>
          <w:rFonts w:ascii="Times New Roman" w:hAnsi="Times New Roman"/>
          <w:sz w:val="20"/>
        </w:rPr>
        <w:t xml:space="preserve">”). For purposes of any such subsequent conversion, the determination of the Conversion Ratio shall be appropriately adjusted to apply to such Alternate Consideration based on the amount of Alternate Consideration issuable in respect of one Ordinary Share in such Fundamental Transaction, and the Company shall adjust the Conversion Ratio in a reasonable manner reflecting the relative value of any different components of the Alternate Consideration. If holders of Ordinary Shares are given any choice as to the securities, cash or property to be received in a Fundamental Transaction, then the Holders shall be given the same choice as to the Alternate Consideration it receives upon any conversion of the Series B Non-Voting Preferred Shares following such Fundamental Transaction. To the extent necessary to effectuate the foregoing provisions, any successor to the Company or surviving entity in such Fundamental Transaction shall file a new description of terms, certificate of designations or similar with the same terms and conditions and issue to the Holders new preferred shares consistent with the foregoing provisions and evidencing the Holders’ right to convert such preferred shares into Alternate Consideration. The terms of any agreement to which the Company is a party and pursuant to which a Fundamental Transaction is effected shall include terms requiring any such successor or surviving entity to comply with the provisions of this </w:t>
      </w:r>
      <w:r>
        <w:rPr>
          <w:rFonts w:ascii="Times New Roman" w:hAnsi="Times New Roman"/>
          <w:sz w:val="20"/>
          <w:u w:val="single"/>
        </w:rPr>
        <w:t>Section 7.2</w:t>
      </w:r>
      <w:r>
        <w:rPr>
          <w:rFonts w:ascii="Times New Roman" w:hAnsi="Times New Roman"/>
          <w:sz w:val="20"/>
        </w:rPr>
        <w:t xml:space="preserve"> and ensuring that the Series B Non-Voting Preferred Shares (or any such replacement security) will be similarly adjusted upon any subsequent transaction analogous to a Fundamental Transaction. The Company shall cause to be delivered to each Holder, at its last address as it shall appear upon the share registers of the Company, written notice of any Fundamental Transaction at least 20 calendar days prior to the date on which such Fundamental Transaction is expected to become effective or close.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7</w:t>
      </w:r>
      <w:r>
        <w:rPr>
          <w:rFonts w:ascii="Times New Roman" w:hAnsi="Times New Roman"/>
          <w:sz w:val="20"/>
        </w:rPr>
        <w:t xml:space="preserve"> shall be made to the nearest cent or the nearest 1/100th of a share, as the case may be. For purposes of this </w:t>
      </w:r>
      <w:r>
        <w:rPr>
          <w:rFonts w:ascii="Times New Roman" w:hAnsi="Times New Roman"/>
          <w:sz w:val="20"/>
          <w:u w:val="single"/>
        </w:rPr>
        <w:t>Section 7</w:t>
      </w:r>
      <w:r>
        <w:rPr>
          <w:rFonts w:ascii="Times New Roman" w:hAnsi="Times New Roman"/>
          <w:sz w:val="20"/>
        </w:rPr>
        <w:t xml:space="preserve">, the number of Ordinary Shares deemed to be issued as of a given date shall be the sum of the number of Ordinary Shares (excluding any treasury shares of the Company) issued.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Redemption</w:t>
      </w:r>
      <w:r>
        <w:rPr>
          <w:rFonts w:ascii="Times New Roman" w:hAnsi="Times New Roman"/>
          <w:sz w:val="20"/>
        </w:rPr>
        <w:t xml:space="preserve">. The Series B Non-Voting Preferred Shares shall not be redeemable; provided, however, that the foregoing shall not limit the ability of the Company to purchase or otherwise deal in such shares to the extent otherwise permitted hereby and by law, nor shall the foregoing limit the Holder’s rights under </w:t>
      </w:r>
      <w:r>
        <w:rPr>
          <w:rFonts w:ascii="Times New Roman" w:hAnsi="Times New Roman"/>
          <w:sz w:val="20"/>
          <w:u w:val="single"/>
        </w:rPr>
        <w:t>Section 6.5.3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Transfer</w:t>
      </w:r>
      <w:r>
        <w:rPr>
          <w:rFonts w:ascii="Times New Roman" w:hAnsi="Times New Roman"/>
          <w:sz w:val="20"/>
        </w:rPr>
        <w:t xml:space="preserve">. A Holder may transfer any Series B Non-Voting Preferred Shares together with the accompanying rights set forth herein, held by such Holder without the consent of the Company; provided that such transfer is in compliance with applicable securities laws. The Company shall in good faith (i) do and perform, or cause to be done and performed, all such further acts and things, and (ii) execute and deliver all such other agreements, certificates, instruments and documents, in each case, as any holder of Series B Non-Voting Preferred Shares may reasonably request in order to carry out the intent and accomplish the purposes of this </w:t>
      </w:r>
      <w:r>
        <w:rPr>
          <w:rFonts w:ascii="Times New Roman" w:hAnsi="Times New Roman"/>
          <w:sz w:val="20"/>
          <w:u w:val="single"/>
        </w:rPr>
        <w:t>Section 9</w:t>
      </w:r>
      <w:r>
        <w:rPr>
          <w:rFonts w:ascii="Times New Roman" w:hAnsi="Times New Roman"/>
          <w:sz w:val="20"/>
        </w:rPr>
        <w:t xml:space="preserve">. The transferee of any Series B Non-Voting Preferred Shares shall be subject to the Beneficial Ownership Limitation applicable to the transferor as of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Series B Non-Voting Preferred Share Register</w:t>
      </w:r>
      <w:r>
        <w:rPr>
          <w:rFonts w:ascii="Times New Roman" w:hAnsi="Times New Roman"/>
          <w:sz w:val="20"/>
        </w:rPr>
        <w:t xml:space="preserve">. The Company shall maintain at its principal executive offices (or such other office or agency of the Company as it may designate by notice to the Holders in accordance with </w:t>
      </w:r>
      <w:r>
        <w:rPr>
          <w:rFonts w:ascii="Times New Roman" w:hAnsi="Times New Roman"/>
          <w:sz w:val="20"/>
          <w:u w:val="single"/>
        </w:rPr>
        <w:t>Section 11</w:t>
      </w:r>
      <w:r>
        <w:rPr>
          <w:rFonts w:ascii="Times New Roman" w:hAnsi="Times New Roman"/>
          <w:sz w:val="20"/>
        </w:rPr>
        <w:t xml:space="preserve">), a register for the Series B Non-Voting Preferred Share, in which the Company shall record (i) the name, address, and electronic mail address of each holder in whose name the Series B Non-Voting Preferred Shares have been issued and (ii) the name, address, and electronic mail address of each transferee of any Series B Non-Voting Preferred Share. The Company may deem and treat the registered Holder of Series B Non-Voting Preferred Shares as the absolute owner thereof for the purpose of any conversion thereof and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purposes. The Company shall keep the register open and available at all times during business hours for inspection by any Holder of Series B Non-Voting Preferred Shares or his, her or its legal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Any notice required or permitted by the provisions of this Description of Rights to be given to a Holder of Series B Non-Voting Preferred Shares shall be mailed, postage prepaid, to the post office address last shown on the records of the Company, or given by electronic communication in compliance with the provisions of the Articles,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Book-Entry; Certificates</w:t>
      </w:r>
      <w:r>
        <w:rPr>
          <w:rFonts w:ascii="Times New Roman" w:hAnsi="Times New Roman"/>
          <w:sz w:val="20"/>
        </w:rPr>
        <w:t xml:space="preserve">. The Series B Non-Voting Preferred Shares will be issued in book-entry form; provided that, if a Holder requests that such Holder’s of Series B Non-Voting Preferred Shares be issued in certificated form, the Company will instead issue a share certificate to such Holder representing such Holder’s Series B Non-Voting Preferred Shares. To the extent that any Series B Non-Voting Preferred Shares are issued in book-entry form, references herein to “certificates” shall instead refer to the book-entry notation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Lost or Mutilated Series B Non-Voting Preferred Share Certificate</w:t>
      </w:r>
      <w:r>
        <w:rPr>
          <w:rFonts w:ascii="Times New Roman" w:hAnsi="Times New Roman"/>
          <w:sz w:val="20"/>
        </w:rPr>
        <w:t xml:space="preserve">. If a Holder’s Series B Non-Voting Preferred Share certificate shall be mutilated, lost, stolen or destroyed, the Company shall execute and deliver, in exchange and substitution for and upon cancellation of a mutilated certificate, or in lieu of or in substitution for a lost, stolen or destroyed certificate, a new certificate for the Series B Non-Voting Preferred Share so mutilated, lost, stolen or destroyed, but only upon receipt of evidence of such loss, theft or destruction of such certificate, and of the ownership hereof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Waiver</w:t>
      </w:r>
      <w:r>
        <w:rPr>
          <w:rFonts w:ascii="Times New Roman" w:hAnsi="Times New Roman"/>
          <w:sz w:val="20"/>
        </w:rPr>
        <w:t xml:space="preserve">. Any waiver by the Company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Company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Company or a Holder must be in writing. Notwithstanding any provision in this Description of Rights to the contrary, any provision contained herein and any right of the Holders of Series B Non-Voting Preferred Shares granted hereunder may be waived as to all Series B Non-Voting Preferred Shares (and the Holders thereof) upon the written consent of the Holders of not less than a majority of the Series B Non-Voting Preferred Shares then issued and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Status of Converted Series B Non-Voting Preferred Share</w:t>
      </w:r>
      <w:r>
        <w:rPr>
          <w:rFonts w:ascii="Times New Roman" w:hAnsi="Times New Roman"/>
          <w:sz w:val="20"/>
        </w:rPr>
        <w:t xml:space="preserve">. If any Series B Non-Voting Preferred Shares shall be converted or redeemed by the Company, such shares shall, to the fullest extent permitted by applicable law, be retired and cancelled upon such acquisition, and shall not be reissued as Series B Non-Voting Preferred Shares. Any Series B Non-Voting Preferred Shares so acquired shall, upon its retirement and cancellation, and upon the taking of any action required by applicable law, resume the status of authorized but unissued preferred shares and shall no longer be designated as Series B Non-Voting Preferred Shares.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w:t>
      </w:r>
      <w:r>
        <w:rPr>
          <w:rFonts w:ascii="Times New Roman" w:hAnsi="Times New Roman"/>
          <w:b/>
          <w:sz w:val="20"/>
        </w:rPr>
        <w:t>Korsana Biosciences, Inc</w:t>
      </w:r>
      <w:r>
        <w:rPr>
          <w:rFonts w:ascii="Times New Roman" w:hAnsi="Times New Roman"/>
          <w:sz w:val="20"/>
        </w:rPr>
        <w:t xml:space="preserve">. has caused this Certificate of Designation of Preferences, Rights and Limitations of Series B Convertible Shares to be duly executed on its behalf by a director of the Company on       </w:t>
      </w:r>
    </w:p>
    <w:p>
      <w:pPr>
        <w:pStyle w:val="TextBody"/>
        <w:bidi w:val="0"/>
        <w:spacing w:before="0" w:after="0"/>
        <w:jc w:val="left"/>
        <w:rPr/>
      </w:pPr>
      <w:r>
        <w:rPr/>
        <w:t> </w:t>
      </w:r>
    </w:p>
    <w:tbl>
      <w:tblPr>
        <w:tblW w:w="2629" w:type="dxa"/>
        <w:jc w:val="left"/>
        <w:tblInd w:w="0" w:type="dxa"/>
        <w:tblLayout w:type="fixed"/>
        <w:tblCellMar>
          <w:top w:w="0" w:type="dxa"/>
          <w:left w:w="0" w:type="dxa"/>
          <w:bottom w:w="0" w:type="dxa"/>
          <w:right w:w="0" w:type="dxa"/>
        </w:tblCellMar>
      </w:tblPr>
      <w:tblGrid>
        <w:gridCol w:w="2148"/>
        <w:gridCol w:w="212"/>
        <w:gridCol w:w="269"/>
      </w:tblGrid>
      <w:tr>
        <w:trPr/>
        <w:tc>
          <w:tcPr>
            <w:tcW w:w="21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b/>
              </w:rPr>
            </w:pPr>
            <w:r>
              <w:rPr>
                <w:b/>
              </w:rPr>
              <w:t>Korsana Biosciences, Inc.</w:t>
            </w:r>
          </w:p>
        </w:tc>
      </w:tr>
      <w:tr>
        <w:trPr/>
        <w:tc>
          <w:tcPr>
            <w:tcW w:w="2148" w:type="dxa"/>
            <w:tcBorders/>
            <w:vAlign w:val="center"/>
          </w:tcPr>
          <w:p>
            <w:pPr>
              <w:pStyle w:val="TableContents"/>
              <w:bidi w:val="0"/>
              <w:spacing w:before="0" w:after="283"/>
              <w:jc w:val="left"/>
              <w:rPr>
                <w:sz w:val="4"/>
                <w:szCs w:val="4"/>
              </w:rPr>
            </w:pPr>
            <w:r>
              <w:rPr>
                <w:sz w:val="4"/>
                <w:szCs w:val="4"/>
              </w:rPr>
            </w:r>
          </w:p>
        </w:tc>
        <w:tc>
          <w:tcPr>
            <w:tcW w:w="481" w:type="dxa"/>
            <w:gridSpan w:val="2"/>
            <w:tcBorders/>
            <w:vAlign w:val="center"/>
          </w:tcPr>
          <w:p>
            <w:pPr>
              <w:pStyle w:val="TableContents"/>
              <w:bidi w:val="0"/>
              <w:spacing w:before="0" w:after="283"/>
              <w:jc w:val="left"/>
              <w:rPr>
                <w:sz w:val="4"/>
                <w:szCs w:val="4"/>
              </w:rPr>
            </w:pPr>
            <w:r>
              <w:rPr>
                <w:sz w:val="4"/>
                <w:szCs w:val="4"/>
              </w:rPr>
            </w:r>
          </w:p>
        </w:tc>
      </w:tr>
      <w:tr>
        <w:trPr/>
        <w:tc>
          <w:tcPr>
            <w:tcW w:w="2148" w:type="dxa"/>
            <w:tcBorders/>
            <w:vAlign w:val="center"/>
          </w:tcPr>
          <w:p>
            <w:pPr>
              <w:pStyle w:val="TableContents"/>
              <w:bidi w:val="0"/>
              <w:spacing w:before="0" w:after="283"/>
              <w:jc w:val="left"/>
              <w:rPr/>
            </w:pPr>
            <w:r>
              <w:rPr/>
              <w:t>By:</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Name: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48" w:type="dxa"/>
            <w:tcBorders/>
            <w:vAlign w:val="center"/>
          </w:tcPr>
          <w:p>
            <w:pPr>
              <w:pStyle w:val="TableContents"/>
              <w:bidi w:val="0"/>
              <w:spacing w:before="0" w:after="283"/>
              <w:jc w:val="left"/>
              <w:rPr/>
            </w:pPr>
            <w:r>
              <w:rPr/>
              <w:t>Title: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26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(TO BE EXECUTED BY THE REGISTERED HOLDER IN ORDER TO CONVERT SERIES B NON-VOTING CONVERTIBLE PREFERRED SHARE) </w:t>
      </w:r>
    </w:p>
    <w:p>
      <w:pPr>
        <w:pStyle w:val="TextBody"/>
        <w:bidi w:val="0"/>
        <w:spacing w:before="240" w:after="0"/>
        <w:jc w:val="left"/>
        <w:rPr>
          <w:rFonts w:ascii="Times New Roman" w:hAnsi="Times New Roman"/>
          <w:sz w:val="20"/>
        </w:rPr>
      </w:pPr>
      <w:r>
        <w:rPr>
          <w:rFonts w:ascii="Times New Roman" w:hAnsi="Times New Roman"/>
          <w:sz w:val="20"/>
        </w:rPr>
        <w:t>The undersigned Holder hereby irrevocably elects to convert the number of Series B Non-Voting Preferred Shares indicated below, represented in book-entry form, into ordinary shares of $0.0001 par value (the “</w:t>
      </w:r>
      <w:r>
        <w:rPr>
          <w:rFonts w:ascii="Times New Roman" w:hAnsi="Times New Roman"/>
          <w:b/>
          <w:i/>
          <w:sz w:val="20"/>
        </w:rPr>
        <w:t>Ordinary Shares</w:t>
      </w:r>
      <w:r>
        <w:rPr>
          <w:rFonts w:ascii="Times New Roman" w:hAnsi="Times New Roman"/>
          <w:sz w:val="20"/>
        </w:rPr>
        <w:t>”), of Korsana Biosciences, Inc. (the “</w:t>
      </w:r>
      <w:r>
        <w:rPr>
          <w:rFonts w:ascii="Times New Roman" w:hAnsi="Times New Roman"/>
          <w:b/>
          <w:sz w:val="20"/>
        </w:rPr>
        <w:t>Company</w:t>
      </w:r>
      <w:r>
        <w:rPr>
          <w:rFonts w:ascii="Times New Roman" w:hAnsi="Times New Roman"/>
          <w:sz w:val="20"/>
        </w:rPr>
        <w:t xml:space="preserve">”), an exempted company incorporated in the Cayman Islands with limited liability,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Amended and Restated Memorandum and Articles of Association adopted by special resolution on [  ], 2026 or the Certificate of Designation of Preferences Rights and Limitations of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number of Ordinary Shares beneficially owned by the undersigned Holder (together with such Holder’s Attribution Parties), including the number of Ordinary Shares issuable upon conversion of the Series B Non-Voting Preferred Shares subject to this Notice of Conversion, but excluding the number of Ordinary Shares which are issuable upon (A) conversion of the remaining, unconverted Series B Non-Voting Preferred Shares beneficially owned by such Holder or any of its Attribution Parties, and (B) exercise or conversion of the unexercised or unconverted portion of any other securities of the Company (including any warrants) beneficially owned by such Holder or any of its Attribution Parties that are subject to a limitation on conversion or exercise similar to the limitation contained in </w:t>
      </w:r>
      <w:r>
        <w:rPr>
          <w:rFonts w:ascii="Times New Roman" w:hAnsi="Times New Roman"/>
          <w:sz w:val="20"/>
          <w:u w:val="single"/>
        </w:rPr>
        <w:t>Section 6.4</w:t>
      </w:r>
      <w:r>
        <w:rPr>
          <w:rFonts w:ascii="Times New Roman" w:hAnsi="Times New Roman"/>
          <w:sz w:val="20"/>
        </w:rPr>
        <w:t xml:space="preserve"> of the Attachment IV of the Articles of Amendment, is   %. For purposes hereof, beneficial ownership shall be calculated in accordance with Section 13(d) of the Exchange Act and the applicable regulations of the Commission. In addition, for purposes hereof, “group” has the meaning set forth in Section 13(d) of the Exchange Act and the applicable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CONVERSION CALCULATIONS: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430"/>
        <w:gridCol w:w="60"/>
        <w:gridCol w:w="1715"/>
      </w:tblGrid>
      <w:tr>
        <w:trPr/>
        <w:tc>
          <w:tcPr>
            <w:tcW w:w="7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Date to Effect Conversion:</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Series B Non-Voting Preferred Shares owned prior to Conversion:</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Series B Non-Voting Preferred Shares to be Converted:</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Number of Ordinary Shares to be Issued:</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r>
        <w:trPr/>
        <w:tc>
          <w:tcPr>
            <w:tcW w:w="743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7430" w:type="dxa"/>
            <w:tcBorders/>
            <w:vAlign w:val="center"/>
          </w:tcPr>
          <w:p>
            <w:pPr>
              <w:pStyle w:val="TableContents"/>
              <w:bidi w:val="0"/>
              <w:spacing w:before="0" w:after="283"/>
              <w:jc w:val="left"/>
              <w:rPr/>
            </w:pPr>
            <w:r>
              <w:rPr/>
              <w:t>Address for delivery of physical certificates:</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4175"/>
      </w:tblGrid>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DWAC Delivery, please provide the following:</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w:t>
            </w:r>
            <w:r>
              <w:rPr>
                <w:rFonts w:ascii="Times New Roman" w:hAnsi="Times New Roman"/>
                <w:sz w:val="20"/>
                <w:u w:val="single"/>
              </w:rPr>
              <w:t>         </w:t>
            </w:r>
          </w:p>
        </w:tc>
      </w:tr>
      <w:tr>
        <w:trPr/>
        <w:tc>
          <w:tcPr>
            <w:tcW w:w="41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 No.:</w:t>
            </w:r>
            <w:r>
              <w:rPr>
                <w:rFonts w:ascii="Times New Roman" w:hAnsi="Times New Roman"/>
                <w:sz w:val="20"/>
                <w:u w:val="single"/>
              </w:rPr>
              <w:t>         </w:t>
            </w:r>
          </w:p>
        </w:tc>
      </w:tr>
    </w:tbl>
    <w:p>
      <w:pPr>
        <w:pStyle w:val="TextBody"/>
        <w:bidi w:val="0"/>
        <w:spacing w:before="0" w:after="0"/>
        <w:jc w:val="left"/>
        <w:rPr/>
      </w:pPr>
      <w:r>
        <w:rPr/>
        <w:t> </w:t>
      </w:r>
    </w:p>
    <w:tbl>
      <w:tblPr>
        <w:tblW w:w="1204" w:type="dxa"/>
        <w:jc w:val="left"/>
        <w:tblInd w:w="0" w:type="dxa"/>
        <w:tblLayout w:type="fixed"/>
        <w:tblCellMar>
          <w:top w:w="0" w:type="dxa"/>
          <w:left w:w="0" w:type="dxa"/>
          <w:bottom w:w="0" w:type="dxa"/>
          <w:right w:w="0" w:type="dxa"/>
        </w:tblCellMar>
      </w:tblPr>
      <w:tblGrid>
        <w:gridCol w:w="984"/>
        <w:gridCol w:w="97"/>
        <w:gridCol w:w="123"/>
      </w:tblGrid>
      <w:tr>
        <w:trPr/>
        <w:tc>
          <w:tcPr>
            <w:tcW w:w="984"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vAlign w:val="center"/>
          </w:tcPr>
          <w:p>
            <w:pPr>
              <w:pStyle w:val="TableContents"/>
              <w:bidi w:val="0"/>
              <w:spacing w:before="0" w:after="283"/>
              <w:jc w:val="left"/>
              <w:rPr/>
            </w:pPr>
            <w:r>
              <w:rPr/>
              <w:t>[HOLDER]</w:t>
            </w:r>
          </w:p>
        </w:tc>
      </w:tr>
      <w:tr>
        <w:trPr/>
        <w:tc>
          <w:tcPr>
            <w:tcW w:w="984" w:type="dxa"/>
            <w:tcBorders/>
            <w:vAlign w:val="center"/>
          </w:tcPr>
          <w:p>
            <w:pPr>
              <w:pStyle w:val="TableContents"/>
              <w:bidi w:val="0"/>
              <w:spacing w:before="0" w:after="283"/>
              <w:jc w:val="left"/>
              <w:rPr>
                <w:sz w:val="4"/>
                <w:szCs w:val="4"/>
              </w:rPr>
            </w:pPr>
            <w:r>
              <w:rPr>
                <w:sz w:val="4"/>
                <w:szCs w:val="4"/>
              </w:rPr>
            </w:r>
          </w:p>
        </w:tc>
        <w:tc>
          <w:tcPr>
            <w:tcW w:w="220" w:type="dxa"/>
            <w:gridSpan w:val="2"/>
            <w:tcBorders/>
            <w:vAlign w:val="center"/>
          </w:tcPr>
          <w:p>
            <w:pPr>
              <w:pStyle w:val="TableContents"/>
              <w:bidi w:val="0"/>
              <w:spacing w:before="0" w:after="283"/>
              <w:jc w:val="left"/>
              <w:rPr>
                <w:sz w:val="4"/>
                <w:szCs w:val="4"/>
              </w:rPr>
            </w:pPr>
            <w:r>
              <w:rPr>
                <w:sz w:val="4"/>
                <w:szCs w:val="4"/>
              </w:rPr>
            </w:r>
          </w:p>
        </w:tc>
      </w:tr>
      <w:tr>
        <w:trPr/>
        <w:tc>
          <w:tcPr>
            <w:tcW w:w="984" w:type="dxa"/>
            <w:tcBorders/>
            <w:vAlign w:val="center"/>
          </w:tcPr>
          <w:p>
            <w:pPr>
              <w:pStyle w:val="TableContents"/>
              <w:bidi w:val="0"/>
              <w:spacing w:before="0" w:after="283"/>
              <w:jc w:val="left"/>
              <w:rPr/>
            </w:pPr>
            <w:r>
              <w:rPr/>
              <w:t>By:</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283"/>
              <w:jc w:val="left"/>
              <w:rPr/>
            </w:pPr>
            <w:r>
              <w:rPr/>
              <w:t>Name:</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84" w:type="dxa"/>
            <w:tcBorders/>
            <w:vAlign w:val="center"/>
          </w:tcPr>
          <w:p>
            <w:pPr>
              <w:pStyle w:val="TableContents"/>
              <w:bidi w:val="0"/>
              <w:spacing w:before="0" w:after="283"/>
              <w:jc w:val="left"/>
              <w:rPr/>
            </w:pPr>
            <w:r>
              <w:rPr/>
              <w:t>Title:</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123"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O-12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4" w:name="tx111069_61"/>
      <w:bookmarkEnd w:id="204"/>
      <w:r>
        <w:rPr>
          <w:rFonts w:ascii="Times New Roman" w:hAnsi="Times New Roman"/>
          <w:b/>
          <w:sz w:val="20"/>
        </w:rPr>
        <w:t xml:space="preserve">Annex P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Stock Incentive Plan (the “</w:t>
      </w:r>
      <w:r>
        <w:rPr>
          <w:rFonts w:ascii="Times New Roman" w:hAnsi="Times New Roman"/>
          <w:b/>
          <w:i/>
          <w:sz w:val="20"/>
        </w:rPr>
        <w:t>Plan</w:t>
      </w:r>
      <w:r>
        <w:rPr>
          <w:rFonts w:ascii="Times New Roman" w:hAnsi="Times New Roman"/>
          <w:sz w:val="20"/>
        </w:rPr>
        <w:t xml:space="preserve">”) is to promote and closely align the interests of employees, officers, non-employee directors and other individual service providers of Korsana Biosciences, Inc. and its stockholders by providing stock-based compensation and other performance-based compensation. The objectives of the Plan are to attract and retain the best available employees, officers, non-employee directors and other individual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Restricted Stock Units and Other Stock-Based Awards and for Incentive Bonuses, which may be paid in cash, Common Stock or a combination thereof, as determined by the Committee.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2.</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Affiliate</w:t>
      </w:r>
      <w:r>
        <w:rPr>
          <w:rFonts w:ascii="Times New Roman" w:hAnsi="Times New Roman"/>
          <w:sz w:val="20"/>
        </w:rPr>
        <w:t xml:space="preserve">” means any entity in which the Company has a substantial direct or indirect equity interest, as determined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Award</w:t>
      </w:r>
      <w:r>
        <w:rPr>
          <w:rFonts w:ascii="Times New Roman" w:hAnsi="Times New Roman"/>
          <w:sz w:val="20"/>
        </w:rPr>
        <w:t xml:space="preserve">” means an Option, Stock Appreciation Right, Restricted Stock, Restricted Stock Unit, Other Stock-Based Award or Incentive Bonus, or any combination of these, granted to a Participant pursuant to the provisions of the Plan, any of which may be subject to performance conditions.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Award Agreement</w:t>
      </w:r>
      <w:r>
        <w:rPr>
          <w:rFonts w:ascii="Times New Roman" w:hAnsi="Times New Roman"/>
          <w:sz w:val="20"/>
        </w:rPr>
        <w:t xml:space="preserve">”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Beneficial Owner</w:t>
      </w:r>
      <w:r>
        <w:rPr>
          <w:rFonts w:ascii="Times New Roman" w:hAnsi="Times New Roman"/>
          <w:sz w:val="20"/>
        </w:rPr>
        <w:t xml:space="preserve">” shall have the meaning set forth in Rule 13d-3 under the Act.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Cause</w:t>
      </w:r>
      <w:r>
        <w:rPr>
          <w:rFonts w:ascii="Times New Roman" w:hAnsi="Times New Roman"/>
          <w:sz w:val="20"/>
        </w:rPr>
        <w:t xml:space="preserve">” has the meaning set forth in the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a Participant’s (i) dishonest statements or acts with respect to the Company or any Affiliate, or any current or prospective customers, suppliers, vendors or other third parties with which such entity does business that results in or is reasonably anticipated to result in material harm to the Company; (ii) conviction or plea of guilty or no contest to: (A) a felony or (B) any misdemeanor involving moral turpitude, deceit, dishonesty or fraud; (iii) failure to perform in all material respects the Participant’s assigned duties and responsibilities; (iv) gross negligence, willful misconduct that results in or is reasonably anticipated to result in material harm to the Company; (v) violation of any material provision of any agreement(s) between the Participant and the Company; or (vi) material violation of any written Company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i/>
          <w:sz w:val="20"/>
        </w:rPr>
        <w:t>Change in Control</w:t>
      </w:r>
      <w:r>
        <w:rPr>
          <w:rFonts w:ascii="Times New Roman" w:hAnsi="Times New Roman"/>
          <w:sz w:val="20"/>
        </w:rPr>
        <w:t xml:space="preserve">” means, except as otherwise provided in an Award Agreement, the occurrence of any one of the following events following the Effective Date (and for the avoidance of doubt shall exclude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Person is or becomes the Beneficial Owner, directly or indirectly, of securities of the Company (not including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hAnsi="Times New Roman"/>
          <w:sz w:val="20"/>
          <w:u w:val="single"/>
        </w:rPr>
        <w:t>Section 2(h)(iii)(A)</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the Company or any direct or indirect subsidiary of the Company with any other entity, other than (A)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(iv) the implementation of a plan of complete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stockholders of the Company in substantially the same proportions as their ownership of the Company immediately prior to such sale.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Committee</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Common Stock</w:t>
      </w:r>
      <w:r>
        <w:rPr>
          <w:rFonts w:ascii="Times New Roman" w:hAnsi="Times New Roman"/>
          <w:sz w:val="20"/>
        </w:rPr>
        <w:t xml:space="preserve">” means the common stock of the Company, no par value per share, or such other class or kind of shares or other securities as may be applicable under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Company</w:t>
      </w:r>
      <w:r>
        <w:rPr>
          <w:rFonts w:ascii="Times New Roman" w:hAnsi="Times New Roman"/>
          <w:sz w:val="20"/>
        </w:rPr>
        <w:t xml:space="preserve">” means Korsana Biosciences, Inc., a Massachusetts corporation, and except as utilized in the definition of Change in Control, any successor corporation.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Disability</w:t>
      </w:r>
      <w:r>
        <w:rPr>
          <w:rFonts w:ascii="Times New Roman" w:hAnsi="Times New Roman"/>
          <w:sz w:val="20"/>
        </w:rPr>
        <w:t xml:space="preserve">” has the meaning set forth in a written employment, offer, services or severance agreement or letter between the Participant and the Company or an Affiliate, or in any severance plan in which the Participant participates, or if there is no such agreement or plan or no such term is defined in such agreement or plan,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b/>
          <w:i/>
          <w:sz w:val="20"/>
        </w:rPr>
        <w:t>Dividend Equivalent</w:t>
      </w:r>
      <w:r>
        <w:rPr>
          <w:rFonts w:ascii="Times New Roman" w:hAnsi="Times New Roman"/>
          <w:sz w:val="20"/>
        </w:rPr>
        <w:t xml:space="preserve">” means an amount payable in cash or Common Stock, as determined by the Committee, equal to the dividends that would have been paid to the Participant if the share of Common Stock with respect to which the Dividend Equivalent relates had been owned by the Participant.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Effective Date</w:t>
      </w:r>
      <w:r>
        <w:rPr>
          <w:rFonts w:ascii="Times New Roman" w:hAnsi="Times New Roman"/>
          <w:sz w:val="20"/>
        </w:rPr>
        <w:t xml:space="preserve">” means the date on which the Plan takes effect, as defined pursuant to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Eligible Person</w:t>
      </w:r>
      <w:r>
        <w:rPr>
          <w:rFonts w:ascii="Times New Roman" w:hAnsi="Times New Roman"/>
          <w:sz w:val="20"/>
        </w:rPr>
        <w:t xml:space="preserve">” any current or prospective employee, officer, non-employee director or other individual service provider of the Company or any Subsidiary; </w:t>
      </w:r>
      <w:r>
        <w:rPr>
          <w:rFonts w:ascii="Times New Roman" w:hAnsi="Times New Roman"/>
          <w:i/>
          <w:sz w:val="20"/>
        </w:rPr>
        <w:t>provided, however</w:t>
      </w:r>
      <w:r>
        <w:rPr>
          <w:rFonts w:ascii="Times New Roman" w:hAnsi="Times New Roman"/>
          <w:sz w:val="20"/>
        </w:rPr>
        <w:t xml:space="preserve">, that Incentive Stock Options may only be granted to employees of the Company or any of its “subsidiary corporations” within the meaning of Section 424 of the Code.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of a share of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Incentive Bonus</w:t>
      </w:r>
      <w:r>
        <w:rPr>
          <w:rFonts w:ascii="Times New Roman" w:hAnsi="Times New Roman"/>
          <w:sz w:val="20"/>
        </w:rPr>
        <w:t xml:space="preserve">” means a bonus opportunity awarded under </w:t>
      </w:r>
      <w:r>
        <w:rPr>
          <w:rFonts w:ascii="Times New Roman" w:hAnsi="Times New Roman"/>
          <w:sz w:val="20"/>
          <w:u w:val="single"/>
        </w:rPr>
        <w:t>Section 12</w:t>
      </w:r>
      <w:r>
        <w:rPr>
          <w:rFonts w:ascii="Times New Roman" w:hAnsi="Times New Roman"/>
          <w:sz w:val="20"/>
        </w:rPr>
        <w:t xml:space="preserve"> pursuant to which a Participant may become entitled to receive an amount based on satisfaction of such performance criteria established for a specified performance period as specified in the Award Agreement.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Incentive Stock Option</w:t>
      </w:r>
      <w:r>
        <w:rPr>
          <w:rFonts w:ascii="Times New Roman" w:hAnsi="Times New Roman"/>
          <w:sz w:val="20"/>
        </w:rPr>
        <w:t xml:space="preserve">” means an Option that is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Nonqualified Stock Option</w:t>
      </w:r>
      <w:r>
        <w:rPr>
          <w:rFonts w:ascii="Times New Roman" w:hAnsi="Times New Roman"/>
          <w:sz w:val="20"/>
        </w:rPr>
        <w:t xml:space="preserve">” means an Option that is not intended to qualify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Option</w:t>
      </w:r>
      <w:r>
        <w:rPr>
          <w:rFonts w:ascii="Times New Roman" w:hAnsi="Times New Roman"/>
          <w:sz w:val="20"/>
        </w:rPr>
        <w:t xml:space="preserve">”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Other Stock-Based Award</w:t>
      </w:r>
      <w:r>
        <w:rPr>
          <w:rFonts w:ascii="Times New Roman" w:hAnsi="Times New Roman"/>
          <w:sz w:val="20"/>
        </w:rPr>
        <w:t xml:space="preserve">” means an Award granted to an Eligible Person under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(determined on an as-converted basis without regard to any limitations on such conversion).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Participant</w:t>
      </w:r>
      <w:r>
        <w:rPr>
          <w:rFonts w:ascii="Times New Roman" w:hAnsi="Times New Roman"/>
          <w:sz w:val="20"/>
        </w:rPr>
        <w:t xml:space="preserve">” means any Eligible Person to whom Awards have been granted from time to time by the Committee and any authorized transferee of such individual.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Person</w:t>
      </w:r>
      <w:r>
        <w:rPr>
          <w:rFonts w:ascii="Times New Roman" w:hAnsi="Times New Roman"/>
          <w:sz w:val="20"/>
        </w:rPr>
        <w:t xml:space="preserve">” shall have the meaning given in Section 3(a)(9) of the Act, as modified and used in Sections 14(d) and 15(d)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(aa) “</w:t>
      </w:r>
      <w:r>
        <w:rPr>
          <w:rFonts w:ascii="Times New Roman" w:hAnsi="Times New Roman"/>
          <w:b/>
          <w:i/>
          <w:sz w:val="20"/>
        </w:rPr>
        <w:t>Prior Plan</w:t>
      </w:r>
      <w:r>
        <w:rPr>
          <w:rFonts w:ascii="Times New Roman" w:hAnsi="Times New Roman"/>
          <w:sz w:val="20"/>
        </w:rPr>
        <w:t xml:space="preserve">” means the Korsana Biosciences, Inc. 2025 Equity Incentive Plan.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Restricted Stock</w:t>
      </w:r>
      <w:r>
        <w:rPr>
          <w:rFonts w:ascii="Times New Roman" w:hAnsi="Times New Roman"/>
          <w:sz w:val="20"/>
        </w:rPr>
        <w:t xml:space="preserve">” means an Award or issuance of Common Stock the grant, issuance, vesting and/or transferability of which is subject during specified periods of time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i/>
          <w:sz w:val="20"/>
        </w:rPr>
        <w:t>Restricted Stock Unit</w:t>
      </w:r>
      <w:r>
        <w:rPr>
          <w:rFonts w:ascii="Times New Roman" w:hAnsi="Times New Roman"/>
          <w:sz w:val="20"/>
        </w:rPr>
        <w:t xml:space="preserve">” means an Award denominated in units of Common Stock under which the issuance of shares of such Common Stock (or cash payment in lieu thereof) is subject to such conditions (including continued employment or engagement or performance conditions) and terms as the Committee deems appropriate.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i/>
          <w:sz w:val="20"/>
        </w:rPr>
        <w:t>Separation from Service</w:t>
      </w:r>
      <w:r>
        <w:rPr>
          <w:rFonts w:ascii="Times New Roman" w:hAnsi="Times New Roman"/>
          <w:sz w:val="20"/>
        </w:rPr>
        <w:t>” or “</w:t>
      </w:r>
      <w:r>
        <w:rPr>
          <w:rFonts w:ascii="Times New Roman" w:hAnsi="Times New Roman"/>
          <w:b/>
          <w:i/>
          <w:sz w:val="20"/>
        </w:rPr>
        <w:t>Separates from Service</w:t>
      </w:r>
      <w:r>
        <w:rPr>
          <w:rFonts w:ascii="Times New Roman" w:hAnsi="Times New Roman"/>
          <w:sz w:val="20"/>
        </w:rPr>
        <w:t xml:space="preserve">” means a Termination of Employment that constitutes a “separation from service” within the meaning of Section 409A of the Code.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i/>
          <w:sz w:val="20"/>
        </w:rPr>
        <w:t>Subsidiary</w:t>
      </w:r>
      <w:r>
        <w:rPr>
          <w:rFonts w:ascii="Times New Roman" w:hAnsi="Times New Roman"/>
          <w:sz w:val="20"/>
        </w:rPr>
        <w:t xml:space="preserve">”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i/>
          <w:sz w:val="20"/>
        </w:rPr>
        <w:t>Substitute Awards</w:t>
      </w:r>
      <w:r>
        <w:rPr>
          <w:rFonts w:ascii="Times New Roman" w:hAnsi="Times New Roman"/>
          <w:sz w:val="20"/>
        </w:rPr>
        <w:t xml:space="preserve">”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i/>
          <w:sz w:val="20"/>
        </w:rPr>
        <w:t>Termination of Employment</w:t>
      </w:r>
      <w:r>
        <w:rPr>
          <w:rFonts w:ascii="Times New Roman" w:hAnsi="Times New Roman"/>
          <w:sz w:val="20"/>
        </w:rPr>
        <w:t xml:space="preserve">”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(including as a result of a Participant’s short-term or long-term disability or other medical leave)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 constitute continued service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left"/>
              <w:rPr>
                <w:b/>
              </w:rPr>
            </w:pPr>
            <w:r>
              <w:rPr>
                <w:b/>
              </w:rPr>
              <w:t>3.</w:t>
            </w:r>
          </w:p>
        </w:tc>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Eligible Person is eligible for selection by the Committee to receive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10" w:type="dxa"/>
        <w:jc w:val="left"/>
        <w:tblInd w:w="0" w:type="dxa"/>
        <w:tblLayout w:type="fixed"/>
        <w:tblCellMar>
          <w:top w:w="0" w:type="dxa"/>
          <w:left w:w="0" w:type="dxa"/>
          <w:bottom w:w="0" w:type="dxa"/>
          <w:right w:w="0" w:type="dxa"/>
        </w:tblCellMar>
      </w:tblPr>
      <w:tblGrid>
        <w:gridCol w:w="215"/>
        <w:gridCol w:w="3395"/>
      </w:tblGrid>
      <w:tr>
        <w:trPr/>
        <w:tc>
          <w:tcPr>
            <w:tcW w:w="215" w:type="dxa"/>
            <w:tcBorders/>
            <w:vAlign w:val="center"/>
          </w:tcPr>
          <w:p>
            <w:pPr>
              <w:pStyle w:val="TableContents"/>
              <w:bidi w:val="0"/>
              <w:spacing w:before="0" w:after="283"/>
              <w:jc w:val="left"/>
              <w:rPr>
                <w:b/>
              </w:rPr>
            </w:pPr>
            <w:r>
              <w:rPr>
                <w:b/>
              </w:rPr>
              <w:t>4.</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 Date and Termination of Plan </w:t>
            </w:r>
          </w:p>
        </w:tc>
      </w:tr>
    </w:tbl>
    <w:p>
      <w:pPr>
        <w:pStyle w:val="TextBody"/>
        <w:bidi w:val="0"/>
        <w:spacing w:before="120" w:after="0"/>
        <w:jc w:val="left"/>
        <w:rPr>
          <w:rFonts w:ascii="Times New Roman" w:hAnsi="Times New Roman"/>
          <w:sz w:val="20"/>
        </w:rPr>
      </w:pPr>
      <w:r>
        <w:rPr>
          <w:rFonts w:ascii="Times New Roman" w:hAnsi="Times New Roman"/>
          <w:sz w:val="20"/>
        </w:rPr>
        <w:t>This Plan became effective on the Closing Date (as defined in the Merger Agreement) (the “</w:t>
      </w:r>
      <w:r>
        <w:rPr>
          <w:rFonts w:ascii="Times New Roman" w:hAnsi="Times New Roman"/>
          <w:b/>
          <w:i/>
          <w:sz w:val="20"/>
        </w:rPr>
        <w:t>Effective Date</w:t>
      </w:r>
      <w:r>
        <w:rPr>
          <w:rFonts w:ascii="Times New Roman" w:hAnsi="Times New Roman"/>
          <w:sz w:val="20"/>
        </w:rPr>
        <w:t xml:space="preserve">”). The Plan shall remain available for the grant of Awards until July 16, 2036. Notwithstanding the foregoing, the Plan may be terminated at such earlier time as the Board may determine. Termination of the Plan will not affect the rights and obligations of the Participants and the Company arising under Awards theretofore granted.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15"/>
        <w:gridCol w:w="3515"/>
      </w:tblGrid>
      <w:tr>
        <w:trPr/>
        <w:tc>
          <w:tcPr>
            <w:tcW w:w="215" w:type="dxa"/>
            <w:tcBorders/>
            <w:vAlign w:val="center"/>
          </w:tcPr>
          <w:p>
            <w:pPr>
              <w:pStyle w:val="TableContents"/>
              <w:bidi w:val="0"/>
              <w:spacing w:before="0" w:after="283"/>
              <w:jc w:val="left"/>
              <w:rPr>
                <w:b/>
              </w:rPr>
            </w:pPr>
            <w:r>
              <w:rPr>
                <w:b/>
              </w:rPr>
              <w:t>5.</w:t>
            </w:r>
          </w:p>
        </w:tc>
        <w:tc>
          <w:tcPr>
            <w:tcW w:w="3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and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Aggregate Limits</w:t>
      </w:r>
      <w:r>
        <w:rPr>
          <w:rFonts w:ascii="Times New Roman" w:hAnsi="Times New Roman"/>
          <w:sz w:val="20"/>
        </w:rPr>
        <w:t xml:space="preserve">. The aggregate number of shares of Common Stock issuable under the Plan shall be equal to (i) 10%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all shares of Common Stock available for issuance under the Prior Plan as of the Effective Date (after giving effect to the transactions contemplated by the Merger Agreement) and the number of shares of Common Stock subject to any award outstanding under the Prior Plan as of the Effective Date (after giving effect to the transactions contemplated by the Merger Agreement) that after the Effective Date are not issued because such award is forfeited, canceled, terminates, expires or otherwise lapses without being exercised (to the extent applicable), or is settled in cash, </w:t>
      </w:r>
      <w:r>
        <w:rPr>
          <w:rFonts w:ascii="Times New Roman" w:hAnsi="Times New Roman"/>
          <w:i/>
          <w:sz w:val="20"/>
        </w:rPr>
        <w:t>plus</w:t>
      </w:r>
      <w:r>
        <w:rPr>
          <w:rFonts w:ascii="Times New Roman" w:hAnsi="Times New Roman"/>
          <w:sz w:val="20"/>
        </w:rPr>
        <w:t xml:space="preserve"> (iii)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5% of the Outstanding Common Stock on the preceding December 31; </w:t>
      </w:r>
      <w:r>
        <w:rPr>
          <w:rFonts w:ascii="Times New Roman" w:hAnsi="Times New Roman"/>
          <w:i/>
          <w:sz w:val="20"/>
        </w:rPr>
        <w:t>provided, however</w:t>
      </w:r>
      <w:r>
        <w:rPr>
          <w:rFonts w:ascii="Times New Roman" w:hAnsi="Times New Roman"/>
          <w:sz w:val="20"/>
        </w:rPr>
        <w:t xml:space="preserve">, that the Committee may provide that there will be no January 1 increase in the Share Pool for any such year or that the increase in the Share Pool for any such year will be a smaller number of shares of Common Stock than would otherwise occur pursuant to this sentence. The aggregate number of shares of Common Stock available for grant under this Plan and the number of shares of Common Stock subject to Awards outstanding at the time of any event described in </w:t>
      </w:r>
      <w:r>
        <w:rPr>
          <w:rFonts w:ascii="Times New Roman" w:hAnsi="Times New Roman"/>
          <w:sz w:val="20"/>
          <w:u w:val="single"/>
        </w:rPr>
        <w:t>Section 16</w:t>
      </w:r>
      <w:r>
        <w:rPr>
          <w:rFonts w:ascii="Times New Roman" w:hAnsi="Times New Roman"/>
          <w:sz w:val="20"/>
        </w:rPr>
        <w:t xml:space="preserve"> shall be subject to adjustment as provided in </w:t>
      </w:r>
      <w:r>
        <w:rPr>
          <w:rFonts w:ascii="Times New Roman" w:hAnsi="Times New Roman"/>
          <w:sz w:val="20"/>
          <w:u w:val="single"/>
        </w:rPr>
        <w:t>Section 16</w:t>
      </w:r>
      <w:r>
        <w:rPr>
          <w:rFonts w:ascii="Times New Roman" w:hAnsi="Times New Roman"/>
          <w:sz w:val="20"/>
        </w:rPr>
        <w:t xml:space="preserve">. The shares of Common Stock issued under this Plan may be shares that are authorized and unissued or shares that were reacquired by the Company, including shares purchased in the open market or in private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Issuance of Shares</w:t>
      </w:r>
      <w:r>
        <w:rPr>
          <w:rFonts w:ascii="Times New Roman" w:hAnsi="Times New Roman"/>
          <w:sz w:val="20"/>
        </w:rPr>
        <w:t xml:space="preserve">. For purposes of </w:t>
      </w:r>
      <w:r>
        <w:rPr>
          <w:rFonts w:ascii="Times New Roman" w:hAnsi="Times New Roman"/>
          <w:sz w:val="20"/>
          <w:u w:val="single"/>
        </w:rPr>
        <w:t>Section 5(a)</w:t>
      </w:r>
      <w:r>
        <w:rPr>
          <w:rFonts w:ascii="Times New Roman" w:hAnsi="Times New Roman"/>
          <w:sz w:val="20"/>
        </w:rPr>
        <w:t xml:space="preserve">,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Substitute Awards</w:t>
      </w:r>
      <w:r>
        <w:rPr>
          <w:rFonts w:ascii="Times New Roman" w:hAnsi="Times New Roman"/>
          <w:sz w:val="20"/>
        </w:rPr>
        <w:t xml:space="preserve">.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w:t>
      </w:r>
      <w:r>
        <w:rPr>
          <w:rFonts w:ascii="Times New Roman" w:hAnsi="Times New Roman"/>
          <w:i/>
          <w:sz w:val="20"/>
        </w:rPr>
        <w:t>provided, however</w:t>
      </w:r>
      <w:r>
        <w:rPr>
          <w:rFonts w:ascii="Times New Roman" w:hAnsi="Times New Roman"/>
          <w:sz w:val="20"/>
        </w:rPr>
        <w:t xml:space="preserve">, that Awards using such available shares (i) shall not be made after the date awards or grants could have been made under the terms of the pre-existing plan, absent the acquisition or combination, (ii) shall only be made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individuals who were not employees or service providers of the Company or its Affiliates at the time of such acquisition or combination, and (iii) shall comply with the requirements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Tax Code Limits</w:t>
      </w:r>
      <w:r>
        <w:rPr>
          <w:rFonts w:ascii="Times New Roman" w:hAnsi="Times New Roman"/>
          <w:sz w:val="20"/>
        </w:rPr>
        <w:t xml:space="preserve">. The aggregate number of shares of Common Stock that may be issued pursuant to the exercise of Incentive Stock Options granted under this Plan shall be equal to 60,000,000, which number shall be calculated and adjusted pursuant to </w:t>
      </w:r>
      <w:r>
        <w:rPr>
          <w:rFonts w:ascii="Times New Roman" w:hAnsi="Times New Roman"/>
          <w:sz w:val="20"/>
          <w:u w:val="single"/>
        </w:rPr>
        <w:t>Section 16</w:t>
      </w:r>
      <w:r>
        <w:rPr>
          <w:rFonts w:ascii="Times New Roman" w:hAnsi="Times New Roman"/>
          <w:sz w:val="20"/>
        </w:rPr>
        <w:t xml:space="preserve"> only to the extent that such calculation or adjustment will not affect the status of any Option intended to qualify as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Limits on Non-Employee Director Compensation.</w:t>
      </w:r>
      <w:r>
        <w:rPr>
          <w:rFonts w:ascii="Times New Roman" w:hAnsi="Times New Roman"/>
          <w:sz w:val="20"/>
        </w:rPr>
        <w:t xml:space="preserve"> The aggregate dollar value of equity-based (based on the grant date Fair Market Value of equity-based Awards) and cash compensation granted under this Plan or otherwise to any non-employee director for service on the Board shall not exceed $750,000 during any full calendar year following the Effective Date of this Plan;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15"/>
        <w:gridCol w:w="2315"/>
      </w:tblGrid>
      <w:tr>
        <w:trPr/>
        <w:tc>
          <w:tcPr>
            <w:tcW w:w="215" w:type="dxa"/>
            <w:tcBorders/>
            <w:vAlign w:val="center"/>
          </w:tcPr>
          <w:p>
            <w:pPr>
              <w:pStyle w:val="TableContents"/>
              <w:bidi w:val="0"/>
              <w:spacing w:before="0" w:after="283"/>
              <w:jc w:val="left"/>
              <w:rPr>
                <w:b/>
              </w:rPr>
            </w:pPr>
            <w:r>
              <w:rPr>
                <w:b/>
              </w:rPr>
              <w:t>6.</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Administrator of the Plan</w:t>
      </w:r>
      <w:r>
        <w:rPr>
          <w:rFonts w:ascii="Times New Roman" w:hAnsi="Times New Roman"/>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the authority to grant Awards,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most senior officer in the Finance department, and to his or her delegates or designees, the authority to assist the Committee in the day-to-day administration of the Plan and of Awards granted under the Plan, including those powers set forth in </w:t>
      </w:r>
      <w:r>
        <w:rPr>
          <w:rFonts w:ascii="Times New Roman" w:hAnsi="Times New Roman"/>
          <w:sz w:val="20"/>
          <w:u w:val="single"/>
        </w:rPr>
        <w:t>Section 6(b)(v)</w:t>
      </w:r>
      <w:r>
        <w:rPr>
          <w:rFonts w:ascii="Times New Roman" w:hAnsi="Times New Roman"/>
          <w:sz w:val="20"/>
        </w:rPr>
        <w:t xml:space="preserve"> through </w:t>
      </w:r>
      <w:r>
        <w:rPr>
          <w:rFonts w:ascii="Times New Roman" w:hAnsi="Times New Roman"/>
          <w:sz w:val="20"/>
          <w:u w:val="single"/>
        </w:rPr>
        <w:t>(xi)</w:t>
      </w:r>
      <w:r>
        <w:rPr>
          <w:rFonts w:ascii="Times New Roman" w:hAnsi="Times New Roman"/>
          <w:sz w:val="20"/>
        </w:rPr>
        <w:t xml:space="preserve"> 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Committee</w:t>
      </w:r>
      <w:r>
        <w:rPr>
          <w:rFonts w:ascii="Times New Roman" w:hAnsi="Times New Roman"/>
          <w:sz w:val="20"/>
        </w:rPr>
        <w:t xml:space="preserve">. Subject to the express provisions of this Plan, the Committee shall be authorized and empowered to do all things that it determines to be necessary or appropriate in connection with the administration of this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prescribe, amend and rescind rules and regulations relating to this Plan and to define terms not otherwise defined herein; </w:t>
      </w:r>
    </w:p>
    <w:p>
      <w:pPr>
        <w:pStyle w:val="TextBody"/>
        <w:bidi w:val="0"/>
        <w:spacing w:before="120" w:after="0"/>
        <w:jc w:val="left"/>
        <w:rPr>
          <w:rFonts w:ascii="Times New Roman" w:hAnsi="Times New Roman"/>
          <w:sz w:val="20"/>
        </w:rPr>
      </w:pPr>
      <w:r>
        <w:rPr>
          <w:rFonts w:ascii="Times New Roman" w:hAnsi="Times New Roman"/>
          <w:sz w:val="20"/>
        </w:rPr>
        <w:t xml:space="preserve">(ii) to determine which Persons are Eligible Persons, to which of such Eligible Persons, if any, Awards shall be granted hereunder and the timing of any such Awards; </w:t>
      </w:r>
    </w:p>
    <w:p>
      <w:pPr>
        <w:pStyle w:val="TextBody"/>
        <w:bidi w:val="0"/>
        <w:spacing w:before="120" w:after="0"/>
        <w:jc w:val="left"/>
        <w:rPr>
          <w:rFonts w:ascii="Times New Roman" w:hAnsi="Times New Roman"/>
          <w:sz w:val="20"/>
        </w:rPr>
      </w:pPr>
      <w:r>
        <w:rPr>
          <w:rFonts w:ascii="Times New Roman" w:hAnsi="Times New Roman"/>
          <w:sz w:val="20"/>
        </w:rPr>
        <w:t xml:space="preserve">(iii) to prescribe and amend the terms of the Award Agreements, to grant Awards and determine the terms and conditions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to reduce the exercise price of a previously awarded Option or Stock Appreciation Right or cancel and re-grant or exchange such Option or Stock Appreciation Right for cash or a new Award with a lower (or no) exercise price, with any such determination made by the Committee in its sole discretion, in each case,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(v) to adopt such procedures and sub-plans as are necessary or appropriate (A) to permit or facilitate participation in this Plan by Eligible Persons who are not citizens of, or subject to taxation by, the United States or who are employed outside the United States or (B) to allow Awards to qualify for special tax treatment in a jurisdiction other than the United States; </w:t>
      </w:r>
      <w:r>
        <w:rPr>
          <w:rFonts w:ascii="Times New Roman" w:hAnsi="Times New Roman"/>
          <w:i/>
          <w:sz w:val="20"/>
        </w:rPr>
        <w:t>provided, however</w:t>
      </w:r>
      <w:r>
        <w:rPr>
          <w:rFonts w:ascii="Times New Roman" w:hAnsi="Times New Roman"/>
          <w:sz w:val="20"/>
        </w:rPr>
        <w:t xml:space="preserve">, that Board approval will not be necessary for immaterial modifications to this Plan or any Award Agreement that are required for compliance with the laws of the relevant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to establish and verify the extent of satisfaction of any performance goals or other conditions applicable to the grant, issuance, retention, vesting, exercisability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(vii) to prescribe and amend the terms of or form of any document or notice required to be delivered to the Company by Participants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(viii) to determine the extent to which adjustments are required pursuant to Section 16; </w:t>
      </w:r>
    </w:p>
    <w:p>
      <w:pPr>
        <w:pStyle w:val="TextBody"/>
        <w:bidi w:val="0"/>
        <w:spacing w:before="120" w:after="0"/>
        <w:jc w:val="left"/>
        <w:rPr>
          <w:rFonts w:ascii="Times New Roman" w:hAnsi="Times New Roman"/>
          <w:sz w:val="20"/>
        </w:rPr>
      </w:pPr>
      <w:r>
        <w:rPr>
          <w:rFonts w:ascii="Times New Roman" w:hAnsi="Times New Roman"/>
          <w:sz w:val="20"/>
        </w:rPr>
        <w:t xml:space="preserve">(ix) to interpret and construe this Plan, any rules and regulations under this Plan and the terms and conditions of any Award granted hereunder, and to make exceptions to any such provisions if the Committee, in good faith, determines that it is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(x) to approve corrections in the documentation or administration of any Award; and </w:t>
      </w:r>
    </w:p>
    <w:p>
      <w:pPr>
        <w:pStyle w:val="TextBody"/>
        <w:bidi w:val="0"/>
        <w:spacing w:before="120" w:after="0"/>
        <w:jc w:val="left"/>
        <w:rPr>
          <w:rFonts w:ascii="Times New Roman" w:hAnsi="Times New Roman"/>
          <w:sz w:val="20"/>
        </w:rPr>
      </w:pPr>
      <w:r>
        <w:rPr>
          <w:rFonts w:ascii="Times New Roman" w:hAnsi="Times New Roman"/>
          <w:sz w:val="20"/>
        </w:rPr>
        <w:t xml:space="preserve">(xi) to make all other determinations deemed necessary or advisable for the administration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in its sole and absolute discretion, without amendment to the Plan but subject to the limitations otherwise set forth in </w:t>
      </w:r>
      <w:r>
        <w:rPr>
          <w:rFonts w:ascii="Times New Roman" w:hAnsi="Times New Roman"/>
          <w:sz w:val="20"/>
          <w:u w:val="single"/>
        </w:rPr>
        <w:t>Section 20</w:t>
      </w:r>
      <w:r>
        <w:rPr>
          <w:rFonts w:ascii="Times New Roman" w:hAnsi="Times New Roman"/>
          <w:sz w:val="20"/>
        </w:rPr>
        <w:t xml:space="preserve">, waive or amend the operation of Plan provisions respecting exercise after Termination of Employment. The Committee or any member thereof may, in its sole and absolute discretion, except as otherwise provided in </w:t>
      </w:r>
      <w:r>
        <w:rPr>
          <w:rFonts w:ascii="Times New Roman" w:hAnsi="Times New Roman"/>
          <w:sz w:val="20"/>
          <w:u w:val="single"/>
        </w:rPr>
        <w:t>Section 20</w:t>
      </w:r>
      <w:r>
        <w:rPr>
          <w:rFonts w:ascii="Times New Roman" w:hAnsi="Times New Roman"/>
          <w:sz w:val="20"/>
        </w:rPr>
        <w:t xml:space="preserve">, waive, settle or adjust any of the terms of any Award so as to avoid unanticipated consequences or address unanticipated events (including any temporary closure of an applicable stock exchange, disruption of communications or natural catastrophe).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Determinations by the Committee</w:t>
      </w:r>
      <w:r>
        <w:rPr>
          <w:rFonts w:ascii="Times New Roman" w:hAnsi="Times New Roman"/>
          <w:sz w:val="20"/>
        </w:rPr>
        <w:t xml:space="preserve">.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Subsidiary Awards</w:t>
      </w:r>
      <w:r>
        <w:rPr>
          <w:rFonts w:ascii="Times New Roman" w:hAnsi="Times New Roman"/>
          <w:sz w:val="20"/>
        </w:rPr>
        <w:t xml:space="preserve">. In the case of a grant of an Award to any Participant employed by a Subsidiary, such grant may, if the Committee so directs, be implemented by the Company issuing any subject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215"/>
        <w:gridCol w:w="1160"/>
      </w:tblGrid>
      <w:tr>
        <w:trPr/>
        <w:tc>
          <w:tcPr>
            <w:tcW w:w="215" w:type="dxa"/>
            <w:tcBorders/>
            <w:vAlign w:val="center"/>
          </w:tcPr>
          <w:p>
            <w:pPr>
              <w:pStyle w:val="TableContents"/>
              <w:bidi w:val="0"/>
              <w:spacing w:before="0" w:after="283"/>
              <w:jc w:val="left"/>
              <w:rPr>
                <w:b/>
              </w:rPr>
            </w:pPr>
            <w:r>
              <w:rPr>
                <w:b/>
              </w:rPr>
              <w:t>7.</w:t>
            </w:r>
          </w:p>
        </w:tc>
        <w:tc>
          <w:tcPr>
            <w:tcW w:w="1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Plan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Terms Set Forth in Award Agreement</w:t>
      </w:r>
      <w:r>
        <w:rPr>
          <w:rFonts w:ascii="Times New Roman" w:hAnsi="Times New Roman"/>
          <w:sz w:val="20"/>
        </w:rPr>
        <w:t xml:space="preserve">. Awards may be granted to Eligible Persons as determined by the Committee at any time and from time to time prior to the termination of the Plan. The terms and conditions of each Award shall be set forth in an Award Agreement in a form approved by the Committee for such Award, subject to and incorporating by reference or otherwise the applicable terms and conditions of the Plan, which Award Agreement may contain such terms and conditions as specified from time to time by the Committee, provided such other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of Employment</w:t>
      </w:r>
      <w:r>
        <w:rPr>
          <w:rFonts w:ascii="Times New Roman" w:hAnsi="Times New Roman"/>
          <w:sz w:val="20"/>
        </w:rPr>
        <w:t xml:space="preserve">. Subject to the express provisions of the Plan, the Committee shall specify before, at, or after the time of grant of an Award the provisions governing the effect(s) upon an Award of a Participant’s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Rights of a Stockholder</w:t>
      </w:r>
      <w:r>
        <w:rPr>
          <w:rFonts w:ascii="Times New Roman" w:hAnsi="Times New Roman"/>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Times New Roman" w:hAnsi="Times New Roman"/>
          <w:sz w:val="20"/>
          <w:u w:val="single"/>
        </w:rPr>
        <w:t>Sections 10(b)</w:t>
      </w:r>
      <w:r>
        <w:rPr>
          <w:rFonts w:ascii="Times New Roman" w:hAnsi="Times New Roman"/>
          <w:sz w:val="20"/>
        </w:rPr>
        <w:t xml:space="preserve">, </w:t>
      </w:r>
      <w:r>
        <w:rPr>
          <w:rFonts w:ascii="Times New Roman" w:hAnsi="Times New Roman"/>
          <w:sz w:val="20"/>
          <w:u w:val="single"/>
        </w:rPr>
        <w:t>11(b)</w:t>
      </w:r>
      <w:r>
        <w:rPr>
          <w:rFonts w:ascii="Times New Roman" w:hAnsi="Times New Roman"/>
          <w:sz w:val="20"/>
        </w:rPr>
        <w:t xml:space="preserve"> or </w:t>
      </w:r>
      <w:r>
        <w:rPr>
          <w:rFonts w:ascii="Times New Roman" w:hAnsi="Times New Roman"/>
          <w:sz w:val="20"/>
          <w:u w:val="single"/>
        </w:rPr>
        <w:t>16</w:t>
      </w:r>
      <w:r>
        <w:rPr>
          <w:rFonts w:ascii="Times New Roman" w:hAnsi="Times New Roman"/>
          <w:sz w:val="20"/>
        </w:rPr>
        <w:t xml:space="preserve"> of this Plan or as otherwise provided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Fractional Shares</w:t>
      </w:r>
      <w:r>
        <w:rPr>
          <w:rFonts w:ascii="Times New Roman" w:hAnsi="Times New Roman"/>
          <w:sz w:val="20"/>
        </w:rPr>
        <w:t xml:space="preserve">. No fractional shares of Common Stock shall be issued pursuant to an Award or in settlement thereof. </w:t>
      </w:r>
    </w:p>
    <w:p>
      <w:pPr>
        <w:pStyle w:val="TextBody"/>
        <w:bidi w:val="0"/>
        <w:spacing w:before="0" w:after="0"/>
        <w:jc w:val="left"/>
        <w:rPr/>
      </w:pPr>
      <w:r>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b/>
              </w:rPr>
            </w:pPr>
            <w:r>
              <w:rPr>
                <w:b/>
              </w:rPr>
              <w:t>8.</w:t>
            </w:r>
          </w:p>
        </w:tc>
        <w:tc>
          <w:tcPr>
            <w:tcW w:w="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Grant, Term and Price</w:t>
      </w:r>
      <w:r>
        <w:rPr>
          <w:rFonts w:ascii="Times New Roman" w:hAnsi="Times New Roman"/>
          <w:sz w:val="20"/>
        </w:rPr>
        <w:t xml:space="preserve">.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w:t>
      </w:r>
      <w:r>
        <w:rPr>
          <w:rFonts w:ascii="Times New Roman" w:hAnsi="Times New Roman"/>
          <w:i/>
          <w:sz w:val="20"/>
        </w:rPr>
        <w:t>provided, however</w:t>
      </w:r>
      <w:r>
        <w:rPr>
          <w:rFonts w:ascii="Times New Roman" w:hAnsi="Times New Roman"/>
          <w:sz w:val="20"/>
        </w:rPr>
        <w:t xml:space="preserve">,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 such shares on the date of grant; </w:t>
      </w:r>
      <w:r>
        <w:rPr>
          <w:rFonts w:ascii="Times New Roman" w:hAnsi="Times New Roman"/>
          <w:i/>
          <w:sz w:val="20"/>
        </w:rPr>
        <w:t>provided, however</w:t>
      </w:r>
      <w:r>
        <w:rPr>
          <w:rFonts w:ascii="Times New Roman" w:hAnsi="Times New Roman"/>
          <w:sz w:val="20"/>
        </w:rPr>
        <w:t xml:space="preserve">,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to the Company or such other method as determined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including an irrevocable commitment by a broker to pay over such amount from a sale of the shares of Common Stock issuable under an Option, the delivery of previously owned shares of Common Stock or withholding of shares of Common Stock otherwise deliverable upon exercise.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Reload Grants</w:t>
      </w:r>
      <w:r>
        <w:rPr>
          <w:rFonts w:ascii="Times New Roman" w:hAnsi="Times New Roman"/>
          <w:sz w:val="20"/>
        </w:rPr>
        <w:t xml:space="preserve">. Options shall not be granted under the Plan in consideration for, and shall not be conditioned upon the delivery of, shares of Common Stock to the Company in payment of the exercise price and/or tax withholding obligation under any other employee stock option.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Incentive Stock Options</w:t>
      </w:r>
      <w:r>
        <w:rPr>
          <w:rFonts w:ascii="Times New Roman" w:hAnsi="Times New Roman"/>
          <w:sz w:val="20"/>
        </w:rPr>
        <w:t xml:space="preserve">. Notwithstanding anything to the contrary in this </w:t>
      </w:r>
      <w:r>
        <w:rPr>
          <w:rFonts w:ascii="Times New Roman" w:hAnsi="Times New Roman"/>
          <w:sz w:val="20"/>
          <w:u w:val="single"/>
        </w:rPr>
        <w:t>Section 8</w:t>
      </w:r>
      <w:r>
        <w:rPr>
          <w:rFonts w:ascii="Times New Roman" w:hAnsi="Times New Roman"/>
          <w:sz w:val="20"/>
        </w:rPr>
        <w:t xml:space="preserve">,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Times New Roman" w:hAnsi="Times New Roman"/>
          <w:sz w:val="20"/>
          <w:u w:val="single"/>
        </w:rPr>
        <w:t>Section 8</w:t>
      </w:r>
      <w:r>
        <w:rPr>
          <w:rFonts w:ascii="Times New Roman" w:hAnsi="Times New Roman"/>
          <w:sz w:val="20"/>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Option or any shares of Common Stock subject to an Option until the Participant has become the holder of record of such shares.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b/>
              </w:rPr>
            </w:pPr>
            <w:r>
              <w:rPr>
                <w:b/>
              </w:rPr>
              <w:t>9.</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Terms</w:t>
      </w:r>
      <w:r>
        <w:rPr>
          <w:rFonts w:ascii="Times New Roman" w:hAnsi="Times New Roman"/>
          <w:sz w:val="20"/>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w:t>
      </w:r>
      <w:r>
        <w:rPr>
          <w:rFonts w:ascii="Times New Roman" w:hAnsi="Times New Roman"/>
          <w:i/>
          <w:sz w:val="20"/>
        </w:rPr>
        <w:t>provided, however</w:t>
      </w:r>
      <w:r>
        <w:rPr>
          <w:rFonts w:ascii="Times New Roman" w:hAnsi="Times New Roman"/>
          <w:sz w:val="20"/>
        </w:rPr>
        <w:t>, the term of a Stock Appreciation Right shall be automatically extended if, at the time of its scheduled expiration, the Participant holding such Stock Appreciation Right is prohibited by law or the Company’s insider trading policy from exercising the Stock Appreciation Right which extension shall expire on the 30th day following the date such prohibition no longer applies. Stock Appreciation Rights may be granted to Participants from time to time either in tandem with or as a component of Options granted under the Plan (“</w:t>
      </w:r>
      <w:r>
        <w:rPr>
          <w:rFonts w:ascii="Times New Roman" w:hAnsi="Times New Roman"/>
          <w:b/>
          <w:i/>
          <w:sz w:val="20"/>
        </w:rPr>
        <w:t>tandem SARs</w:t>
      </w:r>
      <w:r>
        <w:rPr>
          <w:rFonts w:ascii="Times New Roman" w:hAnsi="Times New Roman"/>
          <w:sz w:val="20"/>
        </w:rPr>
        <w:t>”) or not in conjunction with other Awards (“</w:t>
      </w:r>
      <w:r>
        <w:rPr>
          <w:rFonts w:ascii="Times New Roman" w:hAnsi="Times New Roman"/>
          <w:b/>
          <w:i/>
          <w:sz w:val="20"/>
        </w:rPr>
        <w:t>freestanding SARs</w:t>
      </w:r>
      <w:r>
        <w:rPr>
          <w:rFonts w:ascii="Times New Roman" w:hAnsi="Times New Roman"/>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Times New Roman" w:hAnsi="Times New Roman"/>
          <w:sz w:val="20"/>
          <w:u w:val="single"/>
        </w:rPr>
        <w:t>Section 8</w:t>
      </w:r>
      <w:r>
        <w:rPr>
          <w:rFonts w:ascii="Times New Roman" w:hAnsi="Times New Roman"/>
          <w:sz w:val="20"/>
        </w:rPr>
        <w:t xml:space="preserve"> and all tandem SARs shall have the same exercise price as the Option to which they relate. Subject to the provisions of </w:t>
      </w:r>
      <w:r>
        <w:rPr>
          <w:rFonts w:ascii="Times New Roman" w:hAnsi="Times New Roman"/>
          <w:sz w:val="20"/>
          <w:u w:val="single"/>
        </w:rPr>
        <w:t>Section 8</w:t>
      </w:r>
      <w:r>
        <w:rPr>
          <w:rFonts w:ascii="Times New Roman" w:hAnsi="Times New Roman"/>
          <w:sz w:val="20"/>
        </w:rPr>
        <w:t xml:space="preserve">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Stockholder Rights</w:t>
      </w:r>
      <w:r>
        <w:rPr>
          <w:rFonts w:ascii="Times New Roman" w:hAnsi="Times New Roman"/>
          <w:sz w:val="20"/>
        </w:rPr>
        <w:t xml:space="preserve">.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35"/>
        <w:gridCol w:w="3695"/>
      </w:tblGrid>
      <w:tr>
        <w:trPr/>
        <w:tc>
          <w:tcPr>
            <w:tcW w:w="335" w:type="dxa"/>
            <w:tcBorders/>
            <w:vAlign w:val="center"/>
          </w:tcPr>
          <w:p>
            <w:pPr>
              <w:pStyle w:val="TableContents"/>
              <w:bidi w:val="0"/>
              <w:spacing w:before="0" w:after="283"/>
              <w:jc w:val="left"/>
              <w:rPr>
                <w:b/>
              </w:rPr>
            </w:pPr>
            <w:r>
              <w:rPr>
                <w:b/>
              </w:rPr>
              <w:t>10.</w:t>
            </w:r>
          </w:p>
        </w:tc>
        <w:tc>
          <w:tcPr>
            <w:tcW w:w="3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Stock and Restricted Stock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and Performance Criteria</w:t>
      </w:r>
      <w:r>
        <w:rPr>
          <w:rFonts w:ascii="Times New Roman" w:hAnsi="Times New Roman"/>
          <w:sz w:val="20"/>
        </w:rPr>
        <w:t xml:space="preserve">.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b/>
              </w:rPr>
            </w:pPr>
            <w:r>
              <w:rPr>
                <w:b/>
              </w:rPr>
              <w:t>11.</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General Terms. </w:t>
      </w:r>
      <w:r>
        <w:rPr>
          <w:rFonts w:ascii="Times New Roman" w:hAnsi="Times New Roman"/>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w:t>
      </w:r>
      <w:r>
        <w:rPr>
          <w:rFonts w:ascii="Times New Roman" w:hAnsi="Times New Roman"/>
          <w:sz w:val="20"/>
          <w:u w:val="single"/>
        </w:rPr>
        <w:t>Section 11</w:t>
      </w:r>
      <w:r>
        <w:rPr>
          <w:rFonts w:ascii="Times New Roman" w:hAnsi="Times New Roman"/>
          <w:sz w:val="20"/>
        </w:rPr>
        <w:t xml:space="preserve"> shall be purchased for such consideration, paid for at such times, by such methods, and in such forms, including cash, Common Stock, other Awards, or other property, as the Committee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 and Distributions</w:t>
      </w:r>
      <w:r>
        <w:rPr>
          <w:rFonts w:ascii="Times New Roman" w:hAnsi="Times New Roman"/>
          <w:sz w:val="20"/>
        </w:rPr>
        <w:t xml:space="preserve">. Shares underlying Other Stock-Based Awards shall be entitled to dividends or distributions only to the extent provided by the Committee.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Incentive Bonuses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Vesting Criteria</w:t>
      </w:r>
      <w:r>
        <w:rPr>
          <w:rFonts w:ascii="Times New Roman" w:hAnsi="Times New Roman"/>
          <w:sz w:val="20"/>
        </w:rPr>
        <w:t xml:space="preserve">. The Committee shall establish the vesting conditions applicable to an Incentive Bonus, including any performance criteria and level of achievement versus such criteria that may determine the amount payable under an Incentive Bonus, which may include a target, threshold and/or maximum amount payable and any formula for determining such achievement.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Timing and Form of Payment</w:t>
      </w:r>
      <w:r>
        <w:rPr>
          <w:rFonts w:ascii="Times New Roman" w:hAnsi="Times New Roman"/>
          <w:sz w:val="20"/>
        </w:rPr>
        <w:t xml:space="preserve">. The Committee shall determine the timing of payment of any Incentive Bonus. Payment of the amount due under an Incentive Bonus may be made in cash or in Common Stock,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Discretionary Adjustments</w:t>
      </w:r>
      <w:r>
        <w:rPr>
          <w:rFonts w:ascii="Times New Roman" w:hAnsi="Times New Roman"/>
          <w:sz w:val="20"/>
        </w:rPr>
        <w:t xml:space="preserve">. Notwithstanding satisfaction of any performance goals, the amount paid under an Incentive Bonus on may be adjusted by the Committee on the basis of such further considerations as the Committee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b/>
              </w:rPr>
            </w:pPr>
            <w:r>
              <w:rPr>
                <w:b/>
              </w:rPr>
              <w:t>13.</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Awards </w:t>
            </w:r>
          </w:p>
        </w:tc>
      </w:tr>
    </w:tbl>
    <w:p>
      <w:pPr>
        <w:pStyle w:val="TextBody"/>
        <w:bidi w:val="0"/>
        <w:spacing w:before="120" w:after="0"/>
        <w:jc w:val="left"/>
        <w:rPr>
          <w:rFonts w:ascii="Times New Roman" w:hAnsi="Times New Roman"/>
          <w:sz w:val="20"/>
        </w:rPr>
      </w:pPr>
      <w:r>
        <w:rPr>
          <w:rFonts w:ascii="Times New Roman" w:hAnsi="Times New Roman"/>
          <w:sz w:val="20"/>
        </w:rPr>
        <w:t>The Committee may establish performance criteria and level of achievement versus such criteria that shall determine the number of shares of Common Stock, Restricted Stock Units, Other Stock-Based Awards or cash to be granted, retained, vested, issued or issuable under or in settlement of or the amount payable pursuant to an Award (any such Award, a “</w:t>
      </w:r>
      <w:r>
        <w:rPr>
          <w:rFonts w:ascii="Times New Roman" w:hAnsi="Times New Roman"/>
          <w:b/>
          <w:i/>
          <w:sz w:val="20"/>
        </w:rPr>
        <w:t>Performance Award</w:t>
      </w:r>
      <w:r>
        <w:rPr>
          <w:rFonts w:ascii="Times New Roman" w:hAnsi="Times New Roman"/>
          <w:sz w:val="20"/>
        </w:rPr>
        <w:t xml:space="preserve">”). A Performance Award may be identified as “Performance Share,” “Performance Equity,” “Performance Unit” or other such term as chosen by the Committee.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35"/>
        <w:gridCol w:w="1805"/>
      </w:tblGrid>
      <w:tr>
        <w:trPr/>
        <w:tc>
          <w:tcPr>
            <w:tcW w:w="335" w:type="dxa"/>
            <w:tcBorders/>
            <w:vAlign w:val="center"/>
          </w:tcPr>
          <w:p>
            <w:pPr>
              <w:pStyle w:val="TableContents"/>
              <w:bidi w:val="0"/>
              <w:spacing w:before="0" w:after="283"/>
              <w:jc w:val="left"/>
              <w:rPr>
                <w:b/>
              </w:rPr>
            </w:pPr>
            <w:r>
              <w:rPr>
                <w:b/>
              </w:rPr>
              <w:t>14.</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Deferral of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 in respect thereof.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335"/>
        <w:gridCol w:w="5330"/>
      </w:tblGrid>
      <w:tr>
        <w:trPr/>
        <w:tc>
          <w:tcPr>
            <w:tcW w:w="335" w:type="dxa"/>
            <w:tcBorders/>
            <w:vAlign w:val="center"/>
          </w:tcPr>
          <w:p>
            <w:pPr>
              <w:pStyle w:val="TableContents"/>
              <w:bidi w:val="0"/>
              <w:spacing w:before="0" w:after="283"/>
              <w:jc w:val="left"/>
              <w:rPr>
                <w:b/>
              </w:rPr>
            </w:pPr>
            <w:r>
              <w:rPr>
                <w:b/>
              </w:rPr>
              <w:t>15.</w:t>
            </w:r>
          </w:p>
        </w:tc>
        <w:tc>
          <w:tcPr>
            <w:tcW w:w="5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Restrictions Upon Securities Subject to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335"/>
        <w:gridCol w:w="3395"/>
      </w:tblGrid>
      <w:tr>
        <w:trPr/>
        <w:tc>
          <w:tcPr>
            <w:tcW w:w="335" w:type="dxa"/>
            <w:tcBorders/>
            <w:vAlign w:val="center"/>
          </w:tcPr>
          <w:p>
            <w:pPr>
              <w:pStyle w:val="TableContents"/>
              <w:bidi w:val="0"/>
              <w:spacing w:before="0" w:after="283"/>
              <w:jc w:val="left"/>
              <w:rPr>
                <w:b/>
              </w:rPr>
            </w:pPr>
            <w:r>
              <w:rPr>
                <w:b/>
              </w:rPr>
              <w:t>16.</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and Changes in the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Times New Roman" w:hAnsi="Times New Roman"/>
          <w:sz w:val="20"/>
          <w:u w:val="single"/>
        </w:rPr>
        <w:t>Section 5</w:t>
      </w:r>
      <w:r>
        <w:rPr>
          <w:rFonts w:ascii="Times New Roman" w:hAnsi="Times New Roman"/>
          <w:sz w:val="20"/>
        </w:rPr>
        <w:t xml:space="preserve">,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Outstanding Common Stock.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performance criteria, and other terms to reflect the foregoing events, which adjustments need not be uniform as between different Awards or different types of Awards. No fractional shares of Common Stock shall be issued or issuable pursuant to such an adjustment.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Change in Control, the Committee, acting in its sole discretion without the consent or approval of any Participant, may take one or more of the following actions, which may vary among individual Participants and/or among Awards held by any individual Participant: (i) arrange for the assumption of an outstanding Award by the successor or acquiring entity (if any) of such Change in Control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(ii) provide for the issuance of substitute awards by the successor or acquiring entity (if any) of such Change in Control (or by its parents, if any) that will substantially preserve the otherwise applicable terms of the outstanding Award as determined by the Committee in its sole discretion; (iii) accelerate vesting or waive any forfeiture conditions; (iv) 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 or (v) make such other adjustments to Awards then outstanding as the Committee deems appropriate to reflect such Change in Control. Notwithstanding anything herein to the contrary, in the event of a Change in Control in which the acquiring or surviving company in the transaction does not assume or continue outstanding Awards or issue substitute awards upon the Change in Control, unless determined otherwise by the Committee,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hAnsi="Times New Roman"/>
          <w:sz w:val="20"/>
          <w:u w:val="single"/>
        </w:rPr>
        <w:t>Section 16(c)</w:t>
      </w:r>
      <w:r>
        <w:rPr>
          <w:rFonts w:ascii="Times New Roman" w:hAnsi="Times New Roman"/>
          <w:sz w:val="20"/>
        </w:rPr>
        <w:t xml:space="preserve"> that would change the payment or settlement date of an Award in a manner that would result in the imposition of any additional taxes or penalties pursuant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in this </w:t>
      </w:r>
      <w:r>
        <w:rPr>
          <w:rFonts w:ascii="Times New Roman" w:hAnsi="Times New Roman"/>
          <w:sz w:val="20"/>
          <w:u w:val="single"/>
        </w:rPr>
        <w:t>Section 16</w:t>
      </w:r>
      <w:r>
        <w:rPr>
          <w:rFonts w:ascii="Times New Roman" w:hAnsi="Times New Roman"/>
          <w:sz w:val="20"/>
        </w:rPr>
        <w:t xml:space="preserve"> to the contrary, in the event of a Change in Control, the Committee may provide for the cancellation and cash settlement of all outstanding Awards upon such Change in Control (including the cancellation for no consideration of any Option or Stock Appreciation Right with an exercise price that equals or exceeds the per share consideration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16</w:t>
      </w:r>
      <w:r>
        <w:rPr>
          <w:rFonts w:ascii="Times New Roman" w:hAnsi="Times New Roman"/>
          <w:sz w:val="20"/>
        </w:rPr>
        <w:t xml:space="preserve"> to the contrary, an adjustment to an Option or Stock Appreciation Right under this </w:t>
      </w:r>
      <w:r>
        <w:rPr>
          <w:rFonts w:ascii="Times New Roman" w:hAnsi="Times New Roman"/>
          <w:sz w:val="20"/>
          <w:u w:val="single"/>
        </w:rPr>
        <w:t>Section 16</w:t>
      </w:r>
      <w:r>
        <w:rPr>
          <w:rFonts w:ascii="Times New Roman" w:hAnsi="Times New Roman"/>
          <w:sz w:val="20"/>
        </w:rPr>
        <w:t xml:space="preserve"> shall be made in a manner that will not result in the grant of a new Option or Stock Appreciation Right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17.</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as permitted by the Committee, a Participant may transfer or assign an Award as a gift to any “family member” (as such term is defined in the Registration Statement on Form S-8) (an “</w:t>
      </w:r>
      <w:r>
        <w:rPr>
          <w:rFonts w:ascii="Times New Roman" w:hAnsi="Times New Roman"/>
          <w:b/>
          <w:i/>
          <w:sz w:val="20"/>
        </w:rPr>
        <w:t>Assignee Entity</w:t>
      </w:r>
      <w:r>
        <w:rPr>
          <w:rFonts w:ascii="Times New Roman" w:hAnsi="Times New Roman"/>
          <w:sz w:val="20"/>
        </w:rPr>
        <w:t xml:space="preserve">”),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335"/>
        <w:gridCol w:w="3410"/>
      </w:tblGrid>
      <w:tr>
        <w:trPr/>
        <w:tc>
          <w:tcPr>
            <w:tcW w:w="335" w:type="dxa"/>
            <w:tcBorders/>
            <w:vAlign w:val="center"/>
          </w:tcPr>
          <w:p>
            <w:pPr>
              <w:pStyle w:val="TableContents"/>
              <w:bidi w:val="0"/>
              <w:spacing w:before="0" w:after="283"/>
              <w:jc w:val="left"/>
              <w:rPr>
                <w:b/>
              </w:rPr>
            </w:pPr>
            <w:r>
              <w:rPr>
                <w:b/>
              </w:rPr>
              <w:t>18.</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Laws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19.</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Withholding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10" w:type="dxa"/>
        <w:jc w:val="left"/>
        <w:tblInd w:w="0" w:type="dxa"/>
        <w:tblLayout w:type="fixed"/>
        <w:tblCellMar>
          <w:top w:w="0" w:type="dxa"/>
          <w:left w:w="0" w:type="dxa"/>
          <w:bottom w:w="0" w:type="dxa"/>
          <w:right w:w="0" w:type="dxa"/>
        </w:tblCellMar>
      </w:tblPr>
      <w:tblGrid>
        <w:gridCol w:w="335"/>
        <w:gridCol w:w="2975"/>
      </w:tblGrid>
      <w:tr>
        <w:trPr/>
        <w:tc>
          <w:tcPr>
            <w:tcW w:w="335" w:type="dxa"/>
            <w:tcBorders/>
            <w:vAlign w:val="center"/>
          </w:tcPr>
          <w:p>
            <w:pPr>
              <w:pStyle w:val="TableContents"/>
              <w:bidi w:val="0"/>
              <w:spacing w:before="0" w:after="283"/>
              <w:jc w:val="left"/>
              <w:rPr>
                <w:b/>
              </w:rPr>
            </w:pPr>
            <w:r>
              <w:rPr>
                <w:b/>
              </w:rPr>
              <w:t>20.</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of the Plan or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amend, alter, suspend or terminate this Plan, and the Committee may amend or alter any Award Agreement or other document evidencing an Award made under this Plan; however, except as provided pursuant to the provisions of </w:t>
      </w:r>
      <w:r>
        <w:rPr>
          <w:rFonts w:ascii="Times New Roman" w:hAnsi="Times New Roman"/>
          <w:sz w:val="20"/>
          <w:u w:val="single"/>
        </w:rPr>
        <w:t>Section 16</w:t>
      </w:r>
      <w:r>
        <w:rPr>
          <w:rFonts w:ascii="Times New Roman" w:hAnsi="Times New Roman"/>
          <w:sz w:val="20"/>
        </w:rPr>
        <w:t xml:space="preserve">, no such amendment shall, without the approval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increase the maximum number of shares of Common Stock for which Awards may be granted under this Plan; </w:t>
      </w:r>
    </w:p>
    <w:p>
      <w:pPr>
        <w:pStyle w:val="TextBody"/>
        <w:bidi w:val="0"/>
        <w:spacing w:before="120" w:after="0"/>
        <w:jc w:val="left"/>
        <w:rPr>
          <w:rFonts w:ascii="Times New Roman" w:hAnsi="Times New Roman"/>
          <w:sz w:val="20"/>
        </w:rPr>
      </w:pPr>
      <w:r>
        <w:rPr>
          <w:rFonts w:ascii="Times New Roman" w:hAnsi="Times New Roman"/>
          <w:sz w:val="20"/>
        </w:rPr>
        <w:t xml:space="preserve">(b) extend the term of this Plan; </w:t>
      </w:r>
    </w:p>
    <w:p>
      <w:pPr>
        <w:pStyle w:val="TextBody"/>
        <w:bidi w:val="0"/>
        <w:spacing w:before="240" w:after="0"/>
        <w:jc w:val="left"/>
        <w:rPr>
          <w:rFonts w:ascii="Times New Roman" w:hAnsi="Times New Roman"/>
          <w:sz w:val="20"/>
        </w:rPr>
      </w:pPr>
      <w:r>
        <w:rPr>
          <w:rFonts w:ascii="Times New Roman" w:hAnsi="Times New Roman"/>
          <w:sz w:val="20"/>
        </w:rPr>
        <w:t xml:space="preserve">(c) change the class of Persons eligible to be Participants; or </w:t>
      </w:r>
    </w:p>
    <w:p>
      <w:pPr>
        <w:pStyle w:val="TextBody"/>
        <w:bidi w:val="0"/>
        <w:spacing w:before="240" w:after="0"/>
        <w:jc w:val="left"/>
        <w:rPr>
          <w:rFonts w:ascii="Times New Roman" w:hAnsi="Times New Roman"/>
          <w:sz w:val="20"/>
        </w:rPr>
      </w:pPr>
      <w:r>
        <w:rPr>
          <w:rFonts w:ascii="Times New Roman" w:hAnsi="Times New Roman"/>
          <w:sz w:val="20"/>
        </w:rPr>
        <w:t xml:space="preserve">(d) otherwise amend the Plan in any manner requiring stockholder approval by law or the rules of any stock exchange or market or quotation system on which the Common Stock is traded, listed or quoted. </w:t>
      </w:r>
    </w:p>
    <w:p>
      <w:pPr>
        <w:pStyle w:val="TextBody"/>
        <w:bidi w:val="0"/>
        <w:spacing w:before="240" w:after="0"/>
        <w:jc w:val="left"/>
        <w:rPr>
          <w:rFonts w:ascii="Times New Roman" w:hAnsi="Times New Roman"/>
          <w:sz w:val="20"/>
        </w:rPr>
      </w:pPr>
      <w:r>
        <w:rPr>
          <w:rFonts w:ascii="Times New Roman" w:hAnsi="Times New Roman"/>
          <w:sz w:val="20"/>
        </w:rPr>
        <w:t xml:space="preserve">No amendment or alteration to the Plan or an Award or Award Agreement shall be made which would materially impair the rights of the holder of an Award without such holder’s consent;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b/>
              </w:rPr>
            </w:pPr>
            <w:r>
              <w:rPr>
                <w:b/>
              </w:rPr>
              <w:t>21.</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any Subsidiary or Affiliate which is in existence or hereafter comes into existence, the Board, the Committee and any delegate thereof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335"/>
        <w:gridCol w:w="2090"/>
      </w:tblGrid>
      <w:tr>
        <w:trPr/>
        <w:tc>
          <w:tcPr>
            <w:tcW w:w="335" w:type="dxa"/>
            <w:tcBorders/>
            <w:vAlign w:val="center"/>
          </w:tcPr>
          <w:p>
            <w:pPr>
              <w:pStyle w:val="TableContents"/>
              <w:bidi w:val="0"/>
              <w:spacing w:before="0" w:after="283"/>
              <w:jc w:val="left"/>
              <w:rPr>
                <w:b/>
              </w:rPr>
            </w:pPr>
            <w:r>
              <w:rPr>
                <w:b/>
              </w:rPr>
              <w:t>22.</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Non-Exclusivity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23.</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and applicable Federal law. Any reference in this Plan or in the agreement or other document evidencing any Awards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335"/>
        <w:gridCol w:w="4985"/>
      </w:tblGrid>
      <w:tr>
        <w:trPr/>
        <w:tc>
          <w:tcPr>
            <w:tcW w:w="335" w:type="dxa"/>
            <w:tcBorders/>
            <w:vAlign w:val="center"/>
          </w:tcPr>
          <w:p>
            <w:pPr>
              <w:pStyle w:val="TableContents"/>
              <w:bidi w:val="0"/>
              <w:spacing w:before="0" w:after="283"/>
              <w:jc w:val="left"/>
              <w:rPr>
                <w:b/>
              </w:rPr>
            </w:pPr>
            <w:r>
              <w:rPr>
                <w:b/>
              </w:rPr>
              <w:t>24.</w:t>
            </w:r>
          </w:p>
        </w:tc>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Reelection or Continued Service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 Award Agreement shall interfere with or limit in any way the right of the Company, its Subsidiaries and/or its Affiliates to terminate any Participant’s employment, service on the Board or service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hAnsi="Times New Roman"/>
          <w:sz w:val="20"/>
          <w:u w:val="single"/>
        </w:rPr>
        <w:t>Sections 4</w:t>
      </w:r>
      <w:r>
        <w:rPr>
          <w:rFonts w:ascii="Times New Roman" w:hAnsi="Times New Roman"/>
          <w:sz w:val="20"/>
        </w:rPr>
        <w:t xml:space="preserve"> and </w:t>
      </w:r>
      <w:r>
        <w:rPr>
          <w:rFonts w:ascii="Times New Roman" w:hAnsi="Times New Roman"/>
          <w:sz w:val="20"/>
          <w:u w:val="single"/>
        </w:rPr>
        <w:t>20</w:t>
      </w:r>
      <w:r>
        <w:rPr>
          <w:rFonts w:ascii="Times New Roman" w:hAnsi="Times New Roman"/>
          <w:sz w:val="20"/>
        </w:rPr>
        <w:t xml:space="preserve">, this Plan and the benefits hereunder may be terminated at any time in the sole and exclusive discretion of the Board without giving rise to any liability on the part of the Company, its Subsidiaries and/or its Affiliates.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b/>
              </w:rPr>
            </w:pPr>
            <w:r>
              <w:rPr>
                <w:b/>
              </w:rPr>
              <w:t>25.</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Specified Employee Delay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26.</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Liability of Committee Members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Times New Roman" w:hAnsi="Times New Roman"/>
          <w:i/>
          <w:sz w:val="20"/>
        </w:rPr>
        <w:t>provided, however</w:t>
      </w:r>
      <w:r>
        <w:rPr>
          <w:rFonts w:ascii="Times New Roman" w:hAnsi="Times New Roman"/>
          <w:sz w:val="20"/>
        </w:rPr>
        <w:t xml:space="preserve">,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pursuant to any individual agreement or otherwise, or any power that the Company may have to indemnify them or hold them harmless.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27.</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335"/>
        <w:gridCol w:w="1325"/>
      </w:tblGrid>
      <w:tr>
        <w:trPr/>
        <w:tc>
          <w:tcPr>
            <w:tcW w:w="335" w:type="dxa"/>
            <w:tcBorders/>
            <w:vAlign w:val="center"/>
          </w:tcPr>
          <w:p>
            <w:pPr>
              <w:pStyle w:val="TableContents"/>
              <w:bidi w:val="0"/>
              <w:spacing w:before="0" w:after="283"/>
              <w:jc w:val="left"/>
              <w:rPr>
                <w:b/>
              </w:rPr>
            </w:pPr>
            <w:r>
              <w:rPr>
                <w:b/>
              </w:rPr>
              <w:t>28.</w:t>
            </w:r>
          </w:p>
        </w:tc>
        <w:tc>
          <w:tcPr>
            <w:tcW w:w="1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Unfunded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335"/>
        <w:gridCol w:w="2030"/>
      </w:tblGrid>
      <w:tr>
        <w:trPr/>
        <w:tc>
          <w:tcPr>
            <w:tcW w:w="335" w:type="dxa"/>
            <w:tcBorders/>
            <w:vAlign w:val="center"/>
          </w:tcPr>
          <w:p>
            <w:pPr>
              <w:pStyle w:val="TableContents"/>
              <w:bidi w:val="0"/>
              <w:spacing w:before="0" w:after="283"/>
              <w:jc w:val="left"/>
              <w:rPr>
                <w:b/>
              </w:rPr>
            </w:pPr>
            <w:r>
              <w:rPr>
                <w:b/>
              </w:rPr>
              <w:t>29.</w:t>
            </w:r>
          </w:p>
        </w:tc>
        <w:tc>
          <w:tcPr>
            <w:tcW w:w="2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Clawback/Recoupment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granted under this Plan will be subject to recoupment in accordance with any clawback policy that the Company adopts or is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association on which the Company’s securities are listed or as is otherwise required by the Rule 10D-1 under the Exchange Act or other applicable law. 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b/>
              </w:rPr>
            </w:pPr>
            <w:r>
              <w:rPr>
                <w:b/>
              </w:rPr>
              <w:t>30.</w:t>
            </w:r>
          </w:p>
        </w:tc>
        <w:tc>
          <w:tcPr>
            <w:tcW w:w="2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Beneficiary Designation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Participants may designate beneficiaries with respect to Awards under the Plan in accordance with the procedures determined by the Committee. In the absence of a beneficiary designation, a Participant’s estate will be the deemed beneficiary.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31.</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5" w:name="tx111069_62"/>
      <w:bookmarkEnd w:id="205"/>
      <w:r>
        <w:rPr>
          <w:rFonts w:ascii="Times New Roman" w:hAnsi="Times New Roman"/>
          <w:b/>
          <w:sz w:val="20"/>
        </w:rPr>
        <w:t xml:space="preserve">Annex Q </w:t>
      </w:r>
    </w:p>
    <w:p>
      <w:pPr>
        <w:pStyle w:val="TextBody"/>
        <w:bidi w:val="0"/>
        <w:spacing w:before="24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b/>
              </w:rPr>
            </w:pPr>
            <w:r>
              <w:rPr>
                <w:b/>
              </w:rPr>
              <w:t>1.</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w:t>
            </w:r>
          </w:p>
        </w:tc>
      </w:tr>
    </w:tbl>
    <w:p>
      <w:pPr>
        <w:pStyle w:val="TextBody"/>
        <w:bidi w:val="0"/>
        <w:spacing w:before="120" w:after="0"/>
        <w:jc w:val="left"/>
        <w:rPr>
          <w:rFonts w:ascii="Times New Roman" w:hAnsi="Times New Roman"/>
          <w:sz w:val="20"/>
        </w:rPr>
      </w:pPr>
      <w:r>
        <w:rPr>
          <w:rFonts w:ascii="Times New Roman" w:hAnsi="Times New Roman"/>
          <w:sz w:val="20"/>
        </w:rPr>
        <w:t>The purpose of this Korsana Biosciences, Inc. 2026 Employee Stock Purchase Plan (the “</w:t>
      </w:r>
      <w:r>
        <w:rPr>
          <w:rFonts w:ascii="Times New Roman" w:hAnsi="Times New Roman"/>
          <w:b/>
          <w:i/>
          <w:sz w:val="20"/>
        </w:rPr>
        <w:t>Plan</w:t>
      </w:r>
      <w:r>
        <w:rPr>
          <w:rFonts w:ascii="Times New Roman" w:hAnsi="Times New Roman"/>
          <w:sz w:val="20"/>
        </w:rPr>
        <w:t xml:space="preserve">”)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to extend and limit Plan participation in a uniform and nondiscriminatory basis consistent with the requirements of Section 423 of the Code.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283"/>
              <w:jc w:val="left"/>
              <w:rPr>
                <w:b/>
              </w:rPr>
            </w:pPr>
            <w:r>
              <w:rPr>
                <w:b/>
              </w:rPr>
              <w:t>2.</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Administrator</w:t>
      </w:r>
      <w:r>
        <w:rPr>
          <w:rFonts w:ascii="Times New Roman" w:hAnsi="Times New Roman"/>
          <w:sz w:val="20"/>
        </w:rPr>
        <w:t xml:space="preserve">” means the Compensation Committee of the Board (or any successor committee), or such other committee as designated by the Board to administer the Plan under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Applicable Laws</w:t>
      </w:r>
      <w:r>
        <w:rPr>
          <w:rFonts w:ascii="Times New Roman" w:hAnsi="Times New Roman"/>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Code</w:t>
      </w:r>
      <w:r>
        <w:rPr>
          <w:rFonts w:ascii="Times New Roman" w:hAnsi="Times New Roman"/>
          <w:sz w:val="20"/>
        </w:rPr>
        <w:t xml:space="preserve">” means the Internal Revenue Code of 1986, as amended from time to time, and the rulings and regulations issued thereunder.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Common Stock</w:t>
      </w:r>
      <w:r>
        <w:rPr>
          <w:rFonts w:ascii="Times New Roman" w:hAnsi="Times New Roman"/>
          <w:sz w:val="20"/>
        </w:rPr>
        <w:t xml:space="preserve">” means the common stock of the Company, no par value per share.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Company</w:t>
      </w:r>
      <w:r>
        <w:rPr>
          <w:rFonts w:ascii="Times New Roman" w:hAnsi="Times New Roman"/>
          <w:sz w:val="20"/>
        </w:rPr>
        <w:t xml:space="preserve">” means Korsana Biosciences, Inc., a Massachusetts corporation, and any successor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Compensation</w:t>
      </w:r>
      <w:r>
        <w:rPr>
          <w:rFonts w:ascii="Times New Roman" w:hAnsi="Times New Roman"/>
          <w:sz w:val="20"/>
        </w:rPr>
        <w:t xml:space="preserve">”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Contributions</w:t>
      </w:r>
      <w:r>
        <w:rPr>
          <w:rFonts w:ascii="Times New Roman" w:hAnsi="Times New Roman"/>
          <w:sz w:val="20"/>
        </w:rPr>
        <w:t xml:space="preserve">” means the payroll deductions and any other additional payments that the Administrator may permit to be made by a Participant to fund the exercise of options granted pursuant to the Plan, subject to Section 423 of the Code.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Designated Subsidiary</w:t>
      </w:r>
      <w:r>
        <w:rPr>
          <w:rFonts w:ascii="Times New Roman" w:hAnsi="Times New Roman"/>
          <w:sz w:val="20"/>
        </w:rPr>
        <w:t xml:space="preserve">” means any Subsidiary that has been designated by the Administrator from time to time in its sole discretion as eligible to participate in the Plan. As of the date of adoption of the Plan, the Designated Subsidiaries consist exclusively of Korsana Biosciences Operating Company LLC.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Effective Date</w:t>
      </w:r>
      <w:r>
        <w:rPr>
          <w:rFonts w:ascii="Times New Roman" w:hAnsi="Times New Roman"/>
          <w:sz w:val="20"/>
        </w:rPr>
        <w:t xml:space="preserve">” means the Closing Date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Eligible Employee</w:t>
      </w:r>
      <w:r>
        <w:rPr>
          <w:rFonts w:ascii="Times New Roman" w:hAnsi="Times New Roman"/>
          <w:sz w:val="20"/>
        </w:rPr>
        <w:t xml:space="preserve">” means any person, including an officer, who is customarily employed by the Company or a Designated Subsidiary (i) for more than 20 hours per week and (ii) for more than five months in any calendar year. For purposes of the Plan, the employment relationship shall be treated as continuing intact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 or if compliance with the laws of the jurisdiction would cause the Plan to violate Section 423 of the Code.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Employer</w:t>
      </w:r>
      <w:r>
        <w:rPr>
          <w:rFonts w:ascii="Times New Roman" w:hAnsi="Times New Roman"/>
          <w:sz w:val="20"/>
        </w:rPr>
        <w:t xml:space="preserve">” means the Company and each Designated Subsidiary.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Enrollment Date</w:t>
      </w:r>
      <w:r>
        <w:rPr>
          <w:rFonts w:ascii="Times New Roman" w:hAnsi="Times New Roman"/>
          <w:sz w:val="20"/>
        </w:rPr>
        <w:t xml:space="preserve">” means the first Trading Day of each Offering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Exercise Date</w:t>
      </w:r>
      <w:r>
        <w:rPr>
          <w:rFonts w:ascii="Times New Roman" w:hAnsi="Times New Roman"/>
          <w:sz w:val="20"/>
        </w:rPr>
        <w:t xml:space="preserve">” means the last Trading Day of each Purchase Period.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Merger Agreement</w:t>
      </w:r>
      <w:r>
        <w:rPr>
          <w:rFonts w:ascii="Times New Roman" w:hAnsi="Times New Roman"/>
          <w:sz w:val="20"/>
        </w:rPr>
        <w:t xml:space="preserve">” means that certain Agreement and Plan of Merger and Reorganization dated as of April 1, 2026 by and among the Company, Cariboos Merger Sub Corp., Cariboos Merger Sub II, LLC and Korsana Biosciences, Inc.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New Exercise Date</w:t>
      </w:r>
      <w:r>
        <w:rPr>
          <w:rFonts w:ascii="Times New Roman" w:hAnsi="Times New Roman"/>
          <w:sz w:val="20"/>
        </w:rPr>
        <w:t xml:space="preserve">” means a new Exercise Date if the Administrator shortens any Offering Period then in progress.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i/>
          <w:sz w:val="20"/>
        </w:rPr>
        <w:t>Offering</w:t>
      </w:r>
      <w:r>
        <w:rPr>
          <w:rFonts w:ascii="Times New Roman" w:hAnsi="Times New Roman"/>
          <w:sz w:val="20"/>
        </w:rPr>
        <w:t xml:space="preserve">” means an offer under the Plan of an option that may be exercised during an Offering Period as further described in </w:t>
      </w:r>
      <w:r>
        <w:rPr>
          <w:rFonts w:ascii="Times New Roman" w:hAnsi="Times New Roman"/>
          <w:sz w:val="20"/>
          <w:u w:val="single"/>
        </w:rPr>
        <w:t>Section 4</w:t>
      </w:r>
      <w:r>
        <w:rPr>
          <w:rFonts w:ascii="Times New Roman" w:hAnsi="Times New Roman"/>
          <w:sz w:val="20"/>
        </w:rPr>
        <w:t xml:space="preserve">.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w:t>
      </w:r>
      <w:r>
        <w:rPr>
          <w:rFonts w:ascii="Times New Roman" w:hAnsi="Times New Roman"/>
          <w:i/>
          <w:sz w:val="20"/>
        </w:rPr>
        <w:t>provided, however</w:t>
      </w:r>
      <w:r>
        <w:rPr>
          <w:rFonts w:ascii="Times New Roman" w:hAnsi="Times New Roman"/>
          <w:sz w:val="20"/>
        </w:rPr>
        <w:t xml:space="preserve">, that the terms of the Plan and an Offering together satisfy Treasury Regulation Sections 1.423-2(a)(2) and (a)(3).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Offering Periods</w:t>
      </w:r>
      <w:r>
        <w:rPr>
          <w:rFonts w:ascii="Times New Roman" w:hAnsi="Times New Roman"/>
          <w:sz w:val="20"/>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hAnsi="Times New Roman"/>
          <w:sz w:val="20"/>
          <w:u w:val="single"/>
        </w:rPr>
        <w:t>Sections 4</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and </w:t>
      </w:r>
      <w:r>
        <w:rPr>
          <w:rFonts w:ascii="Times New Roman" w:hAnsi="Times New Roman"/>
          <w:sz w:val="20"/>
          <w:u w:val="single"/>
        </w:rPr>
        <w:t>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Outstanding Common Stock</w:t>
      </w:r>
      <w:r>
        <w:rPr>
          <w:rFonts w:ascii="Times New Roman" w:hAnsi="Times New Roman"/>
          <w:sz w:val="20"/>
        </w:rPr>
        <w:t xml:space="preserve">” means the sum of (i) the shares of Common Stock outstanding, (ii) the shares of Common Stock underlying unexercised pre-funded warrants, and (iii) the shares of Common Stock underlying the Company’s preferred stock, no par value per share.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Parent</w:t>
      </w:r>
      <w:r>
        <w:rPr>
          <w:rFonts w:ascii="Times New Roman" w:hAnsi="Times New Roman"/>
          <w:sz w:val="20"/>
        </w:rPr>
        <w:t xml:space="preserve">” means a “parent corporation,” whether now or hereafter existing,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Participant</w:t>
      </w:r>
      <w:r>
        <w:rPr>
          <w:rFonts w:ascii="Times New Roman" w:hAnsi="Times New Roman"/>
          <w:sz w:val="20"/>
        </w:rPr>
        <w:t xml:space="preserve">” means an Eligible Employee who elects to participate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(x) “</w:t>
      </w:r>
      <w:r>
        <w:rPr>
          <w:rFonts w:ascii="Times New Roman" w:hAnsi="Times New Roman"/>
          <w:b/>
          <w:i/>
          <w:sz w:val="20"/>
        </w:rPr>
        <w:t>Purchase Period</w:t>
      </w:r>
      <w:r>
        <w:rPr>
          <w:rFonts w:ascii="Times New Roman" w:hAnsi="Times New Roman"/>
          <w:sz w:val="20"/>
        </w:rPr>
        <w:t xml:space="preserve">” means the period during an Offering Period during which shares of Common Stock may be purchased on a Participant’s behalf in accordance with the terms of the Plan, as established by the Administrator.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Purchase Price</w:t>
      </w:r>
      <w:r>
        <w:rPr>
          <w:rFonts w:ascii="Times New Roman" w:hAnsi="Times New Roman"/>
          <w:sz w:val="20"/>
        </w:rPr>
        <w:t xml:space="preserve">” means an amount equal to 85% of the Fair Market Value of a share of Common Stock on the Enrollment Date or on the Exercise Date, whichever is lower; </w:t>
      </w:r>
      <w:r>
        <w:rPr>
          <w:rFonts w:ascii="Times New Roman" w:hAnsi="Times New Roman"/>
          <w:i/>
          <w:sz w:val="20"/>
        </w:rPr>
        <w:t>provided, however</w:t>
      </w:r>
      <w:r>
        <w:rPr>
          <w:rFonts w:ascii="Times New Roman" w:hAnsi="Times New Roman"/>
          <w:sz w:val="20"/>
        </w:rPr>
        <w:t xml:space="preserve">, that the Purchase Price may be determined for subsequent Offering Periods by the Administrator subject to compliance with Section 423 of the Code (or any other Applicable Law) or pursuant to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Subsidiary</w:t>
      </w:r>
      <w:r>
        <w:rPr>
          <w:rFonts w:ascii="Times New Roman" w:hAnsi="Times New Roman"/>
          <w:sz w:val="20"/>
        </w:rPr>
        <w:t xml:space="preserve">” means a “subsidiary corporation,” whether now or hereafter existing,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Trading Day</w:t>
      </w:r>
      <w:r>
        <w:rPr>
          <w:rFonts w:ascii="Times New Roman" w:hAnsi="Times New Roman"/>
          <w:sz w:val="20"/>
        </w:rPr>
        <w:t xml:space="preserve">” means a day on which the national stock exchange upon which the Common Stock is listed is open for trading or, if the Common Stock is not listed on a national stock exchange, a business day as determined by the Administrator in good faith.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Treasury Regulations</w:t>
      </w:r>
      <w:r>
        <w:rPr>
          <w:rFonts w:ascii="Times New Roman" w:hAnsi="Times New Roman"/>
          <w:sz w:val="20"/>
        </w:rPr>
        <w:t xml:space="preserve">”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215"/>
        <w:gridCol w:w="995"/>
      </w:tblGrid>
      <w:tr>
        <w:trPr/>
        <w:tc>
          <w:tcPr>
            <w:tcW w:w="215" w:type="dxa"/>
            <w:tcBorders/>
            <w:vAlign w:val="center"/>
          </w:tcPr>
          <w:p>
            <w:pPr>
              <w:pStyle w:val="TableContents"/>
              <w:bidi w:val="0"/>
              <w:spacing w:before="0" w:after="283"/>
              <w:jc w:val="left"/>
              <w:rPr>
                <w:b/>
              </w:rPr>
            </w:pPr>
            <w:r>
              <w:rPr>
                <w:b/>
              </w:rPr>
              <w:t>3.</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Offering Periods</w:t>
      </w:r>
      <w:r>
        <w:rPr>
          <w:rFonts w:ascii="Times New Roman" w:hAnsi="Times New Roman"/>
          <w:sz w:val="20"/>
        </w:rPr>
        <w:t xml:space="preserve">. Any Eligible Employee on a given Enrollment Date will be eligible to participate in the Plan if he or she was employed by the Company for at least 30 calendar days (unless otherwise determined by the Administrator) immediately preceding the Enrollment Date, subject to the requirements of </w:t>
      </w:r>
      <w:r>
        <w:rPr>
          <w:rFonts w:ascii="Times New Roman" w:hAnsi="Times New Roman"/>
          <w:sz w:val="20"/>
          <w:u w:val="single"/>
        </w:rPr>
        <w:t>Section 5</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an Eligible Employee who commences employment with the Company or a Designated Subsidiary following such 30-day period (or such other period as determined by the Administrator) will be eligible to participate in the Plan at the beginning of the next Purchase Period to occur that is at least 30 calendar days (or such other period as determined by the Administrator) following the commencement of his or her employment with the Company or a Designated Subsidiary. Eligible Employees who do not elect to participate in the Plan on a given Enrollment Date may elect to participate in the Plan at the beginning of any subsequent Purchase Period,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Non-U.S. Employees</w:t>
      </w:r>
      <w:r>
        <w:rPr>
          <w:rFonts w:ascii="Times New Roman" w:hAnsi="Times New Roman"/>
          <w:sz w:val="20"/>
        </w:rPr>
        <w:t xml:space="preserv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w:t>
      </w:r>
      <w:r>
        <w:rPr>
          <w:rFonts w:ascii="Times New Roman" w:hAnsi="Times New Roman"/>
          <w:sz w:val="20"/>
          <w:u w:val="single"/>
        </w:rPr>
        <w:t>Section 14</w:t>
      </w:r>
      <w:r>
        <w:rPr>
          <w:rFonts w:ascii="Times New Roman" w:hAnsi="Times New Roman"/>
          <w:sz w:val="20"/>
        </w:rPr>
        <w:t xml:space="preserve">,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that exceeds $25,000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worth of stock (determined at the Fair Market Value of the stock at the time such option is granted) for each calendar year in which such option is outstanding at any time, as determined in accordance with Section 423 of the Code and the regulations thereunder.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b/>
              </w:rPr>
            </w:pPr>
            <w:r>
              <w:rPr>
                <w:b/>
              </w:rPr>
              <w:t>4.</w:t>
            </w:r>
          </w:p>
        </w:tc>
        <w:tc>
          <w:tcPr>
            <w:tcW w:w="1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Periods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b/>
              </w:rPr>
            </w:pPr>
            <w:r>
              <w:rPr>
                <w:b/>
              </w:rPr>
              <w:t>5.</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participate in the Plan by (i) submitting to the Company’s Finance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b/>
              </w:rPr>
            </w:pPr>
            <w:r>
              <w:rPr>
                <w:b/>
              </w:rPr>
              <w:t>6.</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Contributions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a Participant enrolls in the Plan pursuant to </w:t>
      </w:r>
      <w:r>
        <w:rPr>
          <w:rFonts w:ascii="Times New Roman" w:hAnsi="Times New Roman"/>
          <w:sz w:val="20"/>
          <w:u w:val="single"/>
        </w:rPr>
        <w:t>Section 5</w:t>
      </w:r>
      <w:r>
        <w:rPr>
          <w:rFonts w:ascii="Times New Roman" w:hAnsi="Times New Roman"/>
          <w:sz w:val="20"/>
        </w:rPr>
        <w:t xml:space="preserve">, such Participant will elect to have payroll deductions made on each pay day or other Contributions (to the extent permitted by the Administrator) made during the Offering Period (or portion thereof) in an amount equal to at least 1% but not exceeding 15% of the Compensation (or such other percentage of Compensation as determined by the Administrator in its sole discretion, prior to the commencement of an applicable Offering Period), that the Participant receives on each pay day during the Offering Period; </w:t>
      </w:r>
      <w:r>
        <w:rPr>
          <w:rFonts w:ascii="Times New Roman" w:hAnsi="Times New Roman"/>
          <w:i/>
          <w:sz w:val="20"/>
        </w:rPr>
        <w:t>provided, however</w:t>
      </w:r>
      <w:r>
        <w:rPr>
          <w:rFonts w:ascii="Times New Roman" w:hAnsi="Times New Roman"/>
          <w:sz w:val="20"/>
        </w:rPr>
        <w:t xml:space="preserve">, that should a pay day occur on an Exercise Date, a Participant will have any payroll deductions made on such day applied to his or her notional account under the subsequent Purchase Period or Offering Period. The maximum permissible Contribution by any Participant for all Offering Periods during any calendar year shall be $25,000. The Administrator, in its sole discretion and to the extent permitted by Section 423 of the Code,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Payroll deductions for a Participant will commence on the first pay day following the Enrollment Date (or such later date on which a Participant enrolls in the Plan pursuant to </w:t>
      </w:r>
      <w:r>
        <w:rPr>
          <w:rFonts w:ascii="Times New Roman" w:hAnsi="Times New Roman"/>
          <w:sz w:val="20"/>
          <w:u w:val="single"/>
        </w:rPr>
        <w:t>Section 5</w:t>
      </w:r>
      <w:r>
        <w:rPr>
          <w:rFonts w:ascii="Times New Roman" w:hAnsi="Times New Roman"/>
          <w:sz w:val="20"/>
        </w:rPr>
        <w:t xml:space="preserve">) and will end on the last pay day prior to the Exercise Date of such Purchase Period to which such authorization is applicable, unless sooner terminated by the Participant as provided in </w:t>
      </w:r>
      <w:r>
        <w:rPr>
          <w:rFonts w:ascii="Times New Roman" w:hAnsi="Times New Roman"/>
          <w:sz w:val="20"/>
          <w:u w:val="single"/>
        </w:rPr>
        <w:t>Section 10</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with respect to the first Offering Period, payroll deduction for a Participant will not commence until such time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made for a Participant will be credited to his or her notional account under the Plan and payroll deductions will be made in whole percentages only. Except to the extent permitted by the Administrator pursuant to </w:t>
      </w:r>
      <w:r>
        <w:rPr>
          <w:rFonts w:ascii="Times New Roman" w:hAnsi="Times New Roman"/>
          <w:sz w:val="20"/>
          <w:u w:val="single"/>
        </w:rPr>
        <w:t>Section 6(a)</w:t>
      </w:r>
      <w:r>
        <w:rPr>
          <w:rFonts w:ascii="Times New Roman" w:hAnsi="Times New Roman"/>
          <w:sz w:val="20"/>
        </w:rPr>
        <w:t xml:space="preserve">, a Participant may not make any additional payments into such notional account.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may discontinue his or her participation in the Plan as provided in </w:t>
      </w:r>
      <w:r>
        <w:rPr>
          <w:rFonts w:ascii="Times New Roman" w:hAnsi="Times New Roman"/>
          <w:sz w:val="20"/>
          <w:u w:val="single"/>
        </w:rPr>
        <w:t>Section 10</w:t>
      </w:r>
      <w:r>
        <w:rPr>
          <w:rFonts w:ascii="Times New Roman" w:hAnsi="Times New Roman"/>
          <w:sz w:val="20"/>
        </w:rPr>
        <w:t xml:space="preserve">. Participants shall not be permitted to increase or to otherwise decrease their rates of Contributions during a Purchase Period unless otherwise determined by the Administrator in its sole discretion; </w:t>
      </w:r>
      <w:r>
        <w:rPr>
          <w:rFonts w:ascii="Times New Roman" w:hAnsi="Times New Roman"/>
          <w:i/>
          <w:sz w:val="20"/>
        </w:rPr>
        <w:t>provided, however</w:t>
      </w:r>
      <w:r>
        <w:rPr>
          <w:rFonts w:ascii="Times New Roman" w:hAnsi="Times New Roman"/>
          <w:sz w:val="20"/>
        </w:rPr>
        <w:t xml:space="preserve">, that Participants shall be permitted to increase or decrease their rates of Contributions effective as of the beginning of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necessary to comply with Section 423(b)(8) of the Code, a Participant’s Contributions may be decreased to 0% at any time during a Purchase Period.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423(b)(8) of the Code,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that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Treasury Regulation Section 1.423-2(f).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b/>
              </w:rPr>
            </w:pPr>
            <w:r>
              <w:rPr>
                <w:b/>
              </w:rPr>
              <w:t>7.</w:t>
            </w:r>
          </w:p>
        </w:tc>
        <w:tc>
          <w:tcPr>
            <w:tcW w:w="1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Enrollment Date of each Offering Period, each Eligible Employee participating in such Offering Period (or any Purchase Period within such Offering Period) will be granted an option to purchase on each Exercise Date during such Offering Period (at the applicable Purchase Price) up to a number of shares of Common Stock determined by dividing (i) such Eligible Employee’s Contributions accumulated prior to such Exercise Date and retained in the Eligible Employee’s notional account as of the Exercise Date by (ii) the applicable Purchase Price; </w:t>
      </w:r>
      <w:r>
        <w:rPr>
          <w:rFonts w:ascii="Times New Roman" w:hAnsi="Times New Roman"/>
          <w:i/>
          <w:sz w:val="20"/>
        </w:rPr>
        <w:t>provided, however</w:t>
      </w:r>
      <w:r>
        <w:rPr>
          <w:rFonts w:ascii="Times New Roman" w:hAnsi="Times New Roman"/>
          <w:sz w:val="20"/>
        </w:rPr>
        <w:t xml:space="preserve">, that in no event will an Eligible Employee be permitted to purchase during each Purchase Period more than 2,500 shares of Common Stock (subject to any adjustment pursuant to </w:t>
      </w:r>
      <w:r>
        <w:rPr>
          <w:rFonts w:ascii="Times New Roman" w:hAnsi="Times New Roman"/>
          <w:sz w:val="20"/>
          <w:u w:val="single"/>
        </w:rPr>
        <w:t>Section 18</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such purchase will be subject to the limitations set forth in </w:t>
      </w:r>
      <w:r>
        <w:rPr>
          <w:rFonts w:ascii="Times New Roman" w:hAnsi="Times New Roman"/>
          <w:sz w:val="20"/>
          <w:u w:val="single"/>
        </w:rPr>
        <w:t>Sections 3(c)</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The Eligible Employee may accept the grant of such option by electing to participate in the Plan in accordance with the requirements of </w:t>
      </w:r>
      <w:r>
        <w:rPr>
          <w:rFonts w:ascii="Times New Roman" w:hAnsi="Times New Roman"/>
          <w:sz w:val="20"/>
          <w:u w:val="single"/>
        </w:rPr>
        <w:t>Section 5</w:t>
      </w:r>
      <w:r>
        <w:rPr>
          <w:rFonts w:ascii="Times New Roman" w:hAnsi="Times New Roman"/>
          <w:sz w:val="20"/>
        </w:rPr>
        <w:t xml:space="preserve">.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w:t>
      </w:r>
      <w:r>
        <w:rPr>
          <w:rFonts w:ascii="Times New Roman" w:hAnsi="Times New Roman"/>
          <w:sz w:val="20"/>
          <w:u w:val="single"/>
        </w:rPr>
        <w:t>Section 8</w:t>
      </w:r>
      <w:r>
        <w:rPr>
          <w:rFonts w:ascii="Times New Roman" w:hAnsi="Times New Roman"/>
          <w:sz w:val="20"/>
        </w:rPr>
        <w:t xml:space="preserve">, unless the Participant has withdrawn pursuant to </w:t>
      </w:r>
      <w:r>
        <w:rPr>
          <w:rFonts w:ascii="Times New Roman" w:hAnsi="Times New Roman"/>
          <w:sz w:val="20"/>
          <w:u w:val="single"/>
        </w:rPr>
        <w:t>Section 10</w:t>
      </w:r>
      <w:r>
        <w:rPr>
          <w:rFonts w:ascii="Times New Roman" w:hAnsi="Times New Roman"/>
          <w:sz w:val="20"/>
        </w:rPr>
        <w:t xml:space="preserve">. The option will expire on the last day of the Offering Period.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b/>
              </w:rPr>
            </w:pPr>
            <w:r>
              <w:rPr>
                <w:b/>
              </w:rPr>
              <w:t>8.</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Option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Unless a Participant withdraws from the Plan as provided in </w:t>
      </w:r>
      <w:r>
        <w:rPr>
          <w:rFonts w:ascii="Times New Roman" w:hAnsi="Times New Roman"/>
          <w:sz w:val="20"/>
          <w:u w:val="single"/>
        </w:rPr>
        <w:t>Section 10</w:t>
      </w:r>
      <w:r>
        <w:rPr>
          <w:rFonts w:ascii="Times New Roman" w:hAnsi="Times New Roman"/>
          <w:sz w:val="20"/>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hAnsi="Times New Roman"/>
          <w:sz w:val="20"/>
          <w:u w:val="single"/>
        </w:rPr>
        <w:t>Section 10</w:t>
      </w:r>
      <w:r>
        <w:rPr>
          <w:rFonts w:ascii="Times New Roman" w:hAnsi="Times New Roman"/>
          <w:sz w:val="20"/>
        </w:rPr>
        <w:t xml:space="preserve">. Any other funds left over in a Participant’s notional account after the Exercise Date will be returned to the Participant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During a Participant’s lifetime, a Participant’s option to purchase shares hereunder is exercisable only by him or her. </w:t>
      </w:r>
    </w:p>
    <w:p>
      <w:pPr>
        <w:pStyle w:val="TextBody"/>
        <w:bidi w:val="0"/>
        <w:spacing w:before="240" w:after="0"/>
        <w:jc w:val="left"/>
        <w:rPr>
          <w:rFonts w:ascii="Times New Roman" w:hAnsi="Times New Roman"/>
          <w:sz w:val="20"/>
        </w:rPr>
      </w:pPr>
      <w:r>
        <w:rPr>
          <w:rFonts w:ascii="Times New Roman" w:hAnsi="Times New Roman"/>
          <w:sz w:val="20"/>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hAnsi="Times New Roman"/>
          <w:sz w:val="20"/>
          <w:u w:val="single"/>
        </w:rPr>
        <w:t>Section 19</w:t>
      </w:r>
      <w:r>
        <w:rPr>
          <w:rFonts w:ascii="Times New Roman" w:hAnsi="Times New Roman"/>
          <w:sz w:val="20"/>
        </w:rPr>
        <w:t xml:space="preserve">.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b/>
              </w:rPr>
            </w:pPr>
            <w:r>
              <w:rPr>
                <w:b/>
              </w:rPr>
              <w:t>9.</w:t>
            </w:r>
          </w:p>
        </w:tc>
        <w:tc>
          <w:tcPr>
            <w:tcW w:w="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Delivery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b/>
              </w:rPr>
            </w:pPr>
            <w:r>
              <w:rPr>
                <w:b/>
              </w:rPr>
              <w:t>10.</w:t>
            </w:r>
          </w:p>
        </w:tc>
        <w:tc>
          <w:tcPr>
            <w:tcW w:w="1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Withdrawal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the Contributions credited to his or her notional account and not yet used to exercise his or her option under the Plan at any time by (a) submitting to the Company’s Finance department (or its delegate) a written notice of withdrawal in the form determined by the Administrator for such purpose, or (b) following an electronic or other withdrawal procedure determined by the Administrator. All the Participant’s Contributions credited to his or her notional account will be paid to such Participant as soon as reasonably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w:t>
      </w:r>
      <w:r>
        <w:rPr>
          <w:rFonts w:ascii="Times New Roman" w:hAnsi="Times New Roman"/>
          <w:sz w:val="20"/>
          <w:u w:val="single"/>
        </w:rPr>
        <w:t>Section 5</w:t>
      </w:r>
      <w:r>
        <w:rPr>
          <w:rFonts w:ascii="Times New Roman" w:hAnsi="Times New Roman"/>
          <w:sz w:val="20"/>
        </w:rPr>
        <w:t xml:space="preserve">.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b/>
              </w:rPr>
            </w:pPr>
            <w:r>
              <w:rPr>
                <w:b/>
              </w:rPr>
              <w:t>11.</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Employment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w:t>
      </w:r>
      <w:r>
        <w:rPr>
          <w:rFonts w:ascii="Times New Roman" w:hAnsi="Times New Roman"/>
          <w:sz w:val="20"/>
          <w:u w:val="single"/>
        </w:rPr>
        <w:t>Section 15</w:t>
      </w:r>
      <w:r>
        <w:rPr>
          <w:rFonts w:ascii="Times New Roman" w:hAnsi="Times New Roman"/>
          <w:sz w:val="20"/>
        </w:rPr>
        <w:t xml:space="preserve">, and such Participant’s option will be automatically terminated. In no event may a Participant be granted an option under the Plan following his or her termination of employment unless such Participant subsequently becomes an Eligible Employee again.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335"/>
        <w:gridCol w:w="725"/>
      </w:tblGrid>
      <w:tr>
        <w:trPr/>
        <w:tc>
          <w:tcPr>
            <w:tcW w:w="335" w:type="dxa"/>
            <w:tcBorders/>
            <w:vAlign w:val="center"/>
          </w:tcPr>
          <w:p>
            <w:pPr>
              <w:pStyle w:val="TableContents"/>
              <w:bidi w:val="0"/>
              <w:spacing w:before="0" w:after="283"/>
              <w:jc w:val="left"/>
              <w:rPr>
                <w:b/>
              </w:rPr>
            </w:pPr>
            <w:r>
              <w:rPr>
                <w:b/>
              </w:rPr>
              <w:t>12.</w:t>
            </w:r>
          </w:p>
        </w:tc>
        <w:tc>
          <w:tcPr>
            <w:tcW w:w="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 w:type="dxa"/>
        <w:jc w:val="left"/>
        <w:tblInd w:w="0" w:type="dxa"/>
        <w:tblLayout w:type="fixed"/>
        <w:tblCellMar>
          <w:top w:w="0" w:type="dxa"/>
          <w:left w:w="0" w:type="dxa"/>
          <w:bottom w:w="0" w:type="dxa"/>
          <w:right w:w="0" w:type="dxa"/>
        </w:tblCellMar>
      </w:tblPr>
      <w:tblGrid>
        <w:gridCol w:w="335"/>
        <w:gridCol w:w="545"/>
      </w:tblGrid>
      <w:tr>
        <w:trPr/>
        <w:tc>
          <w:tcPr>
            <w:tcW w:w="335" w:type="dxa"/>
            <w:tcBorders/>
            <w:vAlign w:val="center"/>
          </w:tcPr>
          <w:p>
            <w:pPr>
              <w:pStyle w:val="TableContents"/>
              <w:bidi w:val="0"/>
              <w:spacing w:before="0" w:after="283"/>
              <w:jc w:val="left"/>
              <w:rPr>
                <w:b/>
              </w:rPr>
            </w:pPr>
            <w:r>
              <w:rPr>
                <w:b/>
              </w:rPr>
              <w:t>13.</w:t>
            </w:r>
          </w:p>
        </w:tc>
        <w:tc>
          <w:tcPr>
            <w:tcW w:w="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Subject to adjustment upon changes in capitalization of the Company as provided in </w:t>
      </w:r>
      <w:r>
        <w:rPr>
          <w:rFonts w:ascii="Times New Roman" w:hAnsi="Times New Roman"/>
          <w:sz w:val="20"/>
          <w:u w:val="single"/>
        </w:rPr>
        <w:t>Section 18</w:t>
      </w:r>
      <w:r>
        <w:rPr>
          <w:rFonts w:ascii="Times New Roman" w:hAnsi="Times New Roman"/>
          <w:sz w:val="20"/>
        </w:rPr>
        <w:t xml:space="preserve"> hereof, the maximum number of shares of Common Stock that will be made available for sale under the Plan shall be equal to (i) a number equal to the lesser of (x) 1,000,000 or (y) 1% of the total number of shares of Outstanding Common Stock immediately following the closing of the transactions set forth in the Merger Agreement, </w:t>
      </w:r>
      <w:r>
        <w:rPr>
          <w:rFonts w:ascii="Times New Roman" w:hAnsi="Times New Roman"/>
          <w:i/>
          <w:sz w:val="20"/>
        </w:rPr>
        <w:t>plus</w:t>
      </w:r>
      <w:r>
        <w:rPr>
          <w:rFonts w:ascii="Times New Roman" w:hAnsi="Times New Roman"/>
          <w:sz w:val="20"/>
        </w:rPr>
        <w:t xml:space="preserve"> (ii) any shares of Common Stock added as a result of the following sentence (collectively, the “</w:t>
      </w:r>
      <w:r>
        <w:rPr>
          <w:rFonts w:ascii="Times New Roman" w:hAnsi="Times New Roman"/>
          <w:b/>
          <w:i/>
          <w:sz w:val="20"/>
        </w:rPr>
        <w:t>Share Pool</w:t>
      </w:r>
      <w:r>
        <w:rPr>
          <w:rFonts w:ascii="Times New Roman" w:hAnsi="Times New Roman"/>
          <w:sz w:val="20"/>
        </w:rPr>
        <w:t xml:space="preserve">”). The Share Pool will automatically increase on January 1 of each year beginning in 2027 and ending with a final increase on January 1, 2036 in an amount equal to the lesser of (x) 2,000,000 or (y) 1% of the Outstanding Common Stock on the preceding December 31; </w:t>
      </w:r>
      <w:r>
        <w:rPr>
          <w:rFonts w:ascii="Times New Roman" w:hAnsi="Times New Roman"/>
          <w:i/>
          <w:sz w:val="20"/>
        </w:rPr>
        <w:t>provided, however</w:t>
      </w:r>
      <w:r>
        <w:rPr>
          <w:rFonts w:ascii="Times New Roman" w:hAnsi="Times New Roman"/>
          <w:sz w:val="20"/>
        </w:rPr>
        <w:t xml:space="preserve">, that the Administrator may provide that there will be no January 1 increase in the Share Pool for any such year or that the increase in the Share Pool for any such year will be a smaller number of shares of Common Stock than would otherwise occur pursuant to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(c) Shares of Common Stock to be delivered to a Participant under the Plan will be registered in the name of the Participant or in the name of the Participant and his or her spouse.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283"/>
              <w:jc w:val="left"/>
              <w:rPr>
                <w:b/>
              </w:rPr>
            </w:pPr>
            <w:r>
              <w:rPr>
                <w:b/>
              </w:rPr>
              <w:t>14.</w:t>
            </w:r>
          </w:p>
        </w:tc>
        <w:tc>
          <w:tcPr>
            <w:tcW w:w="1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w:t>
      </w:r>
      <w:r>
        <w:rPr>
          <w:rFonts w:ascii="Times New Roman" w:hAnsi="Times New Roman"/>
          <w:sz w:val="20"/>
          <w:u w:val="single"/>
        </w:rPr>
        <w:t>Section 13(a)</w:t>
      </w:r>
      <w:r>
        <w:rPr>
          <w:rFonts w:ascii="Times New Roman" w:hAnsi="Times New Roman"/>
          <w:sz w:val="20"/>
        </w:rPr>
        <w:t xml:space="preserve">,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Treasury Regulation Section 1.423-2(f),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most senior officer in the Finance department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665" w:type="dxa"/>
        <w:jc w:val="left"/>
        <w:tblInd w:w="0" w:type="dxa"/>
        <w:tblLayout w:type="fixed"/>
        <w:tblCellMar>
          <w:top w:w="0" w:type="dxa"/>
          <w:left w:w="0" w:type="dxa"/>
          <w:bottom w:w="0" w:type="dxa"/>
          <w:right w:w="0" w:type="dxa"/>
        </w:tblCellMar>
      </w:tblPr>
      <w:tblGrid>
        <w:gridCol w:w="335"/>
        <w:gridCol w:w="2330"/>
      </w:tblGrid>
      <w:tr>
        <w:trPr/>
        <w:tc>
          <w:tcPr>
            <w:tcW w:w="335" w:type="dxa"/>
            <w:tcBorders/>
            <w:vAlign w:val="center"/>
          </w:tcPr>
          <w:p>
            <w:pPr>
              <w:pStyle w:val="TableContents"/>
              <w:bidi w:val="0"/>
              <w:spacing w:before="0" w:after="283"/>
              <w:jc w:val="left"/>
              <w:rPr>
                <w:b/>
              </w:rPr>
            </w:pPr>
            <w:r>
              <w:rPr>
                <w:b/>
              </w:rPr>
              <w:t>15.</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Designation of Beneficiary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option. If a Participant is married and the designated beneficiary is not the spouse, spousal consent will be required for such designation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 </w:t>
      </w:r>
    </w:p>
    <w:p>
      <w:pPr>
        <w:pStyle w:val="TextBody"/>
        <w:bidi w:val="0"/>
        <w:spacing w:before="240" w:after="0"/>
        <w:jc w:val="left"/>
        <w:rPr>
          <w:rFonts w:ascii="Times New Roman" w:hAnsi="Times New Roman"/>
          <w:sz w:val="20"/>
        </w:rPr>
      </w:pPr>
      <w:r>
        <w:rPr>
          <w:rFonts w:ascii="Times New Roman" w:hAnsi="Times New Roman"/>
          <w:sz w:val="20"/>
        </w:rPr>
        <w:t xml:space="preserve">(c) All beneficiary designations will be in such form and manner as the Administrator may designate from time to time. Notwithstanding </w:t>
      </w:r>
      <w:r>
        <w:rPr>
          <w:rFonts w:ascii="Times New Roman" w:hAnsi="Times New Roman"/>
          <w:sz w:val="20"/>
          <w:u w:val="single"/>
        </w:rPr>
        <w:t>Sections 15(a)</w:t>
      </w:r>
      <w:r>
        <w:rPr>
          <w:rFonts w:ascii="Times New Roman" w:hAnsi="Times New Roman"/>
          <w:sz w:val="20"/>
        </w:rPr>
        <w:t xml:space="preserve"> and </w:t>
      </w:r>
      <w:r>
        <w:rPr>
          <w:rFonts w:ascii="Times New Roman" w:hAnsi="Times New Roman"/>
          <w:sz w:val="20"/>
          <w:u w:val="single"/>
        </w:rPr>
        <w:t>15(b)</w:t>
      </w:r>
      <w:r>
        <w:rPr>
          <w:rFonts w:ascii="Times New Roman" w:hAnsi="Times New Roman"/>
          <w:sz w:val="20"/>
        </w:rPr>
        <w:t xml:space="preserve">, the Company and/or the Administrator may decide not to permit such designations by Participants in non-U.S. jurisdictions to the extent permitted by Treasury Regulation Section 1.423-2(f).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b/>
              </w:rPr>
            </w:pPr>
            <w:r>
              <w:rPr>
                <w:b/>
              </w:rPr>
              <w:t>16.</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Transferability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hAnsi="Times New Roman"/>
          <w:sz w:val="20"/>
          <w:u w:val="single"/>
        </w:rPr>
        <w:t>Section 15</w:t>
      </w:r>
      <w:r>
        <w:rPr>
          <w:rFonts w:ascii="Times New Roman" w:hAnsi="Times New Roman"/>
          <w:sz w:val="20"/>
        </w:rPr>
        <w:t xml:space="preserve">) by the Participant. Any such attempt at assignment, transfer, pledge, or other disposition will be without effect, except that the Company may treat such act as an election to withdraw funds from an Offering Period in accordance with </w:t>
      </w:r>
      <w:r>
        <w:rPr>
          <w:rFonts w:ascii="Times New Roman" w:hAnsi="Times New Roman"/>
          <w:sz w:val="20"/>
          <w:u w:val="single"/>
        </w:rPr>
        <w:t>Section 10</w:t>
      </w:r>
      <w:r>
        <w:rPr>
          <w:rFonts w:ascii="Times New Roman" w:hAnsi="Times New Roman"/>
          <w:sz w:val="20"/>
        </w:rPr>
        <w:t xml:space="preserve"> hereof.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b/>
              </w:rPr>
            </w:pPr>
            <w:r>
              <w:rPr>
                <w:b/>
              </w:rPr>
              <w:t>17.</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Use of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 an independent third party for Participants in non-U.S. jurisdictions. Until shares of Common Stock are issued, Participants will only have the rights of an unsecured creditor with respect to such shares. </w:t>
      </w:r>
    </w:p>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335"/>
        <w:gridCol w:w="6770"/>
      </w:tblGrid>
      <w:tr>
        <w:trPr/>
        <w:tc>
          <w:tcPr>
            <w:tcW w:w="335" w:type="dxa"/>
            <w:tcBorders/>
            <w:vAlign w:val="center"/>
          </w:tcPr>
          <w:p>
            <w:pPr>
              <w:pStyle w:val="TableContents"/>
              <w:bidi w:val="0"/>
              <w:spacing w:before="0" w:after="283"/>
              <w:jc w:val="left"/>
              <w:rPr>
                <w:b/>
              </w:rPr>
            </w:pPr>
            <w:r>
              <w:rPr>
                <w:b/>
              </w:rPr>
              <w:t>18.</w:t>
            </w:r>
          </w:p>
        </w:tc>
        <w:tc>
          <w:tcPr>
            <w:tcW w:w="6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Dissolution, Liquidation, Merger or Other Corporate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Adjustments</w:t>
      </w:r>
      <w:r>
        <w:rPr>
          <w:rFonts w:ascii="Times New Roman" w:hAnsi="Times New Roman"/>
          <w:sz w:val="20"/>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Dissolution or Liquidation</w:t>
      </w:r>
      <w:r>
        <w:rPr>
          <w:rFonts w:ascii="Times New Roman" w:hAnsi="Times New Roman"/>
          <w:sz w:val="20"/>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Merger or Other Corporate Transaction</w:t>
      </w:r>
      <w:r>
        <w:rPr>
          <w:rFonts w:ascii="Times New Roman" w:hAnsi="Times New Roman"/>
          <w:sz w:val="20"/>
        </w:rPr>
        <w:t xml:space="preserve">. In the event of a merger, sale, or other similar corporate transaction involving the Company, each outstanding option will be assumed or an equivalent option substituted by the successor corporation or a Parent or Subsidiary of the successor corporation. If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335"/>
        <w:gridCol w:w="2465"/>
      </w:tblGrid>
      <w:tr>
        <w:trPr/>
        <w:tc>
          <w:tcPr>
            <w:tcW w:w="335" w:type="dxa"/>
            <w:tcBorders/>
            <w:vAlign w:val="center"/>
          </w:tcPr>
          <w:p>
            <w:pPr>
              <w:pStyle w:val="TableContents"/>
              <w:bidi w:val="0"/>
              <w:spacing w:before="0" w:after="283"/>
              <w:jc w:val="left"/>
              <w:rPr>
                <w:b/>
              </w:rPr>
            </w:pPr>
            <w:r>
              <w:rPr>
                <w:b/>
              </w:rPr>
              <w:t>19.</w:t>
            </w:r>
          </w:p>
        </w:tc>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or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hAnsi="Times New Roman"/>
          <w:sz w:val="20"/>
          <w:u w:val="single"/>
        </w:rPr>
        <w:t>Section 18</w:t>
      </w:r>
      <w:r>
        <w:rPr>
          <w:rFonts w:ascii="Times New Roman" w:hAnsi="Times New Roman"/>
          <w:sz w:val="20"/>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hAnsi="Times New Roman"/>
          <w:sz w:val="20"/>
          <w:u w:val="single"/>
        </w:rPr>
        <w:t>Section 12</w:t>
      </w:r>
      <w:r>
        <w:rPr>
          <w:rFonts w:ascii="Times New Roman" w:hAnsi="Times New Roman"/>
          <w:sz w:val="20"/>
        </w:rPr>
        <w:t xml:space="preserve">) as soon as administratively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limiting </w:t>
      </w:r>
      <w:r>
        <w:rPr>
          <w:rFonts w:ascii="Times New Roman" w:hAnsi="Times New Roman"/>
          <w:sz w:val="20"/>
          <w:u w:val="single"/>
        </w:rPr>
        <w:t>Section 19(a)</w:t>
      </w:r>
      <w:r>
        <w:rPr>
          <w:rFonts w:ascii="Times New Roman" w:hAnsi="Times New Roman"/>
          <w:sz w:val="20"/>
        </w:rPr>
        <w:t xml:space="preserve">,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 </w:t>
      </w:r>
    </w:p>
    <w:p>
      <w:pPr>
        <w:pStyle w:val="TextBody"/>
        <w:bidi w:val="0"/>
        <w:spacing w:before="120" w:after="0"/>
        <w:jc w:val="left"/>
        <w:rPr>
          <w:rFonts w:ascii="Times New Roman" w:hAnsi="Times New Roman"/>
          <w:sz w:val="20"/>
        </w:rPr>
      </w:pPr>
      <w:r>
        <w:rPr>
          <w:rFonts w:ascii="Times New Roman" w:hAnsi="Times New Roman"/>
          <w:sz w:val="20"/>
        </w:rPr>
        <w:t xml:space="preserve">(i) amending the Plan to conform with the safe harbor definition under the Financial Accounting Standards Board Accounting Standards Codification Topic 718 (or any successor thereto), including with respect to an Offering Period underway at the time; </w:t>
      </w:r>
    </w:p>
    <w:p>
      <w:pPr>
        <w:pStyle w:val="TextBody"/>
        <w:bidi w:val="0"/>
        <w:spacing w:before="120" w:after="0"/>
        <w:jc w:val="left"/>
        <w:rPr>
          <w:rFonts w:ascii="Times New Roman" w:hAnsi="Times New Roman"/>
          <w:sz w:val="20"/>
        </w:rPr>
      </w:pPr>
      <w:r>
        <w:rPr>
          <w:rFonts w:ascii="Times New Roman" w:hAnsi="Times New Roman"/>
          <w:sz w:val="20"/>
        </w:rPr>
        <w:t xml:space="preserve">(ii) altering the Purchase Price for any Offering Period or Purchase Period including an Offering Period or Purchase Period underway at the time of the change in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shortening any Offering Period or Purchase Period by setting a New Exercise Date, including an Offering Period or Purchase Period underway at the time of the Administrator action; </w:t>
      </w:r>
    </w:p>
    <w:p>
      <w:pPr>
        <w:pStyle w:val="TextBody"/>
        <w:bidi w:val="0"/>
        <w:spacing w:before="120" w:after="0"/>
        <w:jc w:val="left"/>
        <w:rPr>
          <w:rFonts w:ascii="Times New Roman" w:hAnsi="Times New Roman"/>
          <w:sz w:val="20"/>
        </w:rPr>
      </w:pPr>
      <w:r>
        <w:rPr>
          <w:rFonts w:ascii="Times New Roman" w:hAnsi="Times New Roman"/>
          <w:sz w:val="20"/>
        </w:rPr>
        <w:t xml:space="preserve">(iv) reducing the maximum percentage of Compensation a Participant may elect to set aside as Contributions;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 reducing the maximum number of shares of Common Stock a Participant may purchase during any Offering Period or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Such modifications or amendments will not require stockholder approval or the consent of any Participants.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335"/>
        <w:gridCol w:w="695"/>
      </w:tblGrid>
      <w:tr>
        <w:trPr/>
        <w:tc>
          <w:tcPr>
            <w:tcW w:w="335" w:type="dxa"/>
            <w:tcBorders/>
            <w:vAlign w:val="center"/>
          </w:tcPr>
          <w:p>
            <w:pPr>
              <w:pStyle w:val="TableContents"/>
              <w:bidi w:val="0"/>
              <w:spacing w:before="0" w:after="283"/>
              <w:jc w:val="left"/>
              <w:rPr>
                <w:b/>
              </w:rPr>
            </w:pPr>
            <w:r>
              <w:rPr>
                <w:b/>
              </w:rPr>
              <w:t>20.</w:t>
            </w:r>
          </w:p>
        </w:tc>
        <w:tc>
          <w:tcPr>
            <w:tcW w:w="6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b/>
              </w:rPr>
            </w:pPr>
            <w:r>
              <w:rPr>
                <w:b/>
              </w:rPr>
              <w:t>21.</w:t>
            </w:r>
          </w:p>
        </w:tc>
        <w:tc>
          <w:tcPr>
            <w:tcW w:w="3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Upon Issuance of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Shares of Common Stock will not be issued with respect to an option unless the exercise of such option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35"/>
        <w:gridCol w:w="1205"/>
      </w:tblGrid>
      <w:tr>
        <w:trPr/>
        <w:tc>
          <w:tcPr>
            <w:tcW w:w="335" w:type="dxa"/>
            <w:tcBorders/>
            <w:vAlign w:val="center"/>
          </w:tcPr>
          <w:p>
            <w:pPr>
              <w:pStyle w:val="TableContents"/>
              <w:bidi w:val="0"/>
              <w:spacing w:before="0" w:after="283"/>
              <w:jc w:val="left"/>
              <w:rPr>
                <w:b/>
              </w:rPr>
            </w:pPr>
            <w:r>
              <w:rPr>
                <w:b/>
              </w:rPr>
              <w:t>22.</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 of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It will continue in effect until terminated pursuant to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b/>
              </w:rPr>
            </w:pPr>
            <w:r>
              <w:rPr>
                <w:b/>
              </w:rPr>
              <w:t>23.</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 subject to approval by the stockholders of the Company within 12 months after the date the Plan is adopted by the Board. Such stockholder approval will be obtained in the manner and to the degree required under Applicable Laws. </w:t>
      </w:r>
    </w:p>
    <w:p>
      <w:pPr>
        <w:pStyle w:val="TextBody"/>
        <w:bidi w:val="0"/>
        <w:spacing w:before="0" w:after="0"/>
        <w:jc w:val="left"/>
        <w:rPr/>
      </w:pPr>
      <w:r>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b/>
              </w:rPr>
            </w:pPr>
            <w:r>
              <w:rPr>
                <w:b/>
              </w:rPr>
              <w:t>24.</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any agreements or other documents hereunder shall be interpreted and construed in accordance with the laws of the State of Massachusetts (without regard to its choice of law provisions). Any reference in this Plan or in any agreements or other documents hereunder to a provision of law or to a rule or regulation shall be deemed to include any successor law, rule, or regulation of similar effect or applicability.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335"/>
        <w:gridCol w:w="1115"/>
      </w:tblGrid>
      <w:tr>
        <w:trPr/>
        <w:tc>
          <w:tcPr>
            <w:tcW w:w="335" w:type="dxa"/>
            <w:tcBorders/>
            <w:vAlign w:val="center"/>
          </w:tcPr>
          <w:p>
            <w:pPr>
              <w:pStyle w:val="TableContents"/>
              <w:bidi w:val="0"/>
              <w:spacing w:before="0" w:after="283"/>
              <w:jc w:val="left"/>
              <w:rPr>
                <w:b/>
              </w:rPr>
            </w:pPr>
            <w:r>
              <w:rPr>
                <w:b/>
              </w:rPr>
              <w:t>25.</w:t>
            </w:r>
          </w:p>
        </w:tc>
        <w:tc>
          <w:tcPr>
            <w:tcW w:w="11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b/>
              </w:rPr>
            </w:pPr>
            <w:r>
              <w:rPr>
                <w:b/>
              </w:rPr>
              <w:t>26.</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3950"/>
        <w:gridCol w:w="120"/>
        <w:gridCol w:w="2675"/>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_____ Original Application</w:t>
            </w:r>
          </w:p>
        </w:tc>
        <w:tc>
          <w:tcPr>
            <w:tcW w:w="1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xml:space="preserve">Offering Date: </w:t>
            </w:r>
            <w:r>
              <w:rPr>
                <w:u w:val="single"/>
              </w:rPr>
              <w:t>     </w:t>
            </w:r>
          </w:p>
        </w:tc>
      </w:tr>
      <w:tr>
        <w:trPr/>
        <w:tc>
          <w:tcPr>
            <w:tcW w:w="3950" w:type="dxa"/>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_____ Change in Payroll Deduction Rate</w:t>
            </w:r>
          </w:p>
        </w:tc>
        <w:tc>
          <w:tcPr>
            <w:tcW w:w="1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1.           hereby elects to participate in the Korsana Biosciences, Inc. 2026 Employee Stock Purchase Plan (the “</w:t>
      </w:r>
      <w:r>
        <w:rPr>
          <w:rFonts w:ascii="Times New Roman" w:hAnsi="Times New Roman"/>
          <w:b/>
          <w:i/>
          <w:sz w:val="20"/>
        </w:rPr>
        <w:t>Plan</w:t>
      </w:r>
      <w:r>
        <w:rPr>
          <w:rFonts w:ascii="Times New Roman" w:hAnsi="Times New Roman"/>
          <w:sz w:val="20"/>
        </w:rPr>
        <w:t xml:space="preserve">”) and subscribes to purchase shares of the Company’s Common Stock in accordance with this Subscription Agreement and the Plan. Capitalized terms used but not defined in this Subscription Agreement have the meanings provided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2. I hereby authorize payroll deductions from each paycheck in the amount of   % of my Compensation on each payday (from 1% to 15%) during the Offering Period in accordance with the Plan, commencing with the next Offering Period; </w:t>
      </w:r>
      <w:r>
        <w:rPr>
          <w:rFonts w:ascii="Times New Roman" w:hAnsi="Times New Roman"/>
          <w:i/>
          <w:sz w:val="20"/>
        </w:rPr>
        <w:t>provided, however</w:t>
      </w:r>
      <w:r>
        <w:rPr>
          <w:rFonts w:ascii="Times New Roman" w:hAnsi="Times New Roman"/>
          <w:sz w:val="20"/>
        </w:rPr>
        <w:t xml:space="preserve">, that, in no event may more than $25,000 of Common Stock be purchased under the Plan in any calendar year. (Please note that no fractional percentages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3. I understand that the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 I have received a copy of the complete Plan and its accompanying prospectus. I understand that my participation in the Plan is in all respects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5. Shares of Common Stock purchased for me under the Plan should be issued in the name(s) of           (Eligible Employee or Eligible Employee and Spouse only). </w:t>
      </w:r>
    </w:p>
    <w:p>
      <w:pPr>
        <w:pStyle w:val="TextBody"/>
        <w:bidi w:val="0"/>
        <w:spacing w:before="240" w:after="0"/>
        <w:jc w:val="left"/>
        <w:rPr>
          <w:rFonts w:ascii="Times New Roman" w:hAnsi="Times New Roman"/>
          <w:sz w:val="20"/>
        </w:rPr>
      </w:pPr>
      <w:r>
        <w:rPr>
          <w:rFonts w:ascii="Times New Roman" w:hAnsi="Times New Roman"/>
          <w:sz w:val="20"/>
        </w:rPr>
        <w:t xml:space="preserve">6. I understand that if I dispose of any shares received by me pursuant to the Plan within two years after the Offering Date (the first day of the Offering Period during which I purchased such shares) or one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holding period,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 </w:t>
      </w:r>
    </w:p>
    <w:p>
      <w:pPr>
        <w:pStyle w:val="TextBody"/>
        <w:bidi w:val="0"/>
        <w:spacing w:before="240" w:after="0"/>
        <w:jc w:val="left"/>
        <w:rPr>
          <w:rFonts w:ascii="Times New Roman" w:hAnsi="Times New Roman"/>
          <w:sz w:val="20"/>
        </w:rPr>
      </w:pPr>
      <w:r>
        <w:rPr>
          <w:rFonts w:ascii="Times New Roman" w:hAnsi="Times New Roman"/>
          <w:sz w:val="20"/>
        </w:rPr>
        <w:t xml:space="preserve">7. I hereby agree to be bound by the terms of the Plan. The effectiveness of this Subscription Agreement is dependent upon my eligibility to participate in the Plan. </w:t>
      </w:r>
    </w:p>
    <w:p>
      <w:pPr>
        <w:pStyle w:val="TextBody"/>
        <w:bidi w:val="0"/>
        <w:spacing w:before="0" w:after="0"/>
        <w:jc w:val="left"/>
        <w:rPr/>
      </w:pPr>
      <w:r>
        <w:rPr/>
        <w:t> </w:t>
      </w:r>
    </w:p>
    <w:tbl>
      <w:tblPr>
        <w:tblW w:w="2615" w:type="dxa"/>
        <w:jc w:val="left"/>
        <w:tblInd w:w="0" w:type="dxa"/>
        <w:tblLayout w:type="fixed"/>
        <w:tblCellMar>
          <w:top w:w="0" w:type="dxa"/>
          <w:left w:w="0" w:type="dxa"/>
          <w:bottom w:w="0" w:type="dxa"/>
          <w:right w:w="0" w:type="dxa"/>
        </w:tblCellMar>
      </w:tblPr>
      <w:tblGrid>
        <w:gridCol w:w="2480"/>
        <w:gridCol w:w="60"/>
        <w:gridCol w:w="7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Social Security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Employee’s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UNDERSTAND THAT THIS SUBSCRIPTION AGREEMENT WILL REMAIN IN EFFECT THROUGHOUT SUCCESSIVE OFFERING PERIODS UNLESS TERMINATED BY ME. </w:t>
      </w:r>
    </w:p>
    <w:p>
      <w:pPr>
        <w:pStyle w:val="TextBody"/>
        <w:bidi w:val="0"/>
        <w:spacing w:before="0" w:after="0"/>
        <w:jc w:val="left"/>
        <w:rPr/>
      </w:pPr>
      <w:r>
        <w:rPr/>
        <w:t> </w:t>
      </w:r>
    </w:p>
    <w:tbl>
      <w:tblPr>
        <w:tblW w:w="883" w:type="dxa"/>
        <w:jc w:val="left"/>
        <w:tblInd w:w="0" w:type="dxa"/>
        <w:tblLayout w:type="fixed"/>
        <w:tblCellMar>
          <w:top w:w="0" w:type="dxa"/>
          <w:left w:w="0" w:type="dxa"/>
          <w:bottom w:w="0" w:type="dxa"/>
          <w:right w:w="0" w:type="dxa"/>
        </w:tblCellMar>
      </w:tblPr>
      <w:tblGrid>
        <w:gridCol w:w="75"/>
        <w:gridCol w:w="60"/>
        <w:gridCol w:w="23"/>
        <w:gridCol w:w="60"/>
        <w:gridCol w:w="53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KORSANA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WITHDRAWAL </w:t>
      </w:r>
    </w:p>
    <w:p>
      <w:pPr>
        <w:pStyle w:val="TextBody"/>
        <w:bidi w:val="0"/>
        <w:spacing w:before="240" w:after="0"/>
        <w:jc w:val="left"/>
        <w:rPr>
          <w:rFonts w:ascii="Times New Roman" w:hAnsi="Times New Roman"/>
          <w:sz w:val="20"/>
        </w:rPr>
      </w:pPr>
      <w:r>
        <w:rPr>
          <w:rFonts w:ascii="Times New Roman" w:hAnsi="Times New Roman"/>
          <w:sz w:val="20"/>
        </w:rPr>
        <w:t>The undersigned Participant in the Offering Period of the Korsana Biosciences, Inc. 2026 Employee Stock Purchase Plan that began on      ,     (the “</w:t>
      </w:r>
      <w:r>
        <w:rPr>
          <w:rFonts w:ascii="Times New Roman" w:hAnsi="Times New Roman"/>
          <w:b/>
          <w:i/>
          <w:sz w:val="20"/>
        </w:rPr>
        <w:t>Offering Date</w:t>
      </w:r>
      <w:r>
        <w:rPr>
          <w:rFonts w:ascii="Times New Roman" w:hAnsi="Times New Roman"/>
          <w:sz w:val="20"/>
        </w:rPr>
        <w:t xml:space="preserve">”) hereby notifies the Company that he or she hereby withdraws from the Offering Period. He or she hereby directs the Company to pay to the undersigned as soon as reasonably practicable all the payroll deductions credited to his or her notional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w:t>
      </w:r>
    </w:p>
    <w:p>
      <w:pPr>
        <w:pStyle w:val="TextBody"/>
        <w:bidi w:val="0"/>
        <w:spacing w:before="0" w:after="0"/>
        <w:jc w:val="left"/>
        <w:rPr/>
      </w:pPr>
      <w:r>
        <w:rPr/>
        <w:t> </w:t>
      </w:r>
    </w:p>
    <w:tbl>
      <w:tblPr>
        <w:tblW w:w="1940" w:type="dxa"/>
        <w:jc w:val="left"/>
        <w:tblInd w:w="0" w:type="dxa"/>
        <w:tblLayout w:type="fixed"/>
        <w:tblCellMar>
          <w:top w:w="0" w:type="dxa"/>
          <w:left w:w="0" w:type="dxa"/>
          <w:bottom w:w="0" w:type="dxa"/>
          <w:right w:w="0" w:type="dxa"/>
        </w:tblCellMar>
      </w:tblPr>
      <w:tblGrid>
        <w:gridCol w:w="1805"/>
        <w:gridCol w:w="6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Participant’s Address: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83" w:type="dxa"/>
        <w:jc w:val="left"/>
        <w:tblInd w:w="0" w:type="dxa"/>
        <w:tblLayout w:type="fixed"/>
        <w:tblCellMar>
          <w:top w:w="0" w:type="dxa"/>
          <w:left w:w="0" w:type="dxa"/>
          <w:bottom w:w="0" w:type="dxa"/>
          <w:right w:w="0" w:type="dxa"/>
        </w:tblCellMar>
      </w:tblPr>
      <w:tblGrid>
        <w:gridCol w:w="75"/>
        <w:gridCol w:w="60"/>
        <w:gridCol w:w="23"/>
        <w:gridCol w:w="60"/>
        <w:gridCol w:w="530"/>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Q-14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6" w:name="tx111069_63"/>
      <w:bookmarkEnd w:id="206"/>
      <w:r>
        <w:rPr>
          <w:rFonts w:ascii="Times New Roman" w:hAnsi="Times New Roman"/>
          <w:b/>
          <w:sz w:val="20"/>
        </w:rPr>
        <w:t xml:space="preserve">Annex R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736663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65800" cy="736663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0880" cy="5729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70880" cy="572960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Massachusetts </w:t>
      </w:r>
    </w:p>
    <w:p>
      <w:pPr>
        <w:pStyle w:val="TextBody"/>
        <w:bidi w:val="0"/>
        <w:spacing w:before="120" w:after="0"/>
        <w:jc w:val="left"/>
        <w:rPr>
          <w:rFonts w:ascii="Times New Roman" w:hAnsi="Times New Roman"/>
          <w:sz w:val="20"/>
        </w:rPr>
      </w:pPr>
      <w:r>
        <w:rPr>
          <w:rFonts w:ascii="Times New Roman" w:hAnsi="Times New Roman"/>
          <w:sz w:val="20"/>
        </w:rPr>
        <w:t xml:space="preserve">The Cyclerion Articles provide that the liability of Cyclerion’s directors for damages for any breach of fiduciary duty shall be limited to the fullest extent permitted by law. The Cyclerion Bylaws provide that Cyclerion will indemnify, and advance funds to and reimburse expenses of, Cyclerion’s directors and officers that have been appointed by the Cyclerion Board to the fullest extent permitted by law, and that Cyclerion may indemnify, and advance funds to and reimburse expenses of, such other officers and employees as determined by the Cyclerion Board. The right of indemnification provided under the Cyclerion Bylaws is in addition to and not exclusive of any other rights to which any of Cyclerion’s directors, officers or any other persons may otherwise be lawfully entitled. Cyclerion has also entered into indemnification agreements with our directors and officers, and Cyclerion carries insurance policies insuring its directors and officers against certain liabilities that they may incur in their capacity as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Part 8 of the MBCA authorizes the provisions, described above, that are contained in the Cyclerion Articles and the Cyclerion Bylaws. In addition, Sections 8.30 and 8.42 of the MBCA provide that if an officer or director discharges his or her duties in good faith and with the care that a person in a like position would reasonably exercise under similar circumstances and in a manner the officer or director reasonably believes to be in the best interests of the corporation, he or she will not be liable for such 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w:t>
      </w:r>
    </w:p>
    <w:p>
      <w:pPr>
        <w:pStyle w:val="TextBody"/>
        <w:bidi w:val="0"/>
        <w:spacing w:before="120" w:after="0"/>
        <w:jc w:val="left"/>
        <w:rPr>
          <w:rFonts w:ascii="Times New Roman" w:hAnsi="Times New Roman"/>
          <w:sz w:val="20"/>
        </w:rPr>
      </w:pPr>
      <w:r>
        <w:rPr>
          <w:rFonts w:ascii="Times New Roman" w:hAnsi="Times New Roman"/>
          <w:sz w:val="20"/>
        </w:rPr>
        <w:t xml:space="preserve">Korsana is a corporation under the DGCL. Section 145(a) of the DGCL provides that a corporation may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The Korsana Charter contains provisions that limit or eliminate the personal liability of Korsana’s directors or officers to the fullest extent permitted by the DGCL, as it now exists or may in the future be amended. These limitations of liability do not alter director or officer liability under the federal securities laws and do not affect the availability of equitable remedies such as an injunction or rescission. In addition, the Korsana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indemnify its directors and officers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Korsana will advance expenses, including attorneys’ fees, to its directors and officers in connection with legal proceedings relating to their service for or on behalf of Korsana,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Korsana has entered into indemnification agreements with its directors and executive officers. These agreements provide that Korsana will indemnify each of its directors and executive officers to the fullest extent permitted by Delaware law. Korsana will advance expenses, including attorneys’ fees (but excluding judgments, fines, and settlement amounts), to each indemnified director or executive officer in connection with any proceeding in which indemnification is available and Korsana will indemnify its directors and officers for any action or proceeding arising out of that person’s services as a director or officer brought on behalf of Korsana or in furtherance of Korsana’s rights. Additionally, certain of Korsana’s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Korsana has agreed in the indemnification agreements that Korsana’s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Korsana also intends to maintain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left"/>
              <w:rPr/>
            </w:pPr>
            <w:r>
              <w:rPr/>
              <w:t>(a)</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 Index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305"/>
        <w:gridCol w:w="1775"/>
      </w:tblGrid>
      <w:tr>
        <w:trPr/>
        <w:tc>
          <w:tcPr>
            <w:tcW w:w="305" w:type="dxa"/>
            <w:tcBorders/>
            <w:vAlign w:val="center"/>
          </w:tcPr>
          <w:p>
            <w:pPr>
              <w:pStyle w:val="TableContents"/>
              <w:bidi w:val="0"/>
              <w:spacing w:before="0" w:after="283"/>
              <w:jc w:val="left"/>
              <w:rPr/>
            </w:pPr>
            <w:r>
              <w:rPr/>
              <w:t>(b)</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left"/>
              <w:rPr/>
            </w:pPr>
            <w:r>
              <w:rPr/>
              <w:t>(a)</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undertakes that every prospectus: (i) that is filed pursuant to paragraph (a)(5)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(6)</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(7)</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ii111069_1a">
              <w:r>
                <w:rPr>
                  <w:rStyle w:val="InternetLink"/>
                </w:rPr>
                <w:t>Agreement and Plan of Merger and Reorganization, dated as of April 1, 2026, by and among Cyclerion Therapeutics, Inc., Cariboos Merger Sub Corp., Cariboos Merger Sub II, LLC, and Korsana Biosciences, Inc. (included in Annex A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ii111069_1aa">
              <w:r>
                <w:rPr>
                  <w:rStyle w:val="InternetLink"/>
                </w:rPr>
                <w:t>Amendment No. 1 to Agreement and Plan of Merger and Reorganization, dated as of April 17, 2026, by and among Cyclerion Therapeutics, Inc., Cariboos Merger Sub Corp., Cariboos Merger Sub II, LLC, and Korsana Biosciences, Inc. (included in Annex A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4">
              <w:r>
                <w:rPr>
                  <w:rStyle w:val="InternetLink"/>
                </w:rPr>
                <w:t xml:space="preserve">Restated Articles of Organization of Cyclerion Therapeutics, Inc. (incorporated herein by reference to Exhibit 4.1 to Registration Statement on Form S-8 filed on March 29, 2019 (File No. 333-230615)).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5">
              <w:r>
                <w:rPr>
                  <w:rStyle w:val="InternetLink"/>
                </w:rPr>
                <w:t>Articles of Amendment to Amended and Restated Articles of Incorporation dated May 15, 2023 (incorporated by reference to Exhibit 3.1 to Current Report on Form 8-K filed on May 15, 2023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Articles of Amendment to Amended and Restated Articles of Incorporation dated May 19, 2023 (incorporated by reference to Exhibit 3.1 to Current Report on Form 8-K filed on May 25, 2023 (File No. 001 - 38787)).</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7">
              <w:r>
                <w:rPr>
                  <w:rStyle w:val="InternetLink"/>
                </w:rPr>
                <w:t>Amended and Restated Bylaws of Cyclerion Therapeutics, Inc. (incorporated by reference to Exhibit 4.2 to Registration Statement on Form S-8 filed on March 29, 2019 (File No. 333-230615)).</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8">
              <w:r>
                <w:rPr>
                  <w:rStyle w:val="InternetLink"/>
                </w:rPr>
                <w:t xml:space="preserve">Second Amended and Restated Certificate of Incorporation of Korsana Biosciences, Inc. (incorporated by reference to Exhibit 3.5 to Registration Statement on Form S-4 filed on April 20,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9">
              <w:r>
                <w:rPr>
                  <w:rStyle w:val="InternetLink"/>
                </w:rPr>
                <w:t xml:space="preserve">Certificate of Amendment to Second Amended and Restated Certificate of Incorporation of Korsana Biosciences, Inc. (incorporated by reference to Exhibit 3.6 to Registration Statement on Form S-4/A filed on July 9,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0">
              <w:r>
                <w:rPr>
                  <w:rStyle w:val="InternetLink"/>
                </w:rPr>
                <w:t xml:space="preserve">Bylaws of Korsana Biosciences, Inc. (incorporated by reference to Exhibit 3.6 to Registration Statement on Form S-4 filed on April 20,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1">
              <w:r>
                <w:rPr>
                  <w:rStyle w:val="InternetLink"/>
                </w:rPr>
                <w:t xml:space="preserve">Description of Securities Registered pursuant to Section 12 of the Securities Exchange Act of 1934, as amended (incorporated by reference to Exhibit 4.1 to Annual Report on Form 10-K filed on March 30, 2026 (File No. 001-38787)).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2">
              <w:r>
                <w:rPr>
                  <w:rStyle w:val="InternetLink"/>
                </w:rPr>
                <w:t xml:space="preserve">Form of Korsana Pre-Funded Warrant (incorporated by reference to Exhibit 4.2 to Registration Statement on Form S-4 filed on April 20,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3">
              <w:r>
                <w:rPr>
                  <w:rStyle w:val="InternetLink"/>
                </w:rPr>
                <w:t xml:space="preserve">Opinion of Ropes &amp; Gray LLP. (incorporated by reference to Exhibit 5.1 to Registration Statement on Form S-4/A filed on July 9,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4">
              <w:r>
                <w:rPr>
                  <w:rStyle w:val="InternetLink"/>
                </w:rPr>
                <w:t xml:space="preserve">Tax Opinion of Gibson, Dunn &amp; Crutcher LLP (incorporated by reference to Exhibit 8.1 to Registration Statement on Form S-4/A filed on July 9, 2026 (File No. 333-295175)).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anxc">
              <w:r>
                <w:rPr>
                  <w:rStyle w:val="InternetLink"/>
                </w:rPr>
                <w:t xml:space="preserve">Form of Cyclerion Support Agreement (included in Annex C to the proxy statement/prospectus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anxd">
              <w:r>
                <w:rPr>
                  <w:rStyle w:val="InternetLink"/>
                </w:rPr>
                <w:t>Form of Korsana Support Agreement (included in Annex D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5">
              <w:r>
                <w:rPr>
                  <w:rStyle w:val="InternetLink"/>
                </w:rPr>
                <w:t xml:space="preserve">Form of Securities Purchase Agreement (incorporated by reference to Exhibit 10.3 to Current Report on Form 8-K filed on April 1, 2026) (File No. 001-38787)).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6">
              <w:r>
                <w:rPr>
                  <w:rStyle w:val="InternetLink"/>
                </w:rPr>
                <w:t>Form of Registration Rights Agreement (incorporated by reference to Exhibit 10.4 to Current Report on Form 8-K filed on April 1, 2026)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anxe">
              <w:r>
                <w:rPr>
                  <w:rStyle w:val="InternetLink"/>
                </w:rPr>
                <w:t>Form of Lock-Up Agreement (included in Annex E to the proxy statement/prospectus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7">
              <w:r>
                <w:rPr>
                  <w:rStyle w:val="InternetLink"/>
                </w:rPr>
                <w:t>Form of Stock Option Agreement under the Cyclerion Therapeutics, Inc. 2019 Equity Incentive Plan (incorporated by reference to Exhibit 10.10 to Form 10 filed on March 4, 2019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8">
              <w:r>
                <w:rPr>
                  <w:rStyle w:val="InternetLink"/>
                </w:rPr>
                <w:t>Form of Non-Employee Director Restricted Stock Agreement under the Cyclerion Therapeutics, Inc. 2019 Equity Incentive Plan (incorporated by reference to Exhibit 10.11 to Form 10 filed on March 4, 2019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9">
              <w:r>
                <w:rPr>
                  <w:rStyle w:val="InternetLink"/>
                </w:rPr>
                <w:t>Form of Restricted Stock Unit Agreement under the Cyclerion Therapeutics, Inc. 2019 Equity Incentive Plan (incorporated by reference to Exhibit 10.12 to Form 10 filed on March 4, 2019 (File No. 001-38787)).</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0">
              <w:r>
                <w:rPr>
                  <w:rStyle w:val="InternetLink"/>
                </w:rPr>
                <w:t>Cyclerion Therapeutics, Inc. Amended and Restated 2010 Employee, Director and Consultant Equity Incentive Plan and forms of agreement thereunder (incorporated by reference to Exhibit 4.5 to Registration Statement on Form S-8 filed on March 29, 2019 (File No. 333-230615)).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3"/>
        <w:gridCol w:w="120"/>
        <w:gridCol w:w="9182"/>
      </w:tblGrid>
      <w:tr>
        <w:trPr/>
        <w:tc>
          <w:tcPr>
            <w:tcW w:w="9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2" w:type="dxa"/>
            <w:tcBorders/>
            <w:vAlign w:val="center"/>
          </w:tcPr>
          <w:p>
            <w:pPr>
              <w:pStyle w:val="TableContents"/>
              <w:bidi w:val="0"/>
              <w:spacing w:before="0" w:after="283"/>
              <w:jc w:val="left"/>
              <w:rPr>
                <w:sz w:val="4"/>
                <w:szCs w:val="4"/>
              </w:rPr>
            </w:pPr>
            <w:r>
              <w:rPr>
                <w:sz w:val="4"/>
                <w:szCs w:val="4"/>
              </w:rPr>
            </w:r>
          </w:p>
        </w:tc>
      </w:tr>
      <w:tr>
        <w:trPr/>
        <w:tc>
          <w:tcPr>
            <w:tcW w:w="903"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1">
              <w:r>
                <w:rPr>
                  <w:rStyle w:val="InternetLink"/>
                </w:rPr>
                <w:t>License Agreement, dated as of June 3, 2021, by and between Cyclerion Therapeutics, Inc. and Akebia Therapeutics, Inc (incorporated by reference to Exhibit 10.2 to Quarterly Report on Form 10-Q filed on July 29, 2021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2">
              <w:r>
                <w:rPr>
                  <w:rStyle w:val="InternetLink"/>
                </w:rPr>
                <w:t xml:space="preserve">Amendment #1 to License Agreement by and between the Company and Akebia Therapeutics, Inc. dated December 13, 2024 (incorporated by reference to Exhibit 10.1 to Current Report on Form 8-K filed on December 17, 2024 (File No. 001-38787)).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3">
              <w:r>
                <w:rPr>
                  <w:rStyle w:val="InternetLink"/>
                </w:rPr>
                <w:t>Common Stock Purchase Agreement, dated as of June 3, 2021, by and between Cyclerion Therapeutics, Inc. and the Investors named therein (incorporated by reference to Exhibit 10.1 to Registration Statement on Form S-3 filed on June 16, 2021 (File No. 333-257145)).</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4">
              <w:r>
                <w:rPr>
                  <w:rStyle w:val="InternetLink"/>
                </w:rPr>
                <w:t>Patent License Agreement, dated as of September 19, 2025, by and between Cyclerion Therapeutics, Inc. and Massachusetts Institute of Technology (incorporated by reference to Exhibit 10.1 to Quarterly Report on Form 10-Q filed on November 12, 2025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5">
              <w:r>
                <w:rPr>
                  <w:rStyle w:val="InternetLink"/>
                </w:rPr>
                <w:t>Amended and Restated Offer Letter to Regina Graul (incorporated by reference to Exhibit 10.7 to Current Report on Form 8-K filed on April 1, 2026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6">
              <w:r>
                <w:rPr>
                  <w:rStyle w:val="InternetLink"/>
                </w:rPr>
                <w:t>Consulting Agreement with Rhonda Chicko dated August 4, 2025 (incorporated by reference to Exhibit 10.1 to Quarterly Report on Form 10-Q filed on August 5, 2025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7">
              <w:r>
                <w:rPr>
                  <w:rStyle w:val="InternetLink"/>
                </w:rPr>
                <w:t>Collaboration and Option Agreement, dated as of January 3, 2026, by and between Cyclerion Therapeutics, Inc. and Medsteer, SAS (incorporated by reference to Exhibit 10.14 to Annual Report on Form 10-K filed on March 30, 2026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8">
              <w:r>
                <w:rPr>
                  <w:rStyle w:val="InternetLink"/>
                </w:rPr>
                <w:t>Sales Agreement by and between Cyclerion Therapeutics, Inc. and Guggenheim Securities, LLC, dated May 7, 2025. (incorporated by reference to Exhibit 1.1 to Current Report on Form 8-K filed on May 7, 2025 (File No. 001-38787)).</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59">
              <w:r>
                <w:rPr>
                  <w:rStyle w:val="InternetLink"/>
                </w:rPr>
                <w:t>Registration Rights Agreement, dated March 21, 2025, by and among Cyclerion Therapeutics, Inc. and the investors party thereto (incorporated by reference to Exhibit 10.2 to Current Report on Form 8-K filed on March 25, 2025 (File No. 001-38787)</w:t>
              </w:r>
            </w:hyperlink>
            <w:r>
              <w:rPr/>
              <w:t>).</w:t>
            </w:r>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0">
              <w:r>
                <w:rPr>
                  <w:rStyle w:val="InternetLink"/>
                </w:rPr>
                <w:t xml:space="preserve">Korsana Biosciences, Inc. 2025 Equity Incentive Plan (incorporated by reference to Exhibit 10.19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1">
              <w:r>
                <w:rPr>
                  <w:rStyle w:val="InternetLink"/>
                </w:rPr>
                <w:t xml:space="preserve">First Amendment to Korsana Biosciences, Inc. 2025 Equity Incentive Plan (incorporated by reference to Exhibit 10.20 to Registration Statement on Form S-4/A filed on July 9,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2">
              <w:r>
                <w:rPr>
                  <w:rStyle w:val="InternetLink"/>
                </w:rPr>
                <w:t xml:space="preserve">Form of Restricted Stock Purchase Agreement of Korsana Biosciences, Inc. (incorporated by reference to Exhibit 10.20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3">
              <w:r>
                <w:rPr>
                  <w:rStyle w:val="InternetLink"/>
                </w:rPr>
                <w:t xml:space="preserve">Form of Stock Option Agreement under Korsana Biosciences, Inc. 2025 Equity Incentive Plan (incorporated by reference to Exhibit 10.21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4">
              <w:r>
                <w:rPr>
                  <w:rStyle w:val="InternetLink"/>
                </w:rPr>
                <w:t xml:space="preserve">Form of Indemnification Agreement between Korsana Biosciences, Inc. and its directors and officers (incorporated by reference to Exhibit 10.22 to Registration Statement on Form S-4 filed on April 20, 2026 (File No. 333-295175)). </w:t>
              </w:r>
            </w:hyperlink>
          </w:p>
        </w:tc>
      </w:tr>
      <w:tr>
        <w:trPr/>
        <w:tc>
          <w:tcPr>
            <w:tcW w:w="903" w:type="dxa"/>
            <w:tcBorders/>
            <w:vAlign w:val="center"/>
          </w:tcPr>
          <w:p>
            <w:pPr>
              <w:pStyle w:val="TableContents"/>
              <w:bidi w:val="0"/>
              <w:spacing w:before="0" w:after="283"/>
              <w:jc w:val="left"/>
              <w:rPr>
                <w:sz w:val="4"/>
                <w:szCs w:val="4"/>
              </w:rPr>
            </w:pPr>
            <w:r>
              <w:rPr>
                <w:sz w:val="4"/>
                <w:szCs w:val="4"/>
              </w:rPr>
            </w:r>
          </w:p>
        </w:tc>
        <w:tc>
          <w:tcPr>
            <w:tcW w:w="9302" w:type="dxa"/>
            <w:gridSpan w:val="2"/>
            <w:tcBorders/>
            <w:vAlign w:val="center"/>
          </w:tcPr>
          <w:p>
            <w:pPr>
              <w:pStyle w:val="TableContents"/>
              <w:bidi w:val="0"/>
              <w:spacing w:before="0" w:after="283"/>
              <w:jc w:val="left"/>
              <w:rPr>
                <w:sz w:val="4"/>
                <w:szCs w:val="4"/>
              </w:rPr>
            </w:pPr>
            <w:r>
              <w:rPr>
                <w:sz w:val="4"/>
                <w:szCs w:val="4"/>
              </w:rPr>
            </w:r>
          </w:p>
        </w:tc>
      </w:tr>
      <w:tr>
        <w:trPr/>
        <w:tc>
          <w:tcPr>
            <w:tcW w:w="903"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182" w:type="dxa"/>
            <w:tcBorders/>
            <w:vAlign w:val="center"/>
          </w:tcPr>
          <w:p>
            <w:pPr>
              <w:pStyle w:val="TableContents"/>
              <w:bidi w:val="0"/>
              <w:spacing w:before="0" w:after="283"/>
              <w:jc w:val="left"/>
              <w:rPr/>
            </w:pPr>
            <w:hyperlink r:id="rId65">
              <w:r>
                <w:rPr>
                  <w:rStyle w:val="InternetLink"/>
                </w:rPr>
                <w:t xml:space="preserve">Consulting Agreement, dated August 1, 2025, by and between Korsana Biosciences, Inc. and Jonathan Violin (incorporated by reference to Exhibit 10.23 to Registration Statement on Form S-4 filed on April 20, 2026 (File No. 333-295175)).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35"/>
        <w:gridCol w:w="120"/>
        <w:gridCol w:w="915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50"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66">
              <w:r>
                <w:rPr>
                  <w:rStyle w:val="InternetLink"/>
                </w:rPr>
                <w:t xml:space="preserve">Offer Letter, effective as of January 1, 2026, by and between Korsana Biosciences, Inc. and Jonathan Violin (incorporated by reference to Exhibit 10.24 to Registration Statement on Form S-4 filed on April 20, 2026 (File No. 333-295175)).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67">
              <w:r>
                <w:rPr>
                  <w:rStyle w:val="InternetLink"/>
                </w:rPr>
                <w:t xml:space="preserve">Offer Letter, dated March 5, 2026, by and between Korsana Biosciences, Inc. and Mark Vignola (incorporated by reference to Exhibit 10.25 to Registration Statement on Form S-4 filed on April 20, 2026 (File No. 333-295175)).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68">
              <w:r>
                <w:rPr>
                  <w:rStyle w:val="InternetLink"/>
                </w:rPr>
                <w:t xml:space="preserve">Offer Letter, dated December 15, 2025, by and between Korsana Biosciences, Inc. and Madelyn Zeylikman (incorporated by reference to Exhibit 10.26 to Registration Statement on Form S-4 filed on April 20, 2026 (File No. 333-295175)).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69">
              <w:r>
                <w:rPr>
                  <w:rStyle w:val="InternetLink"/>
                </w:rPr>
                <w:t xml:space="preserve">Offer Letter, dated August 14, 2025, by and between Korsana Biosciences, Inc. and Kyle Breidenstine (incorporated by reference to Exhibit 10.27 to Registration Statement on Form S-4 filed on April 20, 2026 (File No. 333-295175)).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0">
              <w:r>
                <w:rPr>
                  <w:rStyle w:val="InternetLink"/>
                </w:rPr>
                <w:t>Antibody Discovery and Option Agreement, effective as of September 5, 2025, by and among Paragon Therapeutics, Inc., Parasa Holding LLC, and Korsana Biosciences, Inc. (incorporated by reference to Exhibit 10.28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1">
              <w:r>
                <w:rPr>
                  <w:rStyle w:val="InternetLink"/>
                </w:rPr>
                <w:t>Paragon License Agreement, dated June 8, 2026, by and between Paragon Therapeutics, Inc. and Korsana Biosciences, Inc. (incorporated by reference to Exhibit 10.30 to Registration Statement on Form S-4/A filed on July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2">
              <w:r>
                <w:rPr>
                  <w:rStyle w:val="InternetLink"/>
                </w:rPr>
                <w:t>Platform Option Agreement, effective as of October 16, 2025, by and among Paragon, Parasa Holding LLC, and Korsana Biosciences, Inc (incorporated by reference to Exhibit 10.30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3">
              <w:r>
                <w:rPr>
                  <w:rStyle w:val="InternetLink"/>
                </w:rPr>
                <w:t>Paragon Research Letter Agreement, dated April 3, 2026, by and between Paragon Laboratories, Inc. and Korsana Biosciences, Inc. (incorporated by reference to Exhibit 10.31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4">
              <w:r>
                <w:rPr>
                  <w:rStyle w:val="InternetLink"/>
                </w:rPr>
                <w:t>Cell Line License Agreement, effective as of December 2, 2024, by and between Korsana Biosciences, Inc. and WuXi Biologics Ireland Limited. (incorporated by reference to Exhibit 10.32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5">
              <w:r>
                <w:rPr>
                  <w:rStyle w:val="InternetLink"/>
                </w:rPr>
                <w:t>Amendment No. 1 to Cell Line License Agreement, effective as of March 2, 2026, by and between Korsana Biosciences, Inc. and WuXi Biologics Ireland Limited. (incorporated by reference to Exhibit 10.33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10.35†††</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6">
              <w:r>
                <w:rPr>
                  <w:rStyle w:val="InternetLink"/>
                </w:rPr>
                <w:t>Biologics Master Services Agreement, dated as of December 12, 2024, by and between Korsana Biosciences, Inc. and WuXi Biologics (Hong Kong) Limited. (incorporated by reference to Exhibit 10.34 to Registration Statement on Form S-4/A filed on June 9, 2026 (File No. 333-295175)).</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10.36</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r:id="rId77">
              <w:r>
                <w:rPr>
                  <w:rStyle w:val="InternetLink"/>
                </w:rPr>
                <w:t xml:space="preserve">Warrant to Purchase Common Stock, issued on December 31, 2025 by Korsana Biosciences, Inc. to Parasa Holding LLC (incorporated by reference to Exhibit 10.32 to Registration Statement on Form S-4 filed on April 20, 2026 (File No. 333-295175)).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d111069dex231.htm">
              <w:r>
                <w:rPr>
                  <w:rStyle w:val="InternetLink"/>
                </w:rPr>
                <w:t xml:space="preserve">Consent of Ernst &amp; Young LLP, independent registered public accounting firm of Cyclerion Therapeutics, Inc. </w:t>
              </w:r>
            </w:hyperlink>
          </w:p>
        </w:tc>
      </w:tr>
      <w:tr>
        <w:trPr/>
        <w:tc>
          <w:tcPr>
            <w:tcW w:w="935" w:type="dxa"/>
            <w:tcBorders/>
            <w:vAlign w:val="center"/>
          </w:tcPr>
          <w:p>
            <w:pPr>
              <w:pStyle w:val="TableContents"/>
              <w:bidi w:val="0"/>
              <w:spacing w:before="0" w:after="283"/>
              <w:jc w:val="left"/>
              <w:rPr>
                <w:sz w:val="4"/>
                <w:szCs w:val="4"/>
              </w:rPr>
            </w:pPr>
            <w:r>
              <w:rPr>
                <w:sz w:val="4"/>
                <w:szCs w:val="4"/>
              </w:rPr>
            </w:r>
          </w:p>
        </w:tc>
        <w:tc>
          <w:tcPr>
            <w:tcW w:w="92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d111069dex232.htm">
              <w:r>
                <w:rPr>
                  <w:rStyle w:val="InternetLink"/>
                </w:rPr>
                <w:t>Consent of Ernst &amp; Young LLP, independent registered public accounting firm of Korsana Biosciences, Inc.</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10"/>
        <w:gridCol w:w="120"/>
        <w:gridCol w:w="9175"/>
      </w:tblGrid>
      <w:tr>
        <w:trPr/>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5" w:type="dxa"/>
            <w:tcBorders/>
            <w:vAlign w:val="center"/>
          </w:tcPr>
          <w:p>
            <w:pPr>
              <w:pStyle w:val="TableContents"/>
              <w:bidi w:val="0"/>
              <w:spacing w:before="0" w:after="283"/>
              <w:jc w:val="left"/>
              <w:rPr>
                <w:sz w:val="4"/>
                <w:szCs w:val="4"/>
              </w:rPr>
            </w:pPr>
            <w:r>
              <w:rPr>
                <w:sz w:val="4"/>
                <w:szCs w:val="4"/>
              </w:rPr>
            </w:r>
          </w:p>
        </w:tc>
      </w:tr>
      <w:tr>
        <w:trPr/>
        <w:tc>
          <w:tcPr>
            <w:tcW w:w="91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78">
              <w:r>
                <w:rPr>
                  <w:rStyle w:val="InternetLink"/>
                </w:rPr>
                <w:t xml:space="preserve">Consent of Ropes &amp; Gray LLP (included in Exhibit 5.1).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"http://www.sec.gov/Archives/edgar/data/../../../ix?doc=/Archives/edgar/data/1755237/000119312526162177/d111069ds4.htm" \l "ii111069_sig"</w:instrText>
            </w:r>
            <w:r>
              <w:rPr>
                <w:rStyle w:val="InternetLink"/>
              </w:rPr>
              <w:fldChar w:fldCharType="separate"/>
            </w:r>
            <w:r>
              <w:rPr>
                <w:rStyle w:val="InternetLink"/>
              </w:rPr>
              <w:t xml:space="preserve">Power of Attorney (incorporated by reference to Exhibit 24.1 to Registration Statement on Form S-4 filed on April 20, 2026 (File No. 333-295175)). </w:t>
            </w:r>
            <w:r>
              <w:rPr>
                <w:rStyle w:val="InternetLink"/>
              </w:rPr>
              <w:fldChar w:fldCharType="end"/>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79">
              <w:r>
                <w:rPr>
                  <w:rStyle w:val="InternetLink"/>
                </w:rPr>
                <w:t xml:space="preserve">Consent of Jonathan Violin to serve as a director of Cyclerion Therapeutics, Inc., to be renamed Korsana Biosciences, Inc. (incorporated by reference to Exhibit 99.1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0">
              <w:r>
                <w:rPr>
                  <w:rStyle w:val="InternetLink"/>
                </w:rPr>
                <w:t xml:space="preserve">Consent of Tomas Kiselak to serve as a director of Cyclerion Therapeutics, Inc., to be renamed Korsana Biosciences, Inc. (incorporated by reference to Exhibit 99.2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1">
              <w:r>
                <w:rPr>
                  <w:rStyle w:val="InternetLink"/>
                </w:rPr>
                <w:t xml:space="preserve">Consent of Michelle Pernice to serve as a director of Cyclerion Therapeutics, Inc., to be renamed Korsana Biosciences, Inc. (incorporated by reference to Exhibit 99.3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2">
              <w:r>
                <w:rPr>
                  <w:rStyle w:val="InternetLink"/>
                </w:rPr>
                <w:t xml:space="preserve">Consent of Andrew Gottesdiener to serve as a director of Cyclerion Therapeutics, Inc., to be renamed Korsana Biosciences, Inc. (incorporated by reference to Exhibit 99.4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99.5</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3">
              <w:r>
                <w:rPr>
                  <w:rStyle w:val="InternetLink"/>
                </w:rPr>
                <w:t xml:space="preserve">Consent of Nimish Shah to serve as a director of Cyclerion Therapeutics, Inc., to be renamed Korsana Biosciences, Inc. (incorporated by reference to Exhibit 99.5 to Registration Statement on Form S-4 filed on April 20,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99.6</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4">
              <w:r>
                <w:rPr>
                  <w:rStyle w:val="InternetLink"/>
                </w:rPr>
                <w:t xml:space="preserve">Consent of Heidi Henson to serve as a director of Cyclerion Therapeutics, Inc., to be renamed Korsana Biosciences, Inc. (incorporated by reference to Exhibit 99.6 to Registration Statement on Form S-4/A filed on July 9, 2026 (File No. 333-295175)).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 </w:t>
            </w:r>
            <w:r>
              <w:rPr/>
              <w:t>99.7*</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w:anchor="d111069dex997.htm">
              <w:r>
                <w:rPr>
                  <w:rStyle w:val="InternetLink"/>
                </w:rPr>
                <w:t xml:space="preserve">Consent of Gemini Valuation Services, LLC. </w:t>
              </w:r>
            </w:hyperlink>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Instance Document.</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Schema.</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Calculation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Definition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Label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XBRL Taxonomy Extension Presentation Linkbase.</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Cover Page Interactive Data File. Formatted in Inline XBRL and contained in exhibit 101.</w:t>
            </w:r>
          </w:p>
        </w:tc>
      </w:tr>
      <w:tr>
        <w:trPr/>
        <w:tc>
          <w:tcPr>
            <w:tcW w:w="910" w:type="dxa"/>
            <w:tcBorders/>
            <w:vAlign w:val="center"/>
          </w:tcPr>
          <w:p>
            <w:pPr>
              <w:pStyle w:val="TableContents"/>
              <w:bidi w:val="0"/>
              <w:spacing w:before="0" w:after="283"/>
              <w:jc w:val="left"/>
              <w:rPr>
                <w:sz w:val="4"/>
                <w:szCs w:val="4"/>
              </w:rPr>
            </w:pPr>
            <w:r>
              <w:rPr>
                <w:sz w:val="4"/>
                <w:szCs w:val="4"/>
              </w:rPr>
            </w:r>
          </w:p>
        </w:tc>
        <w:tc>
          <w:tcPr>
            <w:tcW w:w="9295"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hyperlink r:id="rId85">
              <w:r>
                <w:rPr>
                  <w:rStyle w:val="InternetLink"/>
                </w:rPr>
                <w:t xml:space="preserve">Filing Fee Table (incorporated by reference to Exhibit 107 to Registration Statement on Form S-4/A filed on July 9, 2026 (File No. 333-295175)). </w:t>
              </w:r>
            </w:hyperlink>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portions of this exhibit (indicated by “[***]”) have been omitted because they are both (i) not material and (ii) customarily and actually treated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7" w:name="ii111069_sig"/>
      <w:bookmarkEnd w:id="20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the requirements for filing on Form S-4 and has duly caused this registration statement to be signed on its behalf by the undersigned, thereunto duly authorized, in the city of Cambridge, Commonwealth of Massachusetts, on July 22, 2026. </w:t>
      </w:r>
    </w:p>
    <w:p>
      <w:pPr>
        <w:pStyle w:val="TextBody"/>
        <w:bidi w:val="0"/>
        <w:spacing w:before="0" w:after="0"/>
        <w:jc w:val="left"/>
        <w:rPr/>
      </w:pPr>
      <w:r>
        <w:rPr/>
        <w:t> </w:t>
      </w:r>
    </w:p>
    <w:tbl>
      <w:tblPr>
        <w:tblW w:w="4173" w:type="dxa"/>
        <w:jc w:val="left"/>
        <w:tblInd w:w="0" w:type="dxa"/>
        <w:tblLayout w:type="fixed"/>
        <w:tblCellMar>
          <w:top w:w="0" w:type="dxa"/>
          <w:left w:w="0" w:type="dxa"/>
          <w:bottom w:w="0" w:type="dxa"/>
          <w:right w:w="0" w:type="dxa"/>
        </w:tblCellMar>
      </w:tblPr>
      <w:tblGrid>
        <w:gridCol w:w="390"/>
        <w:gridCol w:w="61"/>
        <w:gridCol w:w="3722"/>
      </w:tblGrid>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b/>
              </w:rPr>
            </w:pPr>
            <w:r>
              <w:rPr>
                <w:b/>
              </w:rPr>
              <w:t>CYCLERION THERAPEUTICS, INC.</w:t>
            </w:r>
          </w:p>
        </w:tc>
      </w:tr>
      <w:tr>
        <w:trPr/>
        <w:tc>
          <w:tcPr>
            <w:tcW w:w="390" w:type="dxa"/>
            <w:tcBorders/>
            <w:vAlign w:val="center"/>
          </w:tcPr>
          <w:p>
            <w:pPr>
              <w:pStyle w:val="TableContents"/>
              <w:bidi w:val="0"/>
              <w:spacing w:before="0" w:after="283"/>
              <w:jc w:val="left"/>
              <w:rPr>
                <w:sz w:val="4"/>
                <w:szCs w:val="4"/>
              </w:rPr>
            </w:pPr>
            <w:r>
              <w:rPr>
                <w:sz w:val="4"/>
                <w:szCs w:val="4"/>
              </w:rPr>
            </w:r>
          </w:p>
        </w:tc>
        <w:tc>
          <w:tcPr>
            <w:tcW w:w="3783"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vAlign w:val="center"/>
          </w:tcPr>
          <w:p>
            <w:pPr>
              <w:pStyle w:val="TableContents"/>
              <w:bidi w:val="0"/>
              <w:spacing w:before="0" w:after="283"/>
              <w:jc w:val="left"/>
              <w:rPr/>
            </w:pPr>
            <w:r>
              <w:rPr/>
              <w:t>By:</w:t>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REGINA GRAUL</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center"/>
              <w:rPr/>
            </w:pPr>
            <w:r>
              <w:rPr/>
              <w:t>Regina Graul, Ph.D.</w:t>
            </w:r>
          </w:p>
        </w:tc>
      </w:tr>
      <w:tr>
        <w:trPr/>
        <w:tc>
          <w:tcPr>
            <w:tcW w:w="39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center"/>
              <w:rPr>
                <w:i/>
              </w:rPr>
            </w:pPr>
            <w:r>
              <w:rPr>
                <w:i/>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on behalf of the registrant and in the capacities indicated on July 22, 2026.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2285"/>
        <w:gridCol w:w="120"/>
        <w:gridCol w:w="384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r>
              <w:rPr>
                <w:rFonts w:ascii="Times New Roman" w:hAnsi="Times New Roman"/>
                <w:sz w:val="20"/>
                <w:u w:val="single"/>
              </w:rPr>
              <w:t>S</w:t>
            </w:r>
            <w:r>
              <w:rPr>
                <w:rFonts w:ascii="Times New Roman" w:hAnsi="Times New Roman"/>
                <w:sz w:val="20"/>
              </w:rPr>
              <w:t>/ REGINA GRAUL, PH.D.</w:t>
            </w:r>
          </w:p>
          <w:p>
            <w:pPr>
              <w:pStyle w:val="TableContents"/>
              <w:bidi w:val="0"/>
              <w:spacing w:before="0" w:after="20"/>
              <w:jc w:val="center"/>
              <w:rPr>
                <w:rFonts w:ascii="Times New Roman" w:hAnsi="Times New Roman"/>
                <w:sz w:val="20"/>
              </w:rPr>
            </w:pPr>
            <w:r>
              <w:rPr>
                <w:rFonts w:ascii="Times New Roman" w:hAnsi="Times New Roman"/>
                <w:sz w:val="20"/>
              </w:rPr>
              <w:t>Regina Graul,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Rhonda Chicko</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 (Principal Financial</w:t>
            </w:r>
          </w:p>
          <w:p>
            <w:pPr>
              <w:pStyle w:val="TableContents"/>
              <w:bidi w:val="0"/>
              <w:spacing w:before="0" w:after="20"/>
              <w:jc w:val="center"/>
              <w:rPr>
                <w:rFonts w:ascii="Times New Roman" w:hAnsi="Times New Roman"/>
                <w:sz w:val="20"/>
              </w:rPr>
            </w:pPr>
            <w:r>
              <w:rPr>
                <w:rFonts w:ascii="Times New Roman" w:hAnsi="Times New Roman"/>
                <w:sz w:val="20"/>
              </w:rPr>
              <w:t>Officer and Principal Accounting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Errol De Souza,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Peter Hecht,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Michael Higgins</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Steven Hyman, M.D.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Dina Katabi, Ph.D.</w:t>
            </w:r>
          </w:p>
        </w:tc>
        <w:tc>
          <w:tcPr>
            <w:tcW w:w="1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560"/>
        <w:gridCol w:w="60"/>
        <w:gridCol w:w="288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3505" w:type="dxa"/>
            <w:gridSpan w:val="3"/>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885" w:type="dxa"/>
            <w:tcBorders>
              <w:bottom w:val="single" w:sz="6" w:space="0" w:color="000000"/>
            </w:tcBorders>
            <w:tcMar>
              <w:bottom w:w="28" w:type="dxa"/>
            </w:tcMar>
            <w:vAlign w:val="center"/>
          </w:tcPr>
          <w:p>
            <w:pPr>
              <w:pStyle w:val="TableContents"/>
              <w:bidi w:val="0"/>
              <w:spacing w:before="0" w:after="283"/>
              <w:jc w:val="left"/>
              <w:rPr/>
            </w:pPr>
            <w:r>
              <w:rPr/>
              <w:t>/s/ REGINA GRAUL, PH.D.</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Regina Graul, Ph.D.</w:t>
            </w:r>
          </w:p>
        </w:tc>
      </w:tr>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208" w:name="d111069dex231.htm"/>
      <w:bookmarkStart w:id="209" w:name="ksd111069dex231"/>
      <w:bookmarkEnd w:id="208"/>
      <w:bookmarkEnd w:id="209"/>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30, 2026, included in the Proxy Statement of Cyclerion Therapeutics, Inc. that is made a part of Amendment No. 3 to the Registration Statement (Form S-4 No. 333-295175) and Prospectus of Cyclerion Therapeutics,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July 22, 2026 </w:t>
      </w:r>
    </w:p>
    <w:p>
      <w:pPr>
        <w:pStyle w:val="TextBody"/>
        <w:bidi w:val="0"/>
        <w:spacing w:before="0" w:after="0"/>
        <w:jc w:val="right"/>
        <w:rPr>
          <w:rFonts w:ascii="Times New Roman" w:hAnsi="Times New Roman"/>
          <w:b/>
          <w:sz w:val="20"/>
        </w:rPr>
      </w:pPr>
      <w:bookmarkStart w:id="210" w:name="d111069dex232.htm"/>
      <w:bookmarkStart w:id="211" w:name="ksd111069dex232"/>
      <w:bookmarkEnd w:id="210"/>
      <w:bookmarkEnd w:id="211"/>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April 17, 2026 with respect to the consolidated financial statements of Korsana Biosciences, Inc. included in the Proxy Statement of Cyclerion Therapeutics, Inc. that is made a part of Amendment No. 3 to the Registration Statement (Form S-4 No. 333-295175) and Prospectus of Cyclerion Therapeutics,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July 22, 2026 </w:t>
      </w:r>
    </w:p>
    <w:p>
      <w:pPr>
        <w:pStyle w:val="TextBody"/>
        <w:bidi w:val="0"/>
        <w:spacing w:before="0" w:after="0"/>
        <w:jc w:val="right"/>
        <w:rPr>
          <w:rFonts w:ascii="Times New Roman" w:hAnsi="Times New Roman"/>
          <w:b/>
          <w:sz w:val="20"/>
        </w:rPr>
      </w:pPr>
      <w:bookmarkStart w:id="212" w:name="d111069dex997.htm"/>
      <w:bookmarkStart w:id="213" w:name="ksd111069dex997"/>
      <w:bookmarkEnd w:id="212"/>
      <w:bookmarkEnd w:id="213"/>
      <w:r>
        <w:rPr>
          <w:rFonts w:ascii="Times New Roman" w:hAnsi="Times New Roman"/>
          <w:b/>
          <w:sz w:val="20"/>
        </w:rPr>
        <w:t xml:space="preserve">Exhibit 99.7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GEMINI VALUATION SERVICES, LLC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of our opinion letter, dated March 31, 2026, to the Board of Directors of Cyclerion Therapeutics, Inc., included as Annex B to the proxy statement / prospectus which forms a part of the Registration Statement on Form S-4 of Cyclerion Therapeutics, Inc., to be filed on the date hereof, and to the references to such opinion in such proxy statement / prospectus under the captions: “Prospectus Summary - Opinion of Gemini to the Cyclerion Board,” “The Merger - Background of the Merger” and “The Merger - Opinion of Gemini, Cyclerion’s Financial Advisor, to the Cyclerion Board of Directors.“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GEMINI VALUATION SERVICES,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Nathan Johnson</w:t>
            </w:r>
          </w:p>
        </w:tc>
      </w:tr>
      <w:tr>
        <w:trPr/>
        <w:tc>
          <w:tcPr>
            <w:tcW w:w="4082" w:type="dxa"/>
            <w:tcBorders/>
          </w:tcPr>
          <w:p>
            <w:pPr>
              <w:pStyle w:val="TableContents"/>
              <w:bidi w:val="0"/>
              <w:spacing w:before="0" w:after="283"/>
              <w:jc w:val="left"/>
              <w:rPr/>
            </w:pPr>
            <w:r>
              <w:rPr/>
              <w:t>Authorized Signatory</w:t>
            </w:r>
          </w:p>
        </w:tc>
      </w:tr>
      <w:tr>
        <w:trPr/>
        <w:tc>
          <w:tcPr>
            <w:tcW w:w="4082" w:type="dxa"/>
            <w:tcBorders/>
          </w:tcPr>
          <w:p>
            <w:pPr>
              <w:pStyle w:val="TableContents"/>
              <w:bidi w:val="0"/>
              <w:spacing w:before="0" w:after="283"/>
              <w:jc w:val="left"/>
              <w:rPr/>
            </w:pPr>
            <w:r>
              <w:rPr/>
              <w:t>Los Angeles, CA</w:t>
            </w:r>
          </w:p>
        </w:tc>
      </w:tr>
      <w:tr>
        <w:trPr/>
        <w:tc>
          <w:tcPr>
            <w:tcW w:w="4082" w:type="dxa"/>
            <w:tcBorders/>
          </w:tcPr>
          <w:p>
            <w:pPr>
              <w:pStyle w:val="TableContents"/>
              <w:bidi w:val="0"/>
              <w:spacing w:before="0" w:after="283"/>
              <w:jc w:val="left"/>
              <w:rPr/>
            </w:pPr>
            <w:r>
              <w:rPr/>
              <w:t>July 22, 2026</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hyperlink" Target="http://www.sec.gov/Archives/edgar/data/1755237/000110465919018720/a19-7436_1ex4d1.htm" TargetMode="External"/><Relationship Id="rId35" Type="http://schemas.openxmlformats.org/officeDocument/2006/relationships/hyperlink" Target="http://www.sec.gov/Archives/edgar/data/1755237/000114036123024768/brhc20052986_ex3-1.htm" TargetMode="External"/><Relationship Id="rId36" Type="http://schemas.openxmlformats.org/officeDocument/2006/relationships/hyperlink" Target="http://www.sec.gov/Archives/edgar/data/1755237/000114036123026621/brhc20053546_ex3-1.htm" TargetMode="External"/><Relationship Id="rId37" Type="http://schemas.openxmlformats.org/officeDocument/2006/relationships/hyperlink" Target="http://www.sec.gov/Archives/edgar/data/1755237/000110465919018720/a19-7436_1ex4d2.htm" TargetMode="External"/><Relationship Id="rId38" Type="http://schemas.openxmlformats.org/officeDocument/2006/relationships/hyperlink" Target="http://www.sec.gov/Archives/edgar/data/1755237/000119312526162177/d111069dex35.htm" TargetMode="External"/><Relationship Id="rId39" Type="http://schemas.openxmlformats.org/officeDocument/2006/relationships/hyperlink" Target="http://www.sec.gov/Archives/edgar/data/0001755237/000119312526299933/d111069dex36.htm" TargetMode="External"/><Relationship Id="rId40" Type="http://schemas.openxmlformats.org/officeDocument/2006/relationships/hyperlink" Target="http://www.sec.gov/Archives/edgar/data/1755237/000119312526162177/d111069dex36.htm" TargetMode="External"/><Relationship Id="rId41" Type="http://schemas.openxmlformats.org/officeDocument/2006/relationships/hyperlink" Target="http://www.sec.gov/Archives/edgar/data/1755237/000119312526132193/cycn-ex4_1.htm" TargetMode="External"/><Relationship Id="rId42" Type="http://schemas.openxmlformats.org/officeDocument/2006/relationships/hyperlink" Target="http://www.sec.gov/Archives/edgar/data/1755237/000119312526162177/d111069dex42.htm" TargetMode="External"/><Relationship Id="rId43" Type="http://schemas.openxmlformats.org/officeDocument/2006/relationships/hyperlink" Target="http://www.sec.gov/Archives/edgar/data/0001755237/000119312526299933/d111069dex51.htm" TargetMode="External"/><Relationship Id="rId44" Type="http://schemas.openxmlformats.org/officeDocument/2006/relationships/hyperlink" Target="http://www.sec.gov/Archives/edgar/data/0001755237/000119312526299933/d111069dex81.htm" TargetMode="External"/><Relationship Id="rId45" Type="http://schemas.openxmlformats.org/officeDocument/2006/relationships/hyperlink" Target="http://www.sec.gov/Archives/edgar/data/1755237/000119312526137909/d128275dex103.htm" TargetMode="External"/><Relationship Id="rId46" Type="http://schemas.openxmlformats.org/officeDocument/2006/relationships/hyperlink" Target="http://www.sec.gov/Archives/edgar/data/1755237/000119312526137909/d128275dex104.htm" TargetMode="External"/><Relationship Id="rId47" Type="http://schemas.openxmlformats.org/officeDocument/2006/relationships/hyperlink" Target="http://www.sec.gov/Archives/edgar/data/1755237/000104746919000876/a2237620zex-10_10.htm" TargetMode="External"/><Relationship Id="rId48" Type="http://schemas.openxmlformats.org/officeDocument/2006/relationships/hyperlink" Target="http://www.sec.gov/Archives/edgar/data/1755237/000104746919000876/a2237620zex-10_11.htm" TargetMode="External"/><Relationship Id="rId49" Type="http://schemas.openxmlformats.org/officeDocument/2006/relationships/hyperlink" Target="http://www.sec.gov/Archives/edgar/data/1755237/000104746919000876/a2237620zex-10_12.htm" TargetMode="External"/><Relationship Id="rId50" Type="http://schemas.openxmlformats.org/officeDocument/2006/relationships/hyperlink" Target="http://www.sec.gov/Archives/edgar/data/0001755237/000110465919018720/a19-7436_1ex4d5.htm" TargetMode="External"/><Relationship Id="rId51" Type="http://schemas.openxmlformats.org/officeDocument/2006/relationships/hyperlink" Target="http://www.sec.gov/Archives/edgar/data/1755237/000156459021039205/cycn-ex102_241.htm" TargetMode="External"/><Relationship Id="rId52" Type="http://schemas.openxmlformats.org/officeDocument/2006/relationships/hyperlink" Target="http://www.sec.gov/Archives/edgar/data/1755237/000119312524280125/d856941dex101.htm" TargetMode="External"/><Relationship Id="rId53" Type="http://schemas.openxmlformats.org/officeDocument/2006/relationships/hyperlink" Target="http://www.sec.gov/Archives/edgar/data/1755237/000114036121021236/nt10025805x1_ex10-1.htm" TargetMode="External"/><Relationship Id="rId54" Type="http://schemas.openxmlformats.org/officeDocument/2006/relationships/hyperlink" Target="http://www.sec.gov/Archives/edgar/data/1755237/000119312525277749/cycn-ex10_1.htm" TargetMode="External"/><Relationship Id="rId55" Type="http://schemas.openxmlformats.org/officeDocument/2006/relationships/hyperlink" Target="http://www.sec.gov/Archives/edgar/data/1755237/000119312526137909/d128275dex107.htm" TargetMode="External"/><Relationship Id="rId56" Type="http://schemas.openxmlformats.org/officeDocument/2006/relationships/hyperlink" Target="http://www.sec.gov/Archives/edgar/data/1755237/000095017025103123/cycn-ex10_1.htm" TargetMode="External"/><Relationship Id="rId57" Type="http://schemas.openxmlformats.org/officeDocument/2006/relationships/hyperlink" Target="http://www.sec.gov/Archives/edgar/data/0001755237/000119312526132193/cycn-ex10_14.htm" TargetMode="External"/><Relationship Id="rId58" Type="http://schemas.openxmlformats.org/officeDocument/2006/relationships/hyperlink" Target="http://www.sec.gov/Archives/edgar/data/1755237/000119312525115089/d51125dex11.htm" TargetMode="External"/><Relationship Id="rId59" Type="http://schemas.openxmlformats.org/officeDocument/2006/relationships/hyperlink" Target="http://www.sec.gov/Archives/edgar/data/1755237/000119312525062612/d926001dex102.htm" TargetMode="External"/><Relationship Id="rId60" Type="http://schemas.openxmlformats.org/officeDocument/2006/relationships/hyperlink" Target="http://www.sec.gov/Archives/edgar/data/1755237/000119312526162177/d111069dex1019.htm" TargetMode="External"/><Relationship Id="rId61" Type="http://schemas.openxmlformats.org/officeDocument/2006/relationships/hyperlink" Target="http://www.sec.gov/Archives/edgar/data/0001755237/000119312526299933/d111069dex1020.htm" TargetMode="External"/><Relationship Id="rId62" Type="http://schemas.openxmlformats.org/officeDocument/2006/relationships/hyperlink" Target="http://www.sec.gov/Archives/edgar/data/1755237/000119312526162177/d111069dex1020.htm" TargetMode="External"/><Relationship Id="rId63" Type="http://schemas.openxmlformats.org/officeDocument/2006/relationships/hyperlink" Target="http://www.sec.gov/Archives/edgar/data/1755237/000119312526162177/d111069dex1021.htm" TargetMode="External"/><Relationship Id="rId64" Type="http://schemas.openxmlformats.org/officeDocument/2006/relationships/hyperlink" Target="http://www.sec.gov/Archives/edgar/data/1755237/000119312526162177/d111069dex1022.htm" TargetMode="External"/><Relationship Id="rId65" Type="http://schemas.openxmlformats.org/officeDocument/2006/relationships/hyperlink" Target="http://www.sec.gov/Archives/edgar/data/1755237/000119312526162177/d111069dex1023.htm" TargetMode="External"/><Relationship Id="rId66" Type="http://schemas.openxmlformats.org/officeDocument/2006/relationships/hyperlink" Target="http://www.sec.gov/Archives/edgar/data/1755237/000119312526162177/d111069dex1024.htm" TargetMode="External"/><Relationship Id="rId67" Type="http://schemas.openxmlformats.org/officeDocument/2006/relationships/hyperlink" Target="http://www.sec.gov/Archives/edgar/data/1755237/000119312526162177/d111069dex1025.htm" TargetMode="External"/><Relationship Id="rId68" Type="http://schemas.openxmlformats.org/officeDocument/2006/relationships/hyperlink" Target="http://www.sec.gov/Archives/edgar/data/1755237/000119312526162177/d111069dex1026.htm" TargetMode="External"/><Relationship Id="rId69" Type="http://schemas.openxmlformats.org/officeDocument/2006/relationships/hyperlink" Target="http://www.sec.gov/Archives/edgar/data/1755237/000119312526162177/d111069dex1027.htm" TargetMode="External"/><Relationship Id="rId70" Type="http://schemas.openxmlformats.org/officeDocument/2006/relationships/hyperlink" Target="http://www.sec.gov/Archives/edgar/data/0001755237/000119312526263731/d111069dex1028.htm" TargetMode="External"/><Relationship Id="rId71" Type="http://schemas.openxmlformats.org/officeDocument/2006/relationships/hyperlink" Target="http://www.sec.gov/Archives/edgar/data/0001755237/000119312526299933/d111069dex1030.htm" TargetMode="External"/><Relationship Id="rId72" Type="http://schemas.openxmlformats.org/officeDocument/2006/relationships/hyperlink" Target="http://www.sec.gov/Archives/edgar/data/0001755237/000119312526263731/d111069dex1030.htm" TargetMode="External"/><Relationship Id="rId73" Type="http://schemas.openxmlformats.org/officeDocument/2006/relationships/hyperlink" Target="http://www.sec.gov/Archives/edgar/data/0001755237/000119312526263731/d111069dex1031.htm" TargetMode="External"/><Relationship Id="rId74" Type="http://schemas.openxmlformats.org/officeDocument/2006/relationships/hyperlink" Target="http://www.sec.gov/Archives/edgar/data/0001755237/000119312526263731/d111069dex1032.htm" TargetMode="External"/><Relationship Id="rId75" Type="http://schemas.openxmlformats.org/officeDocument/2006/relationships/hyperlink" Target="http://www.sec.gov/Archives/edgar/data/0001755237/000119312526263731/d111069dex1033.htm" TargetMode="External"/><Relationship Id="rId76" Type="http://schemas.openxmlformats.org/officeDocument/2006/relationships/hyperlink" Target="http://www.sec.gov/Archives/edgar/data/0001755237/000119312526263731/d111069dex1034.htm" TargetMode="External"/><Relationship Id="rId77" Type="http://schemas.openxmlformats.org/officeDocument/2006/relationships/hyperlink" Target="http://www.sec.gov/Archives/edgar/data/1755237/000119312526162177/d111069dex1032.htm" TargetMode="External"/><Relationship Id="rId78" Type="http://schemas.openxmlformats.org/officeDocument/2006/relationships/hyperlink" Target="http://www.sec.gov/Archives/edgar/data/0001755237/000119312526299933/d111069dex51.htm" TargetMode="External"/><Relationship Id="rId79" Type="http://schemas.openxmlformats.org/officeDocument/2006/relationships/hyperlink" Target="http://www.sec.gov/Archives/edgar/data/1755237/000119312526162177/d111069dex991.htm" TargetMode="External"/><Relationship Id="rId80" Type="http://schemas.openxmlformats.org/officeDocument/2006/relationships/hyperlink" Target="http://www.sec.gov/Archives/edgar/data/1755237/000119312526162177/d111069dex992.htm" TargetMode="External"/><Relationship Id="rId81" Type="http://schemas.openxmlformats.org/officeDocument/2006/relationships/hyperlink" Target="http://www.sec.gov/Archives/edgar/data/1755237/000119312526162177/d111069dex993.htm" TargetMode="External"/><Relationship Id="rId82" Type="http://schemas.openxmlformats.org/officeDocument/2006/relationships/hyperlink" Target="http://www.sec.gov/Archives/edgar/data/1755237/000119312526162177/d111069dex994.htm" TargetMode="External"/><Relationship Id="rId83" Type="http://schemas.openxmlformats.org/officeDocument/2006/relationships/hyperlink" Target="http://www.sec.gov/Archives/edgar/data/1755237/000119312526162177/d111069dex995.htm" TargetMode="External"/><Relationship Id="rId84" Type="http://schemas.openxmlformats.org/officeDocument/2006/relationships/hyperlink" Target="http://www.sec.gov/Archives/edgar/data/0001755237/000119312526299933/d111069dex996.htm" TargetMode="External"/><Relationship Id="rId85" Type="http://schemas.openxmlformats.org/officeDocument/2006/relationships/hyperlink" Target="http://www.sec.gov/Archives/edgar/data/0001755237/000119312526299933/d111069dexfilingfees.htm" TargetMode="External"/><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759</Pages>
  <Words>475715</Words>
  <Characters>2599718</Characters>
  <CharactersWithSpaces>3087640</CharactersWithSpaces>
  <Paragraphs>33085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EX-99.7</dc:title>
</cp:coreProperties>
</file>