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CYCLERION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001-38787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83-1895370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245 First Street, 18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3"/>
          <w:szCs w:val="13"/>
          <w:b w:val="1"/>
          <w:bCs w:val="1"/>
          <w:color w:val="auto"/>
        </w:rPr>
        <w:t xml:space="preserve"> Floor</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Cambridge, Massachusetts 02142</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(857) 327-8778</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8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no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CYCN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Capital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Indícate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 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Merger Agreement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On April 1, 2026, Cyclerion Therapeutics, Inc., a Massachusetts corporation (“</w:t>
      </w:r>
      <w:r>
        <w:rPr>
          <w:rFonts w:ascii="Times New Roman" w:cs="Times New Roman" w:eastAsia="Times New Roman" w:hAnsi="Times New Roman"/>
          <w:sz w:val="12"/>
          <w:szCs w:val="12"/>
          <w:u w:val="single" w:color="auto"/>
          <w:color w:val="auto"/>
        </w:rPr>
        <w:t>Cyclerion</w:t>
      </w:r>
      <w:r>
        <w:rPr>
          <w:rFonts w:ascii="Times New Roman" w:cs="Times New Roman" w:eastAsia="Times New Roman" w:hAnsi="Times New Roman"/>
          <w:sz w:val="12"/>
          <w:szCs w:val="12"/>
          <w:color w:val="auto"/>
        </w:rPr>
        <w:t>”), Cariboos Merger Sub Corp., a Delaware corporation and a wholly owned subsidiary of Cyclerion (“</w:t>
      </w:r>
      <w:r>
        <w:rPr>
          <w:rFonts w:ascii="Times New Roman" w:cs="Times New Roman" w:eastAsia="Times New Roman" w:hAnsi="Times New Roman"/>
          <w:sz w:val="12"/>
          <w:szCs w:val="12"/>
          <w:u w:val="single" w:color="auto"/>
          <w:color w:val="auto"/>
        </w:rPr>
        <w:t>First Merger Sub</w:t>
      </w:r>
      <w:r>
        <w:rPr>
          <w:rFonts w:ascii="Times New Roman" w:cs="Times New Roman" w:eastAsia="Times New Roman" w:hAnsi="Times New Roman"/>
          <w:sz w:val="12"/>
          <w:szCs w:val="12"/>
          <w:color w:val="auto"/>
        </w:rPr>
        <w:t>”), Cariboos Merger Sub II, LLC, a Delaware limited liability company and wholly owned subsidiary of Cyclerion (“</w:t>
      </w:r>
      <w:r>
        <w:rPr>
          <w:rFonts w:ascii="Times New Roman" w:cs="Times New Roman" w:eastAsia="Times New Roman" w:hAnsi="Times New Roman"/>
          <w:sz w:val="12"/>
          <w:szCs w:val="12"/>
          <w:u w:val="single" w:color="auto"/>
          <w:color w:val="auto"/>
        </w:rPr>
        <w:t>Second Merger Sub</w:t>
      </w:r>
      <w:r>
        <w:rPr>
          <w:rFonts w:ascii="Times New Roman" w:cs="Times New Roman" w:eastAsia="Times New Roman" w:hAnsi="Times New Roman"/>
          <w:sz w:val="12"/>
          <w:szCs w:val="12"/>
          <w:color w:val="auto"/>
        </w:rPr>
        <w:t>” and, together with First Merger Sub,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Korsana Biosciences, Inc., a Delaware corporation (“</w:t>
      </w:r>
      <w:r>
        <w:rPr>
          <w:rFonts w:ascii="Times New Roman" w:cs="Times New Roman" w:eastAsia="Times New Roman" w:hAnsi="Times New Roman"/>
          <w:sz w:val="12"/>
          <w:szCs w:val="12"/>
          <w:u w:val="single" w:color="auto"/>
          <w:color w:val="auto"/>
        </w:rPr>
        <w:t>Korsana</w:t>
      </w:r>
      <w:r>
        <w:rPr>
          <w:rFonts w:ascii="Times New Roman" w:cs="Times New Roman" w:eastAsia="Times New Roman" w:hAnsi="Times New Roman"/>
          <w:sz w:val="12"/>
          <w:szCs w:val="12"/>
          <w:color w:val="auto"/>
        </w:rPr>
        <w:t>”), entered into an Agreement and Plan of Merger and Reorganization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and</w:t>
      </w:r>
    </w:p>
    <w:p>
      <w:pPr>
        <w:spacing w:after="0" w:line="2" w:lineRule="exact"/>
        <w:rPr>
          <w:sz w:val="20"/>
          <w:szCs w:val="20"/>
          <w:color w:val="auto"/>
        </w:rPr>
      </w:pPr>
    </w:p>
    <w:p>
      <w:pPr>
        <w:ind w:left="640" w:right="679" w:hanging="3"/>
        <w:spacing w:after="0" w:line="245" w:lineRule="auto"/>
        <w:tabs>
          <w:tab w:leader="none" w:pos="82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First Merger and as part of the same overall transaction as the First Merger, Korsana will merge with and into Second Merger Sub (the “</w:t>
      </w:r>
      <w:r>
        <w:rPr>
          <w:rFonts w:ascii="Times New Roman" w:cs="Times New Roman" w:eastAsia="Times New Roman" w:hAnsi="Times New Roman"/>
          <w:sz w:val="13"/>
          <w:szCs w:val="13"/>
          <w:u w:val="single" w:color="auto"/>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The Merger is intended to qualify for federal income tax purposes as a tax-free reorganization under the provisions of Section 368(a) of the Internal Revenue Code of 1986, as amended.</w:t>
      </w:r>
    </w:p>
    <w:p>
      <w:pPr>
        <w:spacing w:after="0" w:line="136"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effective time of the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(a) each then-outstanding share of Korsana common stock and Korsana preferred stock designated as “Series A Preferred Stock” will be converted into the right to receive a number of shares of Cyclerion common stock calculated in accordance with the Merger Agreement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provided, that in the event the aggregate number of shares of Cyclerion common stock issuable to holders of Korsana capital stock would result in the issuance of shares of Cyclerion common stock to a holder in excess of a specified percentage (initially set at a percentage up to 14.99%) total outstanding shares of Cyclerion common stock (such specified percentage, a “</w:t>
      </w:r>
      <w:r>
        <w:rPr>
          <w:rFonts w:ascii="Times New Roman" w:cs="Times New Roman" w:eastAsia="Times New Roman" w:hAnsi="Times New Roman"/>
          <w:sz w:val="13"/>
          <w:szCs w:val="13"/>
          <w:u w:val="single" w:color="auto"/>
          <w:color w:val="auto"/>
        </w:rPr>
        <w:t>Beneficial Ownership Limitation</w:t>
      </w:r>
      <w:r>
        <w:rPr>
          <w:rFonts w:ascii="Times New Roman" w:cs="Times New Roman" w:eastAsia="Times New Roman" w:hAnsi="Times New Roman"/>
          <w:sz w:val="13"/>
          <w:szCs w:val="13"/>
          <w:color w:val="auto"/>
        </w:rPr>
        <w:t>”), then Cyclerion will issue to any such holder (x) shares of Cyclerion common stock up to such holder’s Beneficial Ownership Limitation and (y) in lieu of any shares in excess of such holder’s Beneficial Ownership Limitation, pre-funded warrants (the “</w:t>
      </w:r>
      <w:r>
        <w:rPr>
          <w:rFonts w:ascii="Times New Roman" w:cs="Times New Roman" w:eastAsia="Times New Roman" w:hAnsi="Times New Roman"/>
          <w:sz w:val="13"/>
          <w:szCs w:val="13"/>
          <w:u w:val="single" w:color="auto"/>
          <w:color w:val="auto"/>
        </w:rPr>
        <w:t>Pre-Funded Warrants</w:t>
      </w:r>
      <w:r>
        <w:rPr>
          <w:rFonts w:ascii="Times New Roman" w:cs="Times New Roman" w:eastAsia="Times New Roman" w:hAnsi="Times New Roman"/>
          <w:sz w:val="13"/>
          <w:szCs w:val="13"/>
          <w:color w:val="auto"/>
        </w:rPr>
        <w:t>”), to purchase a number of shares of Cyclerion common stock upon exercise of such Pre-Funded Warrants equal to such excess shares, (b) each then-outstanding share of Korsana preferred stock designated as “Series Seed Preferred Stock” will be converted into the right to receive a number of shares of Series B Preferred Stock (as defined below) of Cyclerion calculated in accordance with the Merger Agreement, (c) each then-outstanding option to purchase shares of Korsana capital stock will be assumed by Cyclerion, subject to adjustment as set forth in the Merger Agreement, (d) each then-outstanding restricted stock unit award for shares of Korsana capital stock will be assumed by Cyclerion, subject to adjustment as set forth in the Merger Agreement and (e) each then-outstanding warrant to purchase shares of Korsana capital stock will be assumed by Cyclerion, subject to adjustment as set forth in the Merger Agreement. Under the terms of the Merger Agreement, prior to the closing of the Merger, the board of directors of Cyclerion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will accelerate the vesting of all equity awards of Cyclerion then outstanding but not then vested or exercisable. Each option to acquire shares of Cyclerion common stock with an exercise price per share greater than the volume weighted average closing trading price of a share of Cyclerion common stock on The Nasdaq Capital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for the five (5) consecutive trading days ending three (3) trading days immediately prior to the date that is five (5) business days before the date of the Cyclerion shareholder meeting (the “</w:t>
      </w:r>
      <w:r>
        <w:rPr>
          <w:rFonts w:ascii="Times New Roman" w:cs="Times New Roman" w:eastAsia="Times New Roman" w:hAnsi="Times New Roman"/>
          <w:sz w:val="13"/>
          <w:szCs w:val="13"/>
          <w:u w:val="single" w:color="auto"/>
          <w:color w:val="auto"/>
        </w:rPr>
        <w:t>Parent Closing Price</w:t>
      </w:r>
      <w:r>
        <w:rPr>
          <w:rFonts w:ascii="Times New Roman" w:cs="Times New Roman" w:eastAsia="Times New Roman" w:hAnsi="Times New Roman"/>
          <w:sz w:val="13"/>
          <w:szCs w:val="13"/>
          <w:color w:val="auto"/>
        </w:rPr>
        <w:t>”) will be cancelled in accordance with the terms of the Merger Agreement. At the closing of the Merger, each option to acquire shares of Cyclerion common stock with an exercise price less than or equal to the Parent Closing Price will be cancelled and converted into the right to receive an amount in cash without interest, less applicable tax withholding, equal to the product obtained by multiplying (i) the excess of the Parent Closing Price over the exercise price per share of the Cyclerion common stock underlying such option by (ii) the number of shares of Cyclerion common stock underlying such option.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8" w:right="1440" w:bottom="1440" w:gutter="0" w:footer="0" w:header="0"/>
        </w:sectPr>
      </w:pPr>
    </w:p>
    <w:bookmarkStart w:id="2" w:name="page3"/>
    <w:bookmarkEnd w:id="2"/>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Pursuant to the Exchange Ratio formula in the Merger Agreement, upon the closing of the Merger (and prior to closing of the financing described below), on a pro forma basis and based upon the number of shares of Cyclerion common stock expected to be issued in the Merger, pre-Merger Korsana stockholders will own approximately 1.5% of the combined company and pre-Merger Cyclerion shareholders will own approximately 98.5% of the combined company. For purposes of calculating the Exchange Ratio, (i) shares of Cyclerion common stock underlying options to purchase shares of Cyclerion common stock with an exercise price less than or equal to the Parent Closing Price and other rights to receive shares of Cyclerion common stock (other than options to acquire shares of Cyclerion common stock, to the extent cancelled at or prior to closing of the Merger in accordance with the Merger Agreement) outstanding as of immediately prior to the closing of the Merger will be deemed to be outstanding (on a fully-diluted and as-converted to Cyclerion common stock basis), and (ii) all shares of Korsana common stock underlying outstanding Korsana stock options, restricted stock units, warrants and other rights to receive shares of Korsana capital stock will be deemed to be outstanding (on a fully-diluted and as-converted to Korsana common stock basis), except for certain stock options and other equity awards made to directors, employees, consultants and other service providers of Korsana. The Exchange Ratio will be adjusted to the extent that Cyclerion net cash at closing is less than or greater than $0 and will be based on the amount of proceeds actually received by Korsana in the financing transaction described below, as further described in the Merger Agreement.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 connection with the Merger, Cyclerion will seek the approval of its shareholders to, among other things, (a) issue shares of Cyclerion common stock</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issuable in connection with the Merger (including the shares of Cyclerion common stock issuable under the Series B Preferred Stock) and the financing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described below under the rules of Nasdaq, and (b) amend its restated articles of organization to (i) change the name of Cyclerion to Korsana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Biosciences, Inc., (ii) effect a reverse stock split of Cyclerion common stock, (iii) increase the number of shares of Cyclerion common stock that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is authorized to issue, (iv) redomicile Cyclerion from Massachusetts to such jurisdiction as may be determined by Korsana, (v) designate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shares of Cyclerion’s preferred stock as the Series B Preferred Stock and (vi) such other changes as are mutually agreeable to Cyclerion and Korsana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Cyclerion Voting Proposals</w:t>
      </w:r>
      <w:r>
        <w:rPr>
          <w:rFonts w:ascii="Times New Roman" w:cs="Times New Roman" w:eastAsia="Times New Roman" w:hAnsi="Times New Roman"/>
          <w:sz w:val="13"/>
          <w:szCs w:val="13"/>
          <w:color w:val="auto"/>
        </w:rPr>
        <w:t>”). In connection with these matters, Cyclerion intends to file with the Securities and Exchange Commission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a registration statement on Form S-4 (the “Form S-4”), which will include a proxy statement and other relevant materials relating to a meeting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Cyclerion shareholders to be held in connection with the Cyclerion Voting Proposals.</w:t>
      </w:r>
    </w:p>
    <w:p>
      <w:pPr>
        <w:spacing w:after="0" w:line="141"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Each of Cyclerion and Korsana has agreed to customary representations, warranties and covenants in the Merger Agreement, including, among others, covenants relating to (1) using commercially reasonable efforts to obtain the regulatory approvals required by applicable law, (2) nonsolicitation of alternative acquisition proposals, (3) the conduct of their respective businesses during the period between the date of signing the Merger Agreement and the closing of the Merger, (4) Cyclerion using commercially reasonable efforts to maintain the existing listing of the Cyclerion common stock on Nasdaq and cause the shares of Cyclerion common stock to be issued in connection with the Merger to be approved for listing on Nasdaq prior to the closing of the Merger, and (5) Cyclerion filing with the SEC the Form S-4.</w:t>
      </w:r>
    </w:p>
    <w:p>
      <w:pPr>
        <w:spacing w:after="0" w:line="135"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Consummation of the Merger is subject to certain closing conditions, including, among other things, (1) approval by requisite Cyclerion shareholders of the Cyclerion Voting Proposals, (2) approval by the requisite Korsana stockholders of the adoption and approval of the Merger Agreement and the transactions contemplated thereby, (3) Nasdaq’s approval of the listing application to be submitted in connection with the Merger, (4) Cyclerion’s Form S-4 becoming effective in accordance with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and not being subject to any stop order or proceeding seeking a stop order, (5) the expiration of any applicable waiting periods (or extensions thereof) under the Hart Scott-Rodino Antitrust Improvements Act of 1976, as amended, and (6) the securities purchase agreement (described below) being in full force and effect providing for the receipt of not less than $150,000,000. Each party’s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50" w:right="1440" w:bottom="1440" w:gutter="0" w:footer="0" w:header="0"/>
        </w:sectPr>
      </w:pPr>
    </w:p>
    <w:bookmarkStart w:id="3" w:name="page4"/>
    <w:bookmarkEnd w:id="3"/>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spacing w:after="0" w:line="130"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The Merger Agreement contains certain termination rights of each of Cyclerion and Korsana. Upon termination of the Merger Agreement under specified circumstances, Cyclerion may be required to pay Korsana a termination fee and Korsana may be required to pay Cyclerion a termination fee.</w:t>
      </w:r>
    </w:p>
    <w:p>
      <w:pPr>
        <w:spacing w:after="0" w:line="10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Pursuant to Articles of Amendment to Cyclerion’s restated articles of organization to be filed by Cyclerion with the Secretary of the Commonwealth of Massachusetts (the “</w:t>
      </w:r>
      <w:r>
        <w:rPr>
          <w:rFonts w:ascii="Times New Roman" w:cs="Times New Roman" w:eastAsia="Times New Roman" w:hAnsi="Times New Roman"/>
          <w:sz w:val="12"/>
          <w:szCs w:val="12"/>
          <w:u w:val="single" w:color="auto"/>
          <w:color w:val="auto"/>
        </w:rPr>
        <w:t>Articles of Amendment</w:t>
      </w:r>
      <w:r>
        <w:rPr>
          <w:rFonts w:ascii="Times New Roman" w:cs="Times New Roman" w:eastAsia="Times New Roman" w:hAnsi="Times New Roman"/>
          <w:sz w:val="12"/>
          <w:szCs w:val="12"/>
          <w:color w:val="auto"/>
        </w:rPr>
        <w:t>”) in connection with the Merger Agreement and the transactions thereunder, Cyclerion will establish the terms of a new series of preferred stock of Cyclerion designated as Series B Non-Voting Convertible Preferred Stock, no par value per share (the “</w:t>
      </w:r>
      <w:r>
        <w:rPr>
          <w:rFonts w:ascii="Times New Roman" w:cs="Times New Roman" w:eastAsia="Times New Roman" w:hAnsi="Times New Roman"/>
          <w:sz w:val="12"/>
          <w:szCs w:val="12"/>
          <w:u w:val="single" w:color="auto"/>
          <w:color w:val="auto"/>
        </w:rPr>
        <w:t>Series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 Preferred Stock</w:t>
      </w:r>
      <w:r>
        <w:rPr>
          <w:rFonts w:ascii="Times New Roman" w:cs="Times New Roman" w:eastAsia="Times New Roman" w:hAnsi="Times New Roman"/>
          <w:sz w:val="12"/>
          <w:szCs w:val="12"/>
          <w:color w:val="auto"/>
        </w:rPr>
        <w:t>”). Holders of the Series B Preferred Stock will be entitled to receive dividends on shares of Series B Preferred Stock equal to, on an as-if-converted-to-Cyclerion common stock basis, and in the same form as dividends actually paid on shares of the Cyclerion common stock. Except as otherwise required by the Articles of Amendment or law, the Series B Preferred Stock will not have voting rights. However, as long as any shares of Series B Preferred Stock are outstanding, Cyclerion will not, without the affirmative vote of the holders of a majority of the then outstanding shares of the Series B Preferred Stock, (a) alter or change adversely the powers, preferences or rights given to the Series B Preferred Stock, (b) alter or amend the description of rights of the Series B Preferred Stock set forth in its articles of organization, (c) amend its articles of organization, bylaws or other charter documents in any manner that adversely affects any rights of the holders of the Series B Preferred Stock, (d) file any articles of amendment, description of rights, preferences, limitations and relative rights of any series of Preferred Stock (as defined in the Articles of Amendment), if such action would adversely alter or change the preferences, rights, privileges or powers of, or restrictions provided for the benefit of the Series B Preferred Stock, (e) issue further shares of the Series B Preferred Stock or increase or decrease (other than by conversion) the number of authorized shares of the Series B Preferred Stock, (f) at any time while at least 30% of the originally issued Series B Preferred Stock remains issued and outstanding, (i) consummate either (A) a Fundamental Transaction (as defined in Cyclerion’s articles of organization) or (B) any merger or consolidation of Cyclerion or other business combination in which the shareholders of Cyclerion immediately before such transaction do not hold at least a majority of the capital stock of Cyclerion immediately after such transaction, (ii) increase the size of the Board, (iii) adopt, amend or repeal any written delegation of authority policy, corporate authority matrix or similar document, framework or schedule unless approved by the unanimous vote of the Board, or (iv) retain or replace Cyclerion’s registered independent public accounting firm, independent compensation consultant or corporate counsel, or (g) enter into any agreement with respect to any of the foregoing. The Articles of Amendment provide that for so long as at least 30% of the Series B Preferred Stock remains issued and outstanding, (i) the holders of record, exclusively and voting together as a separate class on an as-converted to common stock basis, shall be entitled to elect four (4) directors of Cyclerion (the “</w:t>
      </w:r>
      <w:r>
        <w:rPr>
          <w:rFonts w:ascii="Times New Roman" w:cs="Times New Roman" w:eastAsia="Times New Roman" w:hAnsi="Times New Roman"/>
          <w:sz w:val="12"/>
          <w:szCs w:val="12"/>
          <w:u w:val="single" w:color="auto"/>
          <w:color w:val="auto"/>
        </w:rPr>
        <w:t>Preferred Directors</w:t>
      </w:r>
      <w:r>
        <w:rPr>
          <w:rFonts w:ascii="Times New Roman" w:cs="Times New Roman" w:eastAsia="Times New Roman" w:hAnsi="Times New Roman"/>
          <w:sz w:val="12"/>
          <w:szCs w:val="12"/>
          <w:color w:val="auto"/>
        </w:rPr>
        <w:t>”); and (ii) the holders of record of the shares of common stock and of any other class or series of voting stock (including the Series B Preferred Stock), exclusively and voting together as a single class on an as-converted to common stock basis, shall be entitled to elect the balance of the total number of directors of Cyclerion (the “</w:t>
      </w:r>
      <w:r>
        <w:rPr>
          <w:rFonts w:ascii="Times New Roman" w:cs="Times New Roman" w:eastAsia="Times New Roman" w:hAnsi="Times New Roman"/>
          <w:sz w:val="12"/>
          <w:szCs w:val="12"/>
          <w:u w:val="single" w:color="auto"/>
          <w:color w:val="auto"/>
        </w:rPr>
        <w:t>At-Large Directors</w:t>
      </w:r>
      <w:r>
        <w:rPr>
          <w:rFonts w:ascii="Times New Roman" w:cs="Times New Roman" w:eastAsia="Times New Roman" w:hAnsi="Times New Roman"/>
          <w:sz w:val="12"/>
          <w:szCs w:val="12"/>
          <w:color w:val="auto"/>
        </w:rPr>
        <w:t>”); provided, however, for administrative convenience, the initial Preferred Directors may also be appointed by the Board in connection with the approval of the initial issuance of Series B Preferred Stock without a separate action by the holders. The Series B Preferred Stock does not have a preference upon any liquidation, dissolution or winding-up of Cyclerion.</w:t>
      </w:r>
    </w:p>
    <w:p>
      <w:pPr>
        <w:spacing w:after="0" w:line="200" w:lineRule="exact"/>
        <w:rPr>
          <w:sz w:val="20"/>
          <w:szCs w:val="20"/>
          <w:color w:val="auto"/>
        </w:rPr>
      </w:pPr>
    </w:p>
    <w:p>
      <w:pPr>
        <w:spacing w:after="0" w:line="237"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Following the closing of the Merger, each share of Series B Preferred Stock then outstanding shall be convertible, at any time and from time to time, at the option of the holder of the Series B Preferred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50" w:right="1440" w:bottom="1440" w:gutter="0" w:footer="0" w:header="0"/>
        </w:sectPr>
      </w:pPr>
    </w:p>
    <w:bookmarkStart w:id="4" w:name="page5"/>
    <w:bookmarkEnd w:id="4"/>
    <w:p>
      <w:pPr>
        <w:ind w:left="640" w:right="8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into a number of shares equal to 1,000 shares of Cyclerion common stock, subject to certain limitations, including that a holder of Series B Preferred Stock is prohibited from converting shares of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p>
      <w:pPr>
        <w:spacing w:after="0" w:line="133"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transaction has received approval by the Board of Directors of both companies and is expected to close in the third quarter of 2026, subject to certain closing conditions, including, among other things, approval by the shareholders of Cyclerion and the stockholders of Korsana and the satisfaction of customary closing conditions.</w:t>
      </w:r>
    </w:p>
    <w:p>
      <w:pPr>
        <w:spacing w:after="0" w:line="13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At the effective time of the Merger, the Board is expected to consist of six (6) members, all of whom will be designated by Korsana. Upon the closing of the transaction, the combined company will be led by Korsana’s president and chief executive officer.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Financing Transaction</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Concurrently with the execution and delivery of the Merger Agreement, certain institutional and accredited investors have entered into a securities purchase agreement (the “</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 xml:space="preserve">”) with Korsana, pursuant to which they have agreed, subject to the terms and conditions of such agreements, to purchase immediately prior to the Effective Time, shares of Korsana common stock and pre-funded warrants (together, the </w:t>
      </w:r>
      <w:r>
        <w:rPr>
          <w:rFonts w:ascii="Times New Roman" w:cs="Times New Roman" w:eastAsia="Times New Roman" w:hAnsi="Times New Roman"/>
          <w:sz w:val="13"/>
          <w:szCs w:val="13"/>
          <w:u w:val="single" w:color="auto"/>
          <w:color w:val="auto"/>
        </w:rPr>
        <w:t>“PIPE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Securities</w:t>
      </w:r>
      <w:r>
        <w:rPr>
          <w:rFonts w:ascii="Times New Roman" w:cs="Times New Roman" w:eastAsia="Times New Roman" w:hAnsi="Times New Roman"/>
          <w:sz w:val="13"/>
          <w:szCs w:val="13"/>
          <w:color w:val="auto"/>
        </w:rPr>
        <w:t>”) for an aggregate purchase price of approximately $380 million in a private placement (the “</w:t>
      </w: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The closing of the Private Placement is conditioned on the satisfaction or waiver of the conditions set forth in the Merger Agreement (in addition to other customary closing conditions) and is expected to occur immediately prior to the Effective Time.</w:t>
      </w:r>
    </w:p>
    <w:p>
      <w:pPr>
        <w:spacing w:after="0" w:line="135"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The Purchase Agreement contains customary representations and warranties of Korsana, on the one hand, and the investors, on the other hand, and customary indemnification provisions. The Private Placement is also subject to approval of Korsana’s stockholders which is expected to be received at the same time as the approval of the Merger.</w:t>
      </w:r>
    </w:p>
    <w:p>
      <w:pPr>
        <w:spacing w:after="0" w:line="130" w:lineRule="exact"/>
        <w:rPr>
          <w:sz w:val="20"/>
          <w:szCs w:val="20"/>
          <w:color w:val="auto"/>
        </w:rPr>
      </w:pPr>
    </w:p>
    <w:p>
      <w:pPr>
        <w:ind w:left="640" w:right="939"/>
        <w:spacing w:after="0" w:line="251" w:lineRule="auto"/>
        <w:rPr>
          <w:sz w:val="20"/>
          <w:szCs w:val="20"/>
          <w:color w:val="auto"/>
        </w:rPr>
      </w:pPr>
      <w:r>
        <w:rPr>
          <w:rFonts w:ascii="Times New Roman" w:cs="Times New Roman" w:eastAsia="Times New Roman" w:hAnsi="Times New Roman"/>
          <w:sz w:val="13"/>
          <w:szCs w:val="13"/>
          <w:color w:val="auto"/>
        </w:rPr>
        <w:t>Pursuant to the terms of the Purchase Agreement, at closing of the Private Placement, Korsana will enter into a Registration Rights Agreement (the “Registration Rights Agreement”) with the purchasers of the PIPE Securities, which will provide for the registration and resale of the Cyclerion common stock issuable in exchange for the PIPE Securities upon closing of the Merger and the shares of Cyclerion common stock issuable upon exercise of the pre-funded warrants following the Merger, in accordance with the terms of the Registration Rights Agreement.</w:t>
      </w:r>
    </w:p>
    <w:p>
      <w:pPr>
        <w:spacing w:after="0" w:line="133"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Shares of Korsana common stock and pre-funded warrants issued pursuant to this financing transaction will be converted into shares of Cyclerion common stock and pre-funded warrants to acquire shares Cyclerion common stock, in accordance with the Exchange Ratio and the Merger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Contingent Value Rights Agreement</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At or prior to the Effective Time, Cyclerion will enter into a Contingent Value Rights Agreement (the “</w:t>
      </w:r>
      <w:r>
        <w:rPr>
          <w:rFonts w:ascii="Times New Roman" w:cs="Times New Roman" w:eastAsia="Times New Roman" w:hAnsi="Times New Roman"/>
          <w:sz w:val="13"/>
          <w:szCs w:val="13"/>
          <w:u w:val="single" w:color="auto"/>
          <w:color w:val="auto"/>
        </w:rPr>
        <w:t>CVR Agreement</w:t>
      </w:r>
      <w:r>
        <w:rPr>
          <w:rFonts w:ascii="Times New Roman" w:cs="Times New Roman" w:eastAsia="Times New Roman" w:hAnsi="Times New Roman"/>
          <w:sz w:val="13"/>
          <w:szCs w:val="13"/>
          <w:color w:val="auto"/>
        </w:rPr>
        <w:t>”) with a rights agent (“</w:t>
      </w:r>
      <w:r>
        <w:rPr>
          <w:rFonts w:ascii="Times New Roman" w:cs="Times New Roman" w:eastAsia="Times New Roman" w:hAnsi="Times New Roman"/>
          <w:sz w:val="13"/>
          <w:szCs w:val="13"/>
          <w:u w:val="single" w:color="auto"/>
          <w:color w:val="auto"/>
        </w:rPr>
        <w:t>Rights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pursuant to which Cyclerion’s pre-Merger shareholders will receive one contingent value right (each, a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50" w:right="1440" w:bottom="1440" w:gutter="0" w:footer="0" w:header="0"/>
        </w:sectPr>
      </w:pPr>
    </w:p>
    <w:bookmarkStart w:id="5" w:name="page6"/>
    <w:bookmarkEnd w:id="5"/>
    <w:p>
      <w:pPr>
        <w:ind w:left="640" w:right="659"/>
        <w:spacing w:after="0" w:line="24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2"/>
          <w:szCs w:val="12"/>
          <w:color w:val="auto"/>
        </w:rPr>
        <w:t>) anniversary of the Closing Date, (ii) with respect to Cyclerion’s right to receive payments under that License Agreement, dated June 3, 2021, between Cyclerion and Akebia Therapeutics, Inc. (the “</w:t>
      </w:r>
      <w:r>
        <w:rPr>
          <w:rFonts w:ascii="Times New Roman" w:cs="Times New Roman" w:eastAsia="Times New Roman" w:hAnsi="Times New Roman"/>
          <w:sz w:val="12"/>
          <w:szCs w:val="12"/>
          <w:u w:val="single" w:color="auto"/>
          <w:color w:val="auto"/>
        </w:rPr>
        <w:t>Akebia License Agreement</w:t>
      </w:r>
      <w:r>
        <w:rPr>
          <w:rFonts w:ascii="Times New Roman" w:cs="Times New Roman" w:eastAsia="Times New Roman" w:hAnsi="Times New Roman"/>
          <w:sz w:val="12"/>
          <w:szCs w:val="12"/>
          <w:color w:val="auto"/>
        </w:rPr>
        <w:t>”), the earlier of (A) the fifteenth</w:t>
      </w:r>
    </w:p>
    <w:p>
      <w:pPr>
        <w:spacing w:after="0" w:line="2" w:lineRule="exact"/>
        <w:rPr>
          <w:sz w:val="20"/>
          <w:szCs w:val="20"/>
          <w:color w:val="auto"/>
        </w:rPr>
      </w:pPr>
    </w:p>
    <w:p>
      <w:pPr>
        <w:ind w:left="640" w:right="659"/>
        <w:spacing w:after="0" w:line="228" w:lineRule="auto"/>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w:t>
      </w:r>
      <w:r>
        <w:rPr>
          <w:rFonts w:ascii="Times New Roman" w:cs="Times New Roman" w:eastAsia="Times New Roman" w:hAnsi="Times New Roman"/>
          <w:sz w:val="13"/>
          <w:szCs w:val="13"/>
          <w:u w:val="single" w:color="auto"/>
          <w:color w:val="auto"/>
        </w:rPr>
        <w:t>Tisento</w:t>
      </w:r>
      <w:r>
        <w:rPr>
          <w:rFonts w:ascii="Times New Roman" w:cs="Times New Roman" w:eastAsia="Times New Roman" w:hAnsi="Times New Roman"/>
          <w:sz w:val="13"/>
          <w:szCs w:val="13"/>
          <w:color w:val="auto"/>
        </w:rPr>
        <w:t>”)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4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Cyclerion or any of its affiliates. No interest will accrue on any amounts payable in respect of the CVRs.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 and Lock-Up Agreement</w:t>
      </w:r>
    </w:p>
    <w:p>
      <w:pPr>
        <w:spacing w:after="0" w:line="80"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Concurrently with the execution of the Merger Agreement, (i) 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and against any alternative acquisition proposals (the “</w:t>
      </w:r>
      <w:r>
        <w:rPr>
          <w:rFonts w:ascii="Times New Roman" w:cs="Times New Roman" w:eastAsia="Times New Roman" w:hAnsi="Times New Roman"/>
          <w:sz w:val="12"/>
          <w:szCs w:val="12"/>
          <w:u w:val="single" w:color="auto"/>
          <w:color w:val="auto"/>
        </w:rPr>
        <w:t>Korsana Support Agreements</w:t>
      </w:r>
      <w:r>
        <w:rPr>
          <w:rFonts w:ascii="Times New Roman" w:cs="Times New Roman" w:eastAsia="Times New Roman" w:hAnsi="Times New Roman"/>
          <w:sz w:val="12"/>
          <w:szCs w:val="12"/>
          <w:color w:val="auto"/>
        </w:rPr>
        <w:t>”) and (ii) the directors and officers of Cyclerion holding approximately 24.2% of the outstanding shares of Cyclerion common stock have entered into support agreements with Cyclerion and Korsana to vote all of their shares of Cyclerion common stock in favor of the Cyclerion Voting Proposals and against any alternative acquisition proposals (the “</w:t>
      </w:r>
      <w:r>
        <w:rPr>
          <w:rFonts w:ascii="Times New Roman" w:cs="Times New Roman" w:eastAsia="Times New Roman" w:hAnsi="Times New Roman"/>
          <w:sz w:val="12"/>
          <w:szCs w:val="12"/>
          <w:u w:val="single" w:color="auto"/>
          <w:color w:val="auto"/>
        </w:rPr>
        <w:t>Cyclerion Support Agreements</w:t>
      </w:r>
      <w:r>
        <w:rPr>
          <w:rFonts w:ascii="Times New Roman" w:cs="Times New Roman" w:eastAsia="Times New Roman" w:hAnsi="Times New Roman"/>
          <w:sz w:val="12"/>
          <w:szCs w:val="12"/>
          <w:color w:val="auto"/>
        </w:rPr>
        <w:t>,” and, together with the Korsana Support Agreements, the “</w:t>
      </w:r>
      <w:r>
        <w:rPr>
          <w:rFonts w:ascii="Times New Roman" w:cs="Times New Roman" w:eastAsia="Times New Roman" w:hAnsi="Times New Roman"/>
          <w:sz w:val="12"/>
          <w:szCs w:val="12"/>
          <w:u w:val="single" w:color="auto"/>
          <w:color w:val="auto"/>
        </w:rPr>
        <w:t>Support Agreements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Concurrently with the execution of the Merger Agreement, certain executive officers, directors and stockholders of Korsana have entered into lockup agreements (the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pursuant to which, subject to specified exceptions, they have agreed not to transfer their shares of Cyclerion common stock for the 180-day period following the closing of the Merger.</w:t>
      </w:r>
    </w:p>
    <w:p>
      <w:pPr>
        <w:spacing w:after="0" w:line="13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 xml:space="preserve">The preceding summaries of the Merger Agreement, the Articles of Amendment, the Support Agreements, the CVR Agreement, the Purchase Agreement and the Lock-Up Agreements do not purport to be complete and are qualified in their entirety by reference to the Merger Agreement, the form Articles of Amendment, the form of Korsana Support Agreement, the form of Cyclerion Support Agreement, the form of Purchase Agreement, the form of Registration Rights Agreement, the form of Lock-Up Agreement and the form of CVR Agreement, which are filed as </w:t>
      </w:r>
      <w:r>
        <w:rPr>
          <w:rFonts w:ascii="Times New Roman" w:cs="Times New Roman" w:eastAsia="Times New Roman" w:hAnsi="Times New Roman"/>
          <w:sz w:val="13"/>
          <w:szCs w:val="13"/>
          <w:u w:val="single" w:color="auto"/>
          <w:color w:val="auto"/>
        </w:rPr>
        <w:t>Exhibits 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10.6</w:t>
      </w:r>
      <w:r>
        <w:rPr>
          <w:rFonts w:ascii="Times New Roman" w:cs="Times New Roman" w:eastAsia="Times New Roman" w:hAnsi="Times New Roman"/>
          <w:sz w:val="13"/>
          <w:szCs w:val="13"/>
          <w:color w:val="auto"/>
        </w:rPr>
        <w:t>, respectively, to this Current Report on Form 8-K and which are incorporated herein by reference. The Merger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50" w:right="1440" w:bottom="1440" w:gutter="0" w:footer="0" w:header="0"/>
        </w:sectPr>
      </w:pPr>
    </w:p>
    <w:bookmarkStart w:id="6" w:name="page7"/>
    <w:bookmarkEnd w:id="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has been attached as an exhibit to this Current Report on Form 8-K to provide investors and securityholders with information regarding its terms. It is not intended to provide any other factual information about Korsana or Cyclerion or to modify or supplement any factual disclosures about Cyclerion in its public reports filed with the SEC. The Merger Agreement includes representations, warranties and covenants of Korsana, Cyclerion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Korsana, Cyclerion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5.01 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28"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1159"/>
        <w:spacing w:after="0" w:line="267" w:lineRule="auto"/>
        <w:rPr>
          <w:sz w:val="20"/>
          <w:szCs w:val="20"/>
          <w:color w:val="auto"/>
        </w:rPr>
      </w:pPr>
      <w:r>
        <w:rPr>
          <w:rFonts w:ascii="Times New Roman" w:cs="Times New Roman" w:eastAsia="Times New Roman" w:hAnsi="Times New Roman"/>
          <w:sz w:val="13"/>
          <w:szCs w:val="13"/>
          <w:color w:val="auto"/>
        </w:rPr>
        <w:t>On April 1, 2026, the Company entered into an amended and restated offer letter (the “</w:t>
      </w:r>
      <w:r>
        <w:rPr>
          <w:rFonts w:ascii="Times New Roman" w:cs="Times New Roman" w:eastAsia="Times New Roman" w:hAnsi="Times New Roman"/>
          <w:sz w:val="13"/>
          <w:szCs w:val="13"/>
          <w:u w:val="single" w:color="auto"/>
          <w:color w:val="auto"/>
        </w:rPr>
        <w:t>A&amp;R Graul Offer Letter</w:t>
      </w:r>
      <w:r>
        <w:rPr>
          <w:rFonts w:ascii="Times New Roman" w:cs="Times New Roman" w:eastAsia="Times New Roman" w:hAnsi="Times New Roman"/>
          <w:sz w:val="13"/>
          <w:szCs w:val="13"/>
          <w:color w:val="auto"/>
        </w:rPr>
        <w:t>”) with its Regina Graul, Ph.D., Cyclerion’s President and Chief Executive Officer.</w:t>
      </w:r>
    </w:p>
    <w:p>
      <w:pPr>
        <w:spacing w:after="0" w:line="122"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Under the A&amp;R Graul Offer Letter, Ms. Graul will be entitled, at the Board’s discretion, to receive a bonus of up to $150,000 payable upon the consummation of transaction resulting in a change of control of Cyclerion. Ms. Graul is also entitled to (i) severance pay of nine months’ base salary,</w:t>
      </w:r>
    </w:p>
    <w:p>
      <w:pPr>
        <w:spacing w:after="0" w:line="1" w:lineRule="exact"/>
        <w:rPr>
          <w:sz w:val="20"/>
          <w:szCs w:val="20"/>
          <w:color w:val="auto"/>
        </w:rPr>
      </w:pPr>
    </w:p>
    <w:p>
      <w:pPr>
        <w:ind w:left="640" w:right="739" w:hanging="3"/>
        <w:spacing w:after="0" w:line="245" w:lineRule="auto"/>
        <w:tabs>
          <w:tab w:leader="none" w:pos="82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acceleration of vesting of any then unvested shares under then unvested and outstanding Cyclerion equity or equity-based awards and (iii) health insurance premium contributions for twelve (12) months, in each case, following termination without cause or resignation for Good Reason (as defined in the A&amp;R Graul Offer Letter).</w:t>
      </w:r>
    </w:p>
    <w:p>
      <w:pPr>
        <w:spacing w:after="0" w:line="136"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 xml:space="preserve">The foregoing summary of the principal terms of the A&amp;R Graul Offer Letter does not purport to be complete and is qualified in its entirety by reference to the full copy of the A&amp;R Graul Offer Letter filed hereto as </w:t>
      </w:r>
      <w:r>
        <w:rPr>
          <w:rFonts w:ascii="Times New Roman" w:cs="Times New Roman" w:eastAsia="Times New Roman" w:hAnsi="Times New Roman"/>
          <w:sz w:val="13"/>
          <w:szCs w:val="13"/>
          <w:u w:val="single" w:color="auto"/>
          <w:color w:val="auto"/>
        </w:rPr>
        <w:t>Exhibit 10.7</w:t>
      </w:r>
      <w:r>
        <w:rPr>
          <w:rFonts w:ascii="Times New Roman" w:cs="Times New Roman" w:eastAsia="Times New Roman" w:hAnsi="Times New Roman"/>
          <w:sz w:val="13"/>
          <w:szCs w:val="13"/>
          <w:color w:val="auto"/>
        </w:rPr>
        <w:t xml:space="preserve"> and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 xml:space="preserve">On April 1, 2026, Cyclerion and Korsana issued a joint press release announcing the entry into the Merger Agreement. The press release is furnished as </w:t>
      </w:r>
      <w:r>
        <w:rPr>
          <w:rFonts w:ascii="Times New Roman" w:cs="Times New Roman" w:eastAsia="Times New Roman" w:hAnsi="Times New Roman"/>
          <w:sz w:val="13"/>
          <w:szCs w:val="13"/>
          <w:u w:val="single" w:color="auto"/>
          <w:color w:val="auto"/>
        </w:rPr>
        <w:t>Exhibit 99.1</w:t>
      </w:r>
      <w:r>
        <w:rPr>
          <w:rFonts w:ascii="Times New Roman" w:cs="Times New Roman" w:eastAsia="Times New Roman" w:hAnsi="Times New Roman"/>
          <w:sz w:val="13"/>
          <w:szCs w:val="13"/>
          <w:color w:val="auto"/>
        </w:rPr>
        <w:t xml:space="preserve"> to this Current Report on Form 8-K and incorporated herein by reference, except that the information contained on the websites referenced in the press release is not incorporated herein by reference.</w:t>
      </w:r>
    </w:p>
    <w:p>
      <w:pPr>
        <w:spacing w:after="0" w:line="130"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 xml:space="preserve">Furnished as </w:t>
      </w:r>
      <w:r>
        <w:rPr>
          <w:rFonts w:ascii="Times New Roman" w:cs="Times New Roman" w:eastAsia="Times New Roman" w:hAnsi="Times New Roman"/>
          <w:sz w:val="13"/>
          <w:szCs w:val="13"/>
          <w:u w:val="single" w:color="auto"/>
          <w:color w:val="auto"/>
        </w:rPr>
        <w:t>Exhibit 99.2</w:t>
      </w:r>
      <w:r>
        <w:rPr>
          <w:rFonts w:ascii="Times New Roman" w:cs="Times New Roman" w:eastAsia="Times New Roman" w:hAnsi="Times New Roman"/>
          <w:sz w:val="13"/>
          <w:szCs w:val="13"/>
          <w:color w:val="auto"/>
        </w:rPr>
        <w:t xml:space="preserve"> hereto and incorporated herein by reference is the investor presentation that will be used by Cyclerion and Korsana in connection with the Merger, including the conference call described below.</w:t>
      </w:r>
    </w:p>
    <w:p>
      <w:pPr>
        <w:spacing w:after="0" w:line="122"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Cyclerion hosted a conference call to discuss the Merger as well as Korsana’s platform and pipeline assets at 8:00 a.m. Eastern time on April 1, 2026. Furnished as </w:t>
      </w:r>
      <w:r>
        <w:rPr>
          <w:rFonts w:ascii="Times New Roman" w:cs="Times New Roman" w:eastAsia="Times New Roman" w:hAnsi="Times New Roman"/>
          <w:sz w:val="13"/>
          <w:szCs w:val="13"/>
          <w:u w:val="single" w:color="auto"/>
          <w:color w:val="auto"/>
        </w:rPr>
        <w:t>Exhibit 99.3</w:t>
      </w:r>
      <w:r>
        <w:rPr>
          <w:rFonts w:ascii="Times New Roman" w:cs="Times New Roman" w:eastAsia="Times New Roman" w:hAnsi="Times New Roman"/>
          <w:sz w:val="13"/>
          <w:szCs w:val="13"/>
          <w:color w:val="auto"/>
        </w:rPr>
        <w:t xml:space="preserve"> hereto and incorporated herein by reference is the transcript that was used by Cyclerion and Korsana in connection with the merger agreement announcement conference call.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50" w:right="1440" w:bottom="1440" w:gutter="0" w:footer="0" w:header="0"/>
        </w:sectPr>
      </w:pPr>
    </w:p>
    <w:bookmarkStart w:id="7" w:name="page8"/>
    <w:bookmarkEnd w:id="7"/>
    <w:p>
      <w:pPr>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 xml:space="preserve">The information in this Item 7.01, including </w:t>
      </w:r>
      <w:r>
        <w:rPr>
          <w:rFonts w:ascii="Times New Roman" w:cs="Times New Roman" w:eastAsia="Times New Roman" w:hAnsi="Times New Roman"/>
          <w:sz w:val="12"/>
          <w:szCs w:val="12"/>
          <w:u w:val="single" w:color="auto"/>
          <w:color w:val="auto"/>
        </w:rPr>
        <w:t>Exhibits 99.1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99.3</w:t>
      </w:r>
      <w:r>
        <w:rPr>
          <w:rFonts w:ascii="Times New Roman" w:cs="Times New Roman" w:eastAsia="Times New Roman" w:hAnsi="Times New Roman"/>
          <w:sz w:val="12"/>
          <w:szCs w:val="12"/>
          <w:color w:val="auto"/>
        </w:rPr>
        <w:t xml:space="preserve"> attached hereto,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or the Exchange Act, except as expressly set forth by specific reference in such filing.</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contain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expected contribution and payment of dividends in connection with the Merger, including the timing thereof; the future operations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data and other clinical results;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w:t>
      </w:r>
    </w:p>
    <w:p>
      <w:pPr>
        <w:spacing w:after="0" w:line="138"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50" w:right="1440" w:bottom="1440" w:gutter="0" w:footer="0" w:header="0"/>
        </w:sectPr>
      </w:pPr>
    </w:p>
    <w:bookmarkStart w:id="8" w:name="page9"/>
    <w:bookmarkEnd w:id="8"/>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NEITHER THE SEC NOR ANY STATE SECURITIES COMMISSION HAS APPROVED OR DISAPPROVED OF THE SECURITIES OR DETERMINED IF THIS CURRENT REPORT ON FORM 8-K AND THE EXHIBITS FILED OR FURNISHED HEREWITH ARE TRUTHFUL OR COMPLETE.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Proposed Transaction Will be Filed with the SEC</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are not substitutes for any other document that Cyclerion may file with the SEC in connection with the proposed transaction, including the registration statement on Form S-4 (the “Form S-4”) that will contain a proxy statement and prospectus. In connection with the proposed transaction between Cyclerion and Korsana, Cyclerion intends to file relevant materials with the SEC, including the Form S-4. CYCLERION URGES INVESTORS AND SHAREHOLDERS TO READ THE REGISTRATION STATEMENT, INCLUDING THE PROXY STATEMENT/PROSPECTUS CONTAINED THEREIN, AND 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50" w:right="1440" w:bottom="1440" w:gutter="0" w:footer="0" w:header="0"/>
        </w:sectPr>
      </w:pPr>
    </w:p>
    <w:bookmarkStart w:id="9" w:name="page10"/>
    <w:bookmarkEnd w:id="9"/>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2545"/>
                    </a:xfrm>
                    <a:prstGeom prst="rect">
                      <a:avLst/>
                    </a:prstGeom>
                    <a:noFill/>
                  </pic:spPr>
                </pic:pic>
              </a:graphicData>
            </a:graphic>
          </wp:anchor>
        </w:drawing>
        <w:t xml:space="preserve">OTHER RELEVANT DOCUMENTS THAT MAY BE FILED WITH THE SEC, AS WELL AS ANY AMENDMENTS OR SUPPLEMENTS TO THESE DOCUMENTS, CAREFULLY AND IN THEIR ENTIRETY IF AND WHEN THEY BECOME AVAILABLE BECAUSE THEY WILL CONTAIN IMPORTANT INFORMATION ABOUT CYCLERION, KORSANA, THE PROPOSED TRANSACTION AND RELATED MATTERS. Investors and shareholders will be able to obtain free copies of the Form S-4 and other documents filed by Cyclerion with the SEC (when they become available) through the website maintained by the SEC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In addition, investors and shareholders should note that Cyclerion communicates with investors and the public using its website (</w:t>
      </w:r>
      <w:r>
        <w:rPr>
          <w:rFonts w:ascii="Times New Roman" w:cs="Times New Roman" w:eastAsia="Times New Roman" w:hAnsi="Times New Roman"/>
          <w:sz w:val="12"/>
          <w:szCs w:val="12"/>
          <w:i w:val="1"/>
          <w:iCs w:val="1"/>
          <w:color w:val="auto"/>
        </w:rPr>
        <w:t>https://www.cyclerion.com/</w:t>
      </w:r>
      <w:r>
        <w:rPr>
          <w:rFonts w:ascii="Times New Roman" w:cs="Times New Roman" w:eastAsia="Times New Roman" w:hAnsi="Times New Roman"/>
          <w:sz w:val="12"/>
          <w:szCs w:val="12"/>
          <w:color w:val="auto"/>
        </w:rPr>
        <w:t>) and the investor relations website (</w:t>
      </w:r>
      <w:r>
        <w:rPr>
          <w:rFonts w:ascii="Times New Roman" w:cs="Times New Roman" w:eastAsia="Times New Roman" w:hAnsi="Times New Roman"/>
          <w:sz w:val="12"/>
          <w:szCs w:val="12"/>
          <w:i w:val="1"/>
          <w:iCs w:val="1"/>
          <w:color w:val="auto"/>
        </w:rPr>
        <w:t>https://ir.cyclerion.com/</w:t>
      </w:r>
      <w:r>
        <w:rPr>
          <w:rFonts w:ascii="Times New Roman" w:cs="Times New Roman" w:eastAsia="Times New Roman" w:hAnsi="Times New Roman"/>
          <w:sz w:val="12"/>
          <w:szCs w:val="12"/>
          <w:color w:val="auto"/>
        </w:rPr>
        <w:t>) where anyone will be able to obtain free copies of the Registration Statement and included proxy statement/prospectus and other documents filed by Cyclerion with the SEC and shareholders are urged to read the Registration Statement and included proxy statement/prospectus and the other relevant materials when they become available before making any voting or investment decision with respect to the proposed transaction.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Cyclerion, Korsana and their respective directors and executive officers may be deemed to be participants in the solicitation of proxies from shareholders in connection with the proposed transaction. Information about Cyclerion’s directors and executive officers, including a description of their interests in Cyclerion is included in Cyclerion’s most recent definitive proxy statement, as filed with the SEC on April 29, 2025.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50"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380" w:type="dxa"/>
            <w:vAlign w:val="bottom"/>
          </w:tcPr>
          <w:p>
            <w:pPr>
              <w:spacing w:after="0"/>
              <w:rPr>
                <w:sz w:val="16"/>
                <w:szCs w:val="16"/>
                <w:color w:val="auto"/>
              </w:rPr>
            </w:pPr>
          </w:p>
        </w:tc>
        <w:tc>
          <w:tcPr>
            <w:tcW w:w="66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3"/>
                <w:szCs w:val="13"/>
                <w:color w:val="0000EE"/>
                <w:w w:val="96"/>
              </w:rPr>
              <w:t>Agreement and Plan of Merger and Reorganization, dated as of April 1, 2026, by and among Cyclerion Therapeutics, Inc., Cariboos</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40" w:type="dxa"/>
            <w:vAlign w:val="bottom"/>
            <w:tcBorders>
              <w:bottom w:val="single" w:sz="8" w:color="0000EE"/>
            </w:tcBorders>
            <w:gridSpan w:val="13"/>
          </w:tcPr>
          <w:p>
            <w:pPr>
              <w:spacing w:after="0" w:line="132" w:lineRule="exact"/>
              <w:rPr>
                <w:sz w:val="20"/>
                <w:szCs w:val="20"/>
                <w:color w:val="auto"/>
              </w:rPr>
            </w:pPr>
            <w:r>
              <w:rPr>
                <w:rFonts w:ascii="Times New Roman" w:cs="Times New Roman" w:eastAsia="Times New Roman" w:hAnsi="Times New Roman"/>
                <w:sz w:val="13"/>
                <w:szCs w:val="13"/>
                <w:color w:val="0000EE"/>
                <w:w w:val="96"/>
              </w:rPr>
              <w:t>Merger Sub Corp., Cariboos Merger Sub II, LLC and Korsana Biosciences, Inc.</w:t>
            </w:r>
          </w:p>
        </w:tc>
        <w:tc>
          <w:tcPr>
            <w:tcW w:w="2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spacing w:after="0"/>
              <w:rPr>
                <w:sz w:val="18"/>
                <w:szCs w:val="18"/>
                <w:color w:val="auto"/>
              </w:rPr>
            </w:pPr>
          </w:p>
        </w:tc>
        <w:tc>
          <w:tcPr>
            <w:tcW w:w="5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w w:val="96"/>
              </w:rPr>
              <w:t>Form of Articles of Amendment to the Restated Articles of Organization of Cyclerion Therapeutics, Inc.</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80" w:type="dxa"/>
            <w:vAlign w:val="bottom"/>
          </w:tcPr>
          <w:p>
            <w:pPr>
              <w:spacing w:after="0"/>
              <w:rPr>
                <w:sz w:val="18"/>
                <w:szCs w:val="18"/>
                <w:color w:val="auto"/>
              </w:rPr>
            </w:pPr>
          </w:p>
        </w:tc>
        <w:tc>
          <w:tcPr>
            <w:tcW w:w="666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Form of Korsana Support Agreement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380" w:type="dxa"/>
            <w:vAlign w:val="bottom"/>
          </w:tcPr>
          <w:p>
            <w:pPr>
              <w:spacing w:after="0"/>
              <w:rPr>
                <w:sz w:val="18"/>
                <w:szCs w:val="18"/>
                <w:color w:val="auto"/>
              </w:rPr>
            </w:pPr>
          </w:p>
        </w:tc>
        <w:tc>
          <w:tcPr>
            <w:tcW w:w="1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5"/>
              </w:rPr>
              <w:t>Form of Cyclerion Support Agreement</w:t>
            </w:r>
          </w:p>
        </w:tc>
        <w:tc>
          <w:tcPr>
            <w:tcW w:w="47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380" w:type="dxa"/>
            <w:vAlign w:val="bottom"/>
          </w:tcPr>
          <w:p>
            <w:pPr>
              <w:spacing w:after="0"/>
              <w:rPr>
                <w:sz w:val="18"/>
                <w:szCs w:val="18"/>
                <w:color w:val="auto"/>
              </w:rPr>
            </w:pPr>
          </w:p>
        </w:tc>
        <w:tc>
          <w:tcPr>
            <w:tcW w:w="666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Form of Korsana Securities Purchase Agreement</w:t>
            </w: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80" w:type="dxa"/>
            <w:vAlign w:val="bottom"/>
          </w:tcPr>
          <w:p>
            <w:pPr>
              <w:spacing w:after="0"/>
              <w:rPr>
                <w:sz w:val="18"/>
                <w:szCs w:val="18"/>
                <w:color w:val="auto"/>
              </w:rPr>
            </w:pPr>
          </w:p>
        </w:tc>
        <w:tc>
          <w:tcPr>
            <w:tcW w:w="24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Form of Registration Rights Agreement</w:t>
            </w:r>
          </w:p>
        </w:tc>
        <w:tc>
          <w:tcPr>
            <w:tcW w:w="42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380" w:type="dxa"/>
            <w:vAlign w:val="bottom"/>
          </w:tcPr>
          <w:p>
            <w:pPr>
              <w:spacing w:after="0"/>
              <w:rPr>
                <w:sz w:val="18"/>
                <w:szCs w:val="18"/>
                <w:color w:val="auto"/>
              </w:rPr>
            </w:pPr>
          </w:p>
        </w:tc>
        <w:tc>
          <w:tcPr>
            <w:tcW w:w="20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Form of Lock-Up Agreement</w:t>
            </w:r>
          </w:p>
        </w:tc>
        <w:tc>
          <w:tcPr>
            <w:tcW w:w="46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380" w:type="dxa"/>
            <w:vAlign w:val="bottom"/>
          </w:tcPr>
          <w:p>
            <w:pPr>
              <w:spacing w:after="0"/>
              <w:rPr>
                <w:sz w:val="18"/>
                <w:szCs w:val="18"/>
                <w:color w:val="auto"/>
              </w:rPr>
            </w:pPr>
          </w:p>
        </w:tc>
        <w:tc>
          <w:tcPr>
            <w:tcW w:w="14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Form of CVR Agreement</w:t>
            </w:r>
          </w:p>
        </w:tc>
        <w:tc>
          <w:tcPr>
            <w:tcW w:w="51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380" w:type="dxa"/>
            <w:vAlign w:val="bottom"/>
          </w:tcPr>
          <w:p>
            <w:pPr>
              <w:spacing w:after="0"/>
              <w:rPr>
                <w:sz w:val="18"/>
                <w:szCs w:val="18"/>
                <w:color w:val="auto"/>
              </w:rPr>
            </w:pPr>
          </w:p>
        </w:tc>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9"/>
              </w:rPr>
              <w:t>A&amp;R Graul Offer Letter</w:t>
            </w:r>
          </w:p>
        </w:tc>
        <w:tc>
          <w:tcPr>
            <w:tcW w:w="53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80" w:type="dxa"/>
            <w:vAlign w:val="bottom"/>
          </w:tcPr>
          <w:p>
            <w:pPr>
              <w:spacing w:after="0"/>
              <w:rPr>
                <w:sz w:val="18"/>
                <w:szCs w:val="18"/>
                <w:color w:val="auto"/>
              </w:rPr>
            </w:pPr>
          </w:p>
        </w:tc>
        <w:tc>
          <w:tcPr>
            <w:tcW w:w="1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6"/>
              </w:rPr>
              <w:t>Press Release, issued on April 1, 2026</w:t>
            </w:r>
          </w:p>
        </w:tc>
        <w:tc>
          <w:tcPr>
            <w:tcW w:w="47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80" w:type="dxa"/>
            <w:vAlign w:val="bottom"/>
          </w:tcPr>
          <w:p>
            <w:pPr>
              <w:spacing w:after="0"/>
              <w:rPr>
                <w:sz w:val="18"/>
                <w:szCs w:val="18"/>
                <w:color w:val="auto"/>
              </w:rPr>
            </w:pPr>
          </w:p>
        </w:tc>
        <w:tc>
          <w:tcPr>
            <w:tcW w:w="666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Investor Presentation, dated April 2026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380" w:type="dxa"/>
            <w:vAlign w:val="bottom"/>
          </w:tcPr>
          <w:p>
            <w:pPr>
              <w:spacing w:after="0"/>
              <w:rPr>
                <w:sz w:val="18"/>
                <w:szCs w:val="18"/>
                <w:color w:val="auto"/>
              </w:rPr>
            </w:pPr>
          </w:p>
        </w:tc>
        <w:tc>
          <w:tcPr>
            <w:tcW w:w="2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w w:val="95"/>
              </w:rPr>
              <w:t>Conference Call Transcript dated April 1, 2026</w:t>
            </w:r>
          </w:p>
        </w:tc>
        <w:tc>
          <w:tcPr>
            <w:tcW w:w="4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2"/>
          <w:szCs w:val="12"/>
          <w:color w:val="auto"/>
        </w:rPr>
        <w:t>Cover Page Interactive Data File (formatted as Inline XBRL)</w:t>
      </w:r>
    </w:p>
    <w:p>
      <w:pPr>
        <w:spacing w:after="0" w:line="172" w:lineRule="exact"/>
        <w:rPr>
          <w:sz w:val="20"/>
          <w:szCs w:val="20"/>
          <w:color w:val="auto"/>
        </w:rPr>
      </w:pPr>
    </w:p>
    <w:p>
      <w:pPr>
        <w:ind w:left="780" w:right="959" w:hanging="152"/>
        <w:spacing w:after="0" w:line="255" w:lineRule="auto"/>
        <w:rPr>
          <w:sz w:val="20"/>
          <w:szCs w:val="20"/>
          <w:color w:val="auto"/>
        </w:rPr>
      </w:pPr>
      <w:r>
        <w:rPr>
          <w:rFonts w:ascii="Times New Roman" w:cs="Times New Roman" w:eastAsia="Times New Roman" w:hAnsi="Times New Roman"/>
          <w:sz w:val="13"/>
          <w:szCs w:val="13"/>
          <w:color w:val="auto"/>
        </w:rPr>
        <w:t xml:space="preserve">* 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registrant may request confidential treatment pursuant to Rule 24b-2 under the Exchange Act for any exhibits or schedules so furnished.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48"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(Registrant)</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Regina Graul, Ph.D</w:t>
            </w:r>
          </w:p>
        </w:tc>
      </w:tr>
      <w:tr>
        <w:trPr>
          <w:trHeight w:val="138"/>
        </w:trPr>
        <w:tc>
          <w:tcPr>
            <w:tcW w:w="2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Date: April 1, 2026</w:t>
            </w:r>
          </w:p>
        </w:tc>
        <w:tc>
          <w:tcPr>
            <w:tcW w:w="1900" w:type="dxa"/>
            <w:vAlign w:val="bottom"/>
          </w:tcPr>
          <w:p>
            <w:pPr>
              <w:ind w:left="146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Regina Graul, Ph.D.</w:t>
            </w:r>
          </w:p>
        </w:tc>
      </w:tr>
      <w:tr>
        <w:trPr>
          <w:trHeight w:val="165"/>
        </w:trPr>
        <w:tc>
          <w:tcPr>
            <w:tcW w:w="24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9019"/>
          </w:cols>
          <w:pgMar w:left="1440" w:top="248" w:right="1440" w:bottom="1440" w:gutter="0" w:footer="0" w:header="0"/>
        </w:sectPr>
      </w:pPr>
    </w:p>
    <w:bookmarkStart w:id="12" w:name="page13"/>
    <w:bookmarkEnd w:id="1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115570</wp:posOffset>
            </wp:positionV>
            <wp:extent cx="491045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 AND REORGANIZATION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CARIBOOS MERGER SUB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CARIBOOS MERGER SUB II, LLC; 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80" w:type="dxa"/>
            <w:vAlign w:val="bottom"/>
          </w:tcPr>
          <w:p>
            <w:pPr>
              <w:ind w:left="25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00" w:type="dxa"/>
            <w:vAlign w:val="bottom"/>
          </w:tcPr>
          <w:p>
            <w:pPr>
              <w:spacing w:after="0"/>
              <w:rPr>
                <w:sz w:val="14"/>
                <w:szCs w:val="14"/>
                <w:color w:val="auto"/>
              </w:rPr>
            </w:pPr>
          </w:p>
        </w:tc>
      </w:tr>
      <w:tr>
        <w:trPr>
          <w:trHeight w:val="275"/>
        </w:trPr>
        <w:tc>
          <w:tcPr>
            <w:tcW w:w="6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2"/>
              </w:rPr>
              <w:t>Page</w:t>
            </w:r>
          </w:p>
        </w:tc>
      </w:tr>
      <w:tr>
        <w:trPr>
          <w:trHeight w:val="208"/>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 Definitions and Interpretative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Definitional and Interpretative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2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2. Description of Transaction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Effects of 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First Effective Time; Second Effective Time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 Directors and Officers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Company, First Merger Sub and Second Merger Sub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of the Company’s Transfer Books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2.7</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Surrender of Company Capital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2.8</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Calculation of Parent Net Cash and Company Valuation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2.9</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Contingent Value Right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2.10</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Further Action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Intended Tax Treatment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Withholding</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Appraisal Rights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3. Representations and Warranties of the 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Vote Required</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3.7</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Financial Statements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3.8</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Changes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3.9</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3.10</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to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Real Property; Leasehold</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Intellectual Property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56"/>
        </w:trPr>
        <w:tc>
          <w:tcPr>
            <w:tcW w:w="620" w:type="dxa"/>
            <w:vAlign w:val="bottom"/>
          </w:tcPr>
          <w:p>
            <w:pPr>
              <w:spacing w:after="0"/>
              <w:rPr>
                <w:sz w:val="22"/>
                <w:szCs w:val="22"/>
                <w:color w:val="auto"/>
              </w:rPr>
            </w:pPr>
          </w:p>
        </w:tc>
        <w:tc>
          <w:tcPr>
            <w:tcW w:w="688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A-2</w:t>
            </w:r>
          </w:p>
        </w:tc>
        <w:tc>
          <w:tcPr>
            <w:tcW w:w="20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4" w:name="page15"/>
    <w:bookmarkEnd w:id="14"/>
    <w:tbl>
      <w:tblPr>
        <w:tblLayout w:type="fixed"/>
        <w:tblInd w:w="640" w:type="dxa"/>
        <w:tblCellMar>
          <w:top w:w="0" w:type="dxa"/>
          <w:left w:w="0" w:type="dxa"/>
          <w:bottom w:w="0" w:type="dxa"/>
          <w:right w:w="0" w:type="dxa"/>
        </w:tblCellMar>
      </w:tblP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Financial Advisors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Control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Ownership of Parent Capital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4. Representations and Warranties of Parent, First Merger Sub and Second Merger Sub</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Vote Required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4.6</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Changes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to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Real Property; Leasehold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Intellectual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Proceedings; Orders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4.16</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Financial Advisors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Valid Issuance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Control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56"/>
        </w:trPr>
        <w:tc>
          <w:tcPr>
            <w:tcW w:w="620" w:type="dxa"/>
            <w:vAlign w:val="bottom"/>
          </w:tcPr>
          <w:p>
            <w:pPr>
              <w:spacing w:after="0"/>
              <w:rPr>
                <w:sz w:val="22"/>
                <w:szCs w:val="22"/>
                <w:color w:val="auto"/>
              </w:rPr>
            </w:pPr>
          </w:p>
        </w:tc>
        <w:tc>
          <w:tcPr>
            <w:tcW w:w="558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A-3</w:t>
            </w:r>
          </w:p>
        </w:tc>
        <w:tc>
          <w:tcPr>
            <w:tcW w:w="150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tbl>
      <w:tblPr>
        <w:tblLayout w:type="fixed"/>
        <w:tblInd w:w="640" w:type="dxa"/>
        <w:tblCellMar>
          <w:top w:w="0" w:type="dxa"/>
          <w:left w:w="0" w:type="dxa"/>
          <w:bottom w:w="0" w:type="dxa"/>
          <w:right w:w="0" w:type="dxa"/>
        </w:tblCellMar>
      </w:tblPr>
      <w:tr>
        <w:trPr>
          <w:trHeight w:val="165"/>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5. Certain Covenants of the 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 of Parent’s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 of the Company’s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Solicitation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6. Additional Agreements of the 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Registration Statement, Proxy Statement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Shareholder Meeting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Efforts; Regulatory Approvals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Options; Company RSUs; Company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6.6</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Benefits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6.7</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6.8</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6.9</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Listing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6.10</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Legends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Officers and Directors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Section 16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Allocation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6.16</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SEC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6.17</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Obligations of Merger Subs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6.18</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6.19</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Pre-Closing Financing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6.20</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of Certain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7. Conditions Precedent to Obligations of Each Party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Regulatory Approvals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Restraints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Stockholder Approval</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Listing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Effectiveness of Registration Statement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8. Additional Conditions Precedent to Obligations of Parent and Merger Subs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56"/>
        </w:trPr>
        <w:tc>
          <w:tcPr>
            <w:tcW w:w="620" w:type="dxa"/>
            <w:vAlign w:val="bottom"/>
          </w:tcPr>
          <w:p>
            <w:pPr>
              <w:spacing w:after="0"/>
              <w:rPr>
                <w:sz w:val="22"/>
                <w:szCs w:val="22"/>
                <w:color w:val="auto"/>
              </w:rPr>
            </w:pPr>
          </w:p>
        </w:tc>
        <w:tc>
          <w:tcPr>
            <w:tcW w:w="534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A-4</w:t>
            </w:r>
          </w:p>
        </w:tc>
        <w:tc>
          <w:tcPr>
            <w:tcW w:w="174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6" w:name="page17"/>
    <w:bookmarkEnd w:id="16"/>
    <w:tbl>
      <w:tblPr>
        <w:tblLayout w:type="fixed"/>
        <w:tblInd w:w="640" w:type="dxa"/>
        <w:tblCellMar>
          <w:top w:w="0" w:type="dxa"/>
          <w:left w:w="0" w:type="dxa"/>
          <w:bottom w:w="0" w:type="dxa"/>
          <w:right w:w="0" w:type="dxa"/>
        </w:tblCellMar>
      </w:tblP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Company Material Adverse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Pre-Closing Financing</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9. Additional Conditions Precedent to Obligation of the Company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Parent Material Adverse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Articles of Amendment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9.7</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Agreements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10.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11. Miscellaneous Provisions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Applicable Law; Jurisdiction; WAIVER OF RIGHT TO TRIAL BY JURY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11.7</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11.8</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11.9</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11.10</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80"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A-1</w:t>
      </w:r>
      <w:r>
        <w:rPr>
          <w:sz w:val="20"/>
          <w:szCs w:val="20"/>
          <w:color w:val="auto"/>
        </w:rPr>
        <w:tab/>
      </w:r>
      <w:r>
        <w:rPr>
          <w:rFonts w:ascii="Times New Roman" w:cs="Times New Roman" w:eastAsia="Times New Roman" w:hAnsi="Times New Roman"/>
          <w:sz w:val="12"/>
          <w:szCs w:val="12"/>
          <w:color w:val="auto"/>
        </w:rPr>
        <w:t>Form of Parent Shareholder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A-2</w:t>
      </w:r>
      <w:r>
        <w:rPr>
          <w:sz w:val="20"/>
          <w:szCs w:val="20"/>
          <w:color w:val="auto"/>
        </w:rPr>
        <w:tab/>
      </w:r>
      <w:r>
        <w:rPr>
          <w:rFonts w:ascii="Times New Roman" w:cs="Times New Roman" w:eastAsia="Times New Roman" w:hAnsi="Times New Roman"/>
          <w:sz w:val="12"/>
          <w:szCs w:val="12"/>
          <w:color w:val="auto"/>
        </w:rPr>
        <w:t>Form of Company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Form of Lock-Up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Form of Subscription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31" w:right="1440" w:bottom="1440" w:gutter="0" w:footer="0" w:header="0"/>
        </w:sectPr>
      </w:pPr>
    </w:p>
    <w:bookmarkStart w:id="17" w:name="page18"/>
    <w:bookmarkEnd w:id="17"/>
    <w:p>
      <w:pPr>
        <w:ind w:left="1420" w:right="799" w:hanging="776"/>
        <w:spacing w:after="0" w:line="267" w:lineRule="auto"/>
        <w:tabs>
          <w:tab w:leader="none" w:pos="140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D-1</w:t>
        <w:tab/>
        <w:t>First Certificate of Merger, including certificate of incorporation of the First Step Surviving Corporation attached as Exhibit A thereto, incorporated by reference into this Agreement</w:t>
      </w:r>
    </w:p>
    <w:p>
      <w:pPr>
        <w:spacing w:after="0" w:line="46"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D-2</w:t>
      </w:r>
      <w:r>
        <w:rPr>
          <w:sz w:val="20"/>
          <w:szCs w:val="20"/>
          <w:color w:val="auto"/>
        </w:rPr>
        <w:tab/>
      </w:r>
      <w:r>
        <w:rPr>
          <w:rFonts w:ascii="Times New Roman" w:cs="Times New Roman" w:eastAsia="Times New Roman" w:hAnsi="Times New Roman"/>
          <w:sz w:val="12"/>
          <w:szCs w:val="12"/>
          <w:color w:val="auto"/>
        </w:rPr>
        <w:t>Second Certificate of Merger, incorporated by reference into this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2"/>
          <w:szCs w:val="12"/>
          <w:color w:val="auto"/>
        </w:rPr>
        <w:t>Form of Parent Articles of Amendment Schedule</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F</w:t>
      </w:r>
      <w:r>
        <w:rPr>
          <w:sz w:val="20"/>
          <w:szCs w:val="20"/>
          <w:color w:val="auto"/>
        </w:rPr>
        <w:tab/>
      </w:r>
      <w:r>
        <w:rPr>
          <w:rFonts w:ascii="Times New Roman" w:cs="Times New Roman" w:eastAsia="Times New Roman" w:hAnsi="Times New Roman"/>
          <w:sz w:val="12"/>
          <w:szCs w:val="12"/>
          <w:color w:val="auto"/>
        </w:rPr>
        <w:t>Form of CVR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G</w:t>
      </w:r>
      <w:r>
        <w:rPr>
          <w:sz w:val="20"/>
          <w:szCs w:val="20"/>
          <w:color w:val="auto"/>
        </w:rPr>
        <w:tab/>
      </w:r>
      <w:r>
        <w:rPr>
          <w:rFonts w:ascii="Times New Roman" w:cs="Times New Roman" w:eastAsia="Times New Roman" w:hAnsi="Times New Roman"/>
          <w:sz w:val="12"/>
          <w:szCs w:val="12"/>
          <w:color w:val="auto"/>
        </w:rPr>
        <w:t>Form of Pre-Funded Warrant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30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 AND REORGANIZATION</w:t>
      </w:r>
    </w:p>
    <w:p>
      <w:pPr>
        <w:spacing w:after="0" w:line="154"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HIS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9"/>
          <w:szCs w:val="9"/>
          <w:b w:val="1"/>
          <w:bCs w:val="1"/>
          <w:color w:val="auto"/>
        </w:rPr>
        <w:t>GREEMENT AND</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9"/>
          <w:szCs w:val="9"/>
          <w:b w:val="1"/>
          <w:bCs w:val="1"/>
          <w:color w:val="auto"/>
        </w:rPr>
        <w:t>LAN OF</w:t>
      </w:r>
      <w:r>
        <w:rPr>
          <w:rFonts w:ascii="Times New Roman" w:cs="Times New Roman" w:eastAsia="Times New Roman" w:hAnsi="Times New Roman"/>
          <w:sz w:val="12"/>
          <w:szCs w:val="12"/>
          <w:b w:val="1"/>
          <w:bCs w:val="1"/>
          <w:color w:val="auto"/>
        </w:rPr>
        <w:t xml:space="preserve"> M</w:t>
      </w:r>
      <w:r>
        <w:rPr>
          <w:rFonts w:ascii="Times New Roman" w:cs="Times New Roman" w:eastAsia="Times New Roman" w:hAnsi="Times New Roman"/>
          <w:sz w:val="9"/>
          <w:szCs w:val="9"/>
          <w:b w:val="1"/>
          <w:bCs w:val="1"/>
          <w:color w:val="auto"/>
        </w:rPr>
        <w:t>ERGER AND</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9"/>
          <w:szCs w:val="9"/>
          <w:b w:val="1"/>
          <w:bCs w:val="1"/>
          <w:color w:val="auto"/>
        </w:rPr>
        <w:t>EORGANIZATION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and entered into as of April 1, 2026, by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among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YCLERION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Massachusetts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ARIBOOS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w:t>
      </w:r>
      <w:r>
        <w:rPr>
          <w:rFonts w:ascii="Times New Roman" w:cs="Times New Roman" w:eastAsia="Times New Roman" w:hAnsi="Times New Roman"/>
          <w:sz w:val="9"/>
          <w:szCs w:val="9"/>
          <w:b w:val="1"/>
          <w:bCs w:val="1"/>
          <w:color w:val="auto"/>
        </w:rPr>
        <w:t>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9"/>
          <w:szCs w:val="9"/>
          <w:b w:val="1"/>
          <w:bCs w:val="1"/>
          <w:color w:val="auto"/>
        </w:rPr>
        <w:t>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ORP</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and wholly owned subsidiary of Parent (“</w:t>
      </w:r>
      <w:r>
        <w:rPr>
          <w:rFonts w:ascii="Times New Roman" w:cs="Times New Roman" w:eastAsia="Times New Roman" w:hAnsi="Times New Roman"/>
          <w:sz w:val="12"/>
          <w:szCs w:val="12"/>
          <w:b w:val="1"/>
          <w:bCs w:val="1"/>
          <w:color w:val="auto"/>
        </w:rPr>
        <w:t>First Merger Sub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ARIBOOS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w:t>
      </w:r>
      <w:r>
        <w:rPr>
          <w:rFonts w:ascii="Times New Roman" w:cs="Times New Roman" w:eastAsia="Times New Roman" w:hAnsi="Times New Roman"/>
          <w:sz w:val="9"/>
          <w:szCs w:val="9"/>
          <w:b w:val="1"/>
          <w:bCs w:val="1"/>
          <w:color w:val="auto"/>
        </w:rPr>
        <w:t>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9"/>
          <w:szCs w:val="9"/>
          <w:b w:val="1"/>
          <w:bCs w:val="1"/>
          <w:color w:val="auto"/>
        </w:rPr>
        <w:t>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II, LLC</w:t>
      </w:r>
      <w:r>
        <w:rPr>
          <w:rFonts w:ascii="Times New Roman" w:cs="Times New Roman" w:eastAsia="Times New Roman" w:hAnsi="Times New Roman"/>
          <w:sz w:val="12"/>
          <w:szCs w:val="12"/>
          <w:color w:val="auto"/>
        </w:rPr>
        <w:t>, a Delaware limited liability company and wholly owned subsidiary of Parent (“</w:t>
      </w:r>
      <w:r>
        <w:rPr>
          <w:rFonts w:ascii="Times New Roman" w:cs="Times New Roman" w:eastAsia="Times New Roman" w:hAnsi="Times New Roman"/>
          <w:sz w:val="12"/>
          <w:szCs w:val="12"/>
          <w:b w:val="1"/>
          <w:bCs w:val="1"/>
          <w:color w:val="auto"/>
        </w:rPr>
        <w:t>Second Merger Sub</w:t>
      </w:r>
      <w:r>
        <w:rPr>
          <w:rFonts w:ascii="Times New Roman" w:cs="Times New Roman" w:eastAsia="Times New Roman" w:hAnsi="Times New Roman"/>
          <w:sz w:val="12"/>
          <w:szCs w:val="12"/>
          <w:color w:val="auto"/>
        </w:rPr>
        <w:t>” and, together with First Merger Sub, “</w:t>
      </w:r>
      <w:r>
        <w:rPr>
          <w:rFonts w:ascii="Times New Roman" w:cs="Times New Roman" w:eastAsia="Times New Roman" w:hAnsi="Times New Roman"/>
          <w:sz w:val="12"/>
          <w:szCs w:val="12"/>
          <w:b w:val="1"/>
          <w:bCs w:val="1"/>
          <w:color w:val="auto"/>
        </w:rPr>
        <w:t>Merger Subs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K</w:t>
      </w:r>
      <w:r>
        <w:rPr>
          <w:rFonts w:ascii="Times New Roman" w:cs="Times New Roman" w:eastAsia="Times New Roman" w:hAnsi="Times New Roman"/>
          <w:sz w:val="9"/>
          <w:szCs w:val="9"/>
          <w:b w:val="1"/>
          <w:bCs w:val="1"/>
          <w:color w:val="auto"/>
        </w:rPr>
        <w:t>ORSANA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9"/>
          <w:szCs w:val="9"/>
          <w:b w:val="1"/>
          <w:bCs w:val="1"/>
          <w:color w:val="auto"/>
        </w:rPr>
        <w:t>IOSCIENCES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Certain capitalized terms used in this Agreement are defined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ECITALS</w:t>
      </w:r>
    </w:p>
    <w:p>
      <w:pPr>
        <w:spacing w:after="0" w:line="154"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A. Parent and the Company intend to effect a merger of First Merger Sub with and into the Company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in accordance with this Agreement and the DGCL. Upon consummation of the First Merger, First Merger Sub will cease to exist and the Company will become a wholly owned subsidiary of Parent.</w:t>
      </w:r>
    </w:p>
    <w:p>
      <w:pPr>
        <w:spacing w:after="0" w:line="128" w:lineRule="exact"/>
        <w:rPr>
          <w:sz w:val="20"/>
          <w:szCs w:val="20"/>
          <w:color w:val="auto"/>
        </w:rPr>
      </w:pPr>
    </w:p>
    <w:p>
      <w:pPr>
        <w:jc w:val="both"/>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B. Immediately following the First Merger and as part of the same overall transaction as the First Merger, the Company will merge with and 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w:t>
      </w:r>
    </w:p>
    <w:p>
      <w:pPr>
        <w:spacing w:after="0" w:line="130" w:lineRule="exact"/>
        <w:rPr>
          <w:sz w:val="20"/>
          <w:szCs w:val="20"/>
          <w:color w:val="auto"/>
        </w:rPr>
      </w:pPr>
    </w:p>
    <w:p>
      <w:pPr>
        <w:ind w:left="640" w:right="819" w:firstLine="309"/>
        <w:spacing w:after="0" w:line="286" w:lineRule="auto"/>
        <w:rPr>
          <w:sz w:val="20"/>
          <w:szCs w:val="20"/>
          <w:color w:val="auto"/>
        </w:rPr>
      </w:pPr>
      <w:r>
        <w:rPr>
          <w:rFonts w:ascii="Times New Roman" w:cs="Times New Roman" w:eastAsia="Times New Roman" w:hAnsi="Times New Roman"/>
          <w:sz w:val="12"/>
          <w:szCs w:val="12"/>
          <w:color w:val="auto"/>
        </w:rPr>
        <w:t>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spacing w:after="0" w:line="11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w:t>
      </w:r>
    </w:p>
    <w:p>
      <w:pPr>
        <w:spacing w:after="0" w:line="134"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spacing w:after="0" w:line="133" w:lineRule="exact"/>
        <w:rPr>
          <w:sz w:val="20"/>
          <w:szCs w:val="20"/>
          <w:color w:val="auto"/>
        </w:rPr>
      </w:pPr>
    </w:p>
    <w:p>
      <w:pPr>
        <w:ind w:left="640" w:right="979" w:firstLine="309"/>
        <w:spacing w:after="0" w:line="274" w:lineRule="auto"/>
        <w:rPr>
          <w:sz w:val="20"/>
          <w:szCs w:val="20"/>
          <w:color w:val="auto"/>
        </w:rPr>
      </w:pPr>
      <w:r>
        <w:rPr>
          <w:rFonts w:ascii="Times New Roman" w:cs="Times New Roman" w:eastAsia="Times New Roman" w:hAnsi="Times New Roman"/>
          <w:sz w:val="12"/>
          <w:szCs w:val="12"/>
          <w:color w:val="auto"/>
        </w:rPr>
        <w:t>F. The sole member of the Second Merger Sub has (i) determined that the Contemplated Transactions are fair to, advisable, and in the best interests of Second Merger Sub and its sole member, (ii) approved and declared advisable this Agreement and the Contemplated Transactions, and</w:t>
      </w:r>
    </w:p>
    <w:p>
      <w:pPr>
        <w:spacing w:after="0" w:line="1" w:lineRule="exact"/>
        <w:rPr>
          <w:sz w:val="20"/>
          <w:szCs w:val="20"/>
          <w:color w:val="auto"/>
        </w:rPr>
      </w:pPr>
    </w:p>
    <w:p>
      <w:pPr>
        <w:ind w:left="640" w:right="879" w:hanging="3"/>
        <w:spacing w:after="0" w:line="246" w:lineRule="auto"/>
        <w:tabs>
          <w:tab w:leader="none" w:pos="86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the sole member of Second Merger Sub votes to adopt this Agreement and thereby approve the Contemplated Transactions, and against any competing proposals.</w:t>
      </w:r>
    </w:p>
    <w:p>
      <w:pPr>
        <w:sectPr>
          <w:pgSz w:w="11900" w:h="16838" w:orient="portrait"/>
          <w:cols w:equalWidth="0" w:num="1">
            <w:col w:w="9019"/>
          </w:cols>
          <w:pgMar w:left="1440" w:top="229" w:right="1440" w:bottom="1440" w:gutter="0" w:footer="0" w:header="0"/>
        </w:sectPr>
      </w:pPr>
    </w:p>
    <w:bookmarkStart w:id="19" w:name="page20"/>
    <w:bookmarkEnd w:id="19"/>
    <w:p>
      <w:pPr>
        <w:jc w:val="both"/>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33" w:lineRule="exact"/>
        <w:rPr>
          <w:sz w:val="20"/>
          <w:szCs w:val="20"/>
          <w:color w:val="auto"/>
        </w:rPr>
      </w:pPr>
    </w:p>
    <w:p>
      <w:pPr>
        <w:ind w:left="640" w:right="739" w:firstLine="309"/>
        <w:spacing w:after="0" w:line="272" w:lineRule="auto"/>
        <w:rPr>
          <w:sz w:val="20"/>
          <w:szCs w:val="20"/>
          <w:color w:val="auto"/>
        </w:rPr>
      </w:pPr>
      <w:r>
        <w:rPr>
          <w:rFonts w:ascii="Times New Roman" w:cs="Times New Roman" w:eastAsia="Times New Roman" w:hAnsi="Times New Roman"/>
          <w:sz w:val="12"/>
          <w:szCs w:val="12"/>
          <w:color w:val="auto"/>
        </w:rPr>
        <w:t xml:space="preserve">H. Concurrently with the execution and delivery of this Agreement and as a condition and inducement to the Company’s willingness to enter into this Agreement, each of the officers and directors set forth on </w:t>
      </w:r>
      <w:r>
        <w:rPr>
          <w:rFonts w:ascii="Times New Roman" w:cs="Times New Roman" w:eastAsia="Times New Roman" w:hAnsi="Times New Roman"/>
          <w:sz w:val="12"/>
          <w:szCs w:val="12"/>
          <w:u w:val="single" w:color="auto"/>
          <w:color w:val="auto"/>
        </w:rPr>
        <w:t>Section A</w:t>
      </w:r>
      <w:r>
        <w:rPr>
          <w:rFonts w:ascii="Times New Roman" w:cs="Times New Roman" w:eastAsia="Times New Roman" w:hAnsi="Times New Roman"/>
          <w:sz w:val="12"/>
          <w:szCs w:val="12"/>
          <w:color w:val="auto"/>
        </w:rPr>
        <w:t xml:space="preserve"> of the Parent Disclosure Letter (solely in their capacity as shareholders of Parent) are executing support agreements in favor of the Company in substantially the form attached hereto as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Shareholder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Support Agreement</w:t>
      </w:r>
      <w:r>
        <w:rPr>
          <w:rFonts w:ascii="Times New Roman" w:cs="Times New Roman" w:eastAsia="Times New Roman" w:hAnsi="Times New Roman"/>
          <w:sz w:val="12"/>
          <w:szCs w:val="12"/>
          <w:color w:val="auto"/>
        </w:rPr>
        <w:t>”), pursuant to which such Persons have, subject to the terms and conditions set forth therein, agreed to vote all of their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w:t>
      </w:r>
    </w:p>
    <w:p>
      <w:pPr>
        <w:spacing w:after="0" w:line="12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cs="Times New Roman" w:eastAsia="Times New Roman" w:hAnsi="Times New Roman"/>
          <w:sz w:val="13"/>
          <w:szCs w:val="13"/>
          <w:b w:val="1"/>
          <w:bCs w:val="1"/>
          <w:color w:val="auto"/>
        </w:rPr>
        <w:t>Company Stockholder Support Agreement</w:t>
      </w:r>
      <w:r>
        <w:rPr>
          <w:rFonts w:ascii="Times New Roman" w:cs="Times New Roman" w:eastAsia="Times New Roman" w:hAnsi="Times New Roman"/>
          <w:sz w:val="13"/>
          <w:szCs w:val="13"/>
          <w:color w:val="auto"/>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spacing w:after="0" w:line="135" w:lineRule="exact"/>
        <w:rPr>
          <w:sz w:val="20"/>
          <w:szCs w:val="20"/>
          <w:color w:val="auto"/>
        </w:rPr>
      </w:pPr>
    </w:p>
    <w:p>
      <w:pPr>
        <w:ind w:left="640" w:right="659" w:firstLine="309"/>
        <w:spacing w:after="0" w:line="286" w:lineRule="auto"/>
        <w:rPr>
          <w:sz w:val="20"/>
          <w:szCs w:val="20"/>
          <w:color w:val="auto"/>
        </w:rPr>
      </w:pPr>
      <w:r>
        <w:rPr>
          <w:rFonts w:ascii="Times New Roman" w:cs="Times New Roman" w:eastAsia="Times New Roman" w:hAnsi="Times New Roman"/>
          <w:sz w:val="12"/>
          <w:szCs w:val="12"/>
          <w:color w:val="auto"/>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cs="Times New Roman" w:eastAsia="Times New Roman" w:hAnsi="Times New Roman"/>
          <w:sz w:val="12"/>
          <w:szCs w:val="12"/>
          <w:u w:val="single" w:color="auto"/>
          <w:color w:val="auto"/>
        </w:rPr>
        <w:t>Section B</w:t>
      </w:r>
      <w:r>
        <w:rPr>
          <w:rFonts w:ascii="Times New Roman" w:cs="Times New Roman" w:eastAsia="Times New Roman" w:hAnsi="Times New Roman"/>
          <w:sz w:val="12"/>
          <w:szCs w:val="12"/>
          <w:color w:val="auto"/>
        </w:rPr>
        <w:t xml:space="preserve"> of the Company Disclosure Letter are executing lock-up agreements in substantially the form attached hereto as Exhibit B (the “</w:t>
      </w:r>
      <w:r>
        <w:rPr>
          <w:rFonts w:ascii="Times New Roman" w:cs="Times New Roman" w:eastAsia="Times New Roman" w:hAnsi="Times New Roman"/>
          <w:sz w:val="12"/>
          <w:szCs w:val="12"/>
          <w:b w:val="1"/>
          <w:bCs w:val="1"/>
          <w:color w:val="auto"/>
        </w:rPr>
        <w:t>Lock-Up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Lock-Up Agreements</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spacing w:after="0" w:line="13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cs="Times New Roman" w:eastAsia="Times New Roman" w:hAnsi="Times New Roman"/>
          <w:sz w:val="13"/>
          <w:szCs w:val="13"/>
          <w:b w:val="1"/>
          <w:bCs w:val="1"/>
          <w:color w:val="auto"/>
        </w:rPr>
        <w:t>Subscription Agreement</w:t>
      </w:r>
      <w:r>
        <w:rPr>
          <w:rFonts w:ascii="Times New Roman" w:cs="Times New Roman" w:eastAsia="Times New Roman" w:hAnsi="Times New Roman"/>
          <w:sz w:val="13"/>
          <w:szCs w:val="13"/>
          <w:color w:val="auto"/>
        </w:rPr>
        <w:t>”), pursuant to which such Persons have agreed to purchase, in the amounts set forth therein, shares of Company Common Stock and pre-funded warrants to purchase Company Common Stock immediately prior to the First Effective Time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Pre-Closing Financing</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Definitions and Interpretative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7"/>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For purposes of this Agreement (including this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76"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35" w:lineRule="exact"/>
        <w:rPr>
          <w:sz w:val="20"/>
          <w:szCs w:val="20"/>
          <w:color w:val="auto"/>
        </w:rPr>
      </w:pPr>
    </w:p>
    <w:p>
      <w:pPr>
        <w:ind w:left="640" w:right="63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Accrued Pre-Closing Tax Amount</w:t>
      </w:r>
      <w:r>
        <w:rPr>
          <w:rFonts w:ascii="Times New Roman" w:cs="Times New Roman" w:eastAsia="Times New Roman" w:hAnsi="Times New Roman"/>
          <w:sz w:val="12"/>
          <w:szCs w:val="12"/>
          <w:color w:val="auto"/>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w:t>
      </w:r>
    </w:p>
    <w:p>
      <w:pPr>
        <w:spacing w:after="0" w:line="3" w:lineRule="exact"/>
        <w:rPr>
          <w:sz w:val="20"/>
          <w:szCs w:val="20"/>
          <w:color w:val="auto"/>
        </w:rPr>
      </w:pPr>
    </w:p>
    <w:p>
      <w:pPr>
        <w:ind w:left="640" w:right="659" w:hanging="3"/>
        <w:spacing w:after="0" w:line="266" w:lineRule="auto"/>
        <w:tabs>
          <w:tab w:leader="none" w:pos="81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125"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Inquiry</w:t>
      </w:r>
      <w:r>
        <w:rPr>
          <w:rFonts w:ascii="Times New Roman" w:cs="Times New Roman" w:eastAsia="Times New Roman" w:hAnsi="Times New Roman"/>
          <w:sz w:val="13"/>
          <w:szCs w:val="13"/>
          <w:color w:val="auto"/>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spacing w:after="0" w:line="126" w:lineRule="exact"/>
        <w:rPr>
          <w:sz w:val="20"/>
          <w:szCs w:val="20"/>
          <w:color w:val="auto"/>
        </w:rPr>
      </w:pPr>
    </w:p>
    <w:p>
      <w:pPr>
        <w:jc w:val="both"/>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1" w:name="page22"/>
    <w:bookmarkEnd w:id="21"/>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any transaction or series of related transactions (other than any Parent Legacy Transaction or the Company Pre-Closing Financing) involving:</w:t>
      </w:r>
    </w:p>
    <w:p>
      <w:pPr>
        <w:spacing w:after="0" w:line="45" w:lineRule="exact"/>
        <w:rPr>
          <w:sz w:val="20"/>
          <w:szCs w:val="20"/>
          <w:color w:val="auto"/>
        </w:rPr>
      </w:pPr>
    </w:p>
    <w:p>
      <w:pPr>
        <w:ind w:left="640" w:right="699" w:firstLine="1003"/>
        <w:spacing w:after="0" w:line="272" w:lineRule="auto"/>
        <w:tabs>
          <w:tab w:leader="none" w:pos="18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123" w:lineRule="exact"/>
        <w:rPr>
          <w:rFonts w:ascii="Times New Roman" w:cs="Times New Roman" w:eastAsia="Times New Roman" w:hAnsi="Times New Roman"/>
          <w:sz w:val="12"/>
          <w:szCs w:val="12"/>
          <w:color w:val="auto"/>
        </w:rPr>
      </w:pPr>
    </w:p>
    <w:p>
      <w:pPr>
        <w:ind w:left="640" w:right="879" w:firstLine="1003"/>
        <w:spacing w:after="0" w:line="309" w:lineRule="auto"/>
        <w:tabs>
          <w:tab w:leader="none" w:pos="182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given to such term in Rule 145 under the Securities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Affordable Care Act</w:t>
      </w:r>
      <w:r>
        <w:rPr>
          <w:rFonts w:ascii="Times New Roman" w:cs="Times New Roman" w:eastAsia="Times New Roman" w:hAnsi="Times New Roman"/>
          <w:sz w:val="13"/>
          <w:szCs w:val="13"/>
          <w:color w:val="auto"/>
        </w:rPr>
        <w:t>” means the Patient Protection and Affordable Care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Anticipated Closing Date</w:t>
      </w:r>
      <w:r>
        <w:rPr>
          <w:rFonts w:ascii="Times New Roman" w:cs="Times New Roman" w:eastAsia="Times New Roman" w:hAnsi="Times New Roman"/>
          <w:sz w:val="13"/>
          <w:szCs w:val="13"/>
          <w:color w:val="auto"/>
        </w:rPr>
        <w:t>” means the anticipated Closing Date, as agreed upon by Parent and the Company.</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Saturday or Sunday; or (b) a day on which banks in the Commonwealth of Massachusetts are authorized or obligated to be closed.</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COBRA</w:t>
      </w:r>
      <w:r>
        <w:rPr>
          <w:rFonts w:ascii="Times New Roman" w:cs="Times New Roman" w:eastAsia="Times New Roman" w:hAnsi="Times New Roman"/>
          <w:sz w:val="13"/>
          <w:szCs w:val="13"/>
          <w:color w:val="auto"/>
        </w:rPr>
        <w:t>” means the Consolidated Omnibus Budget Reconciliation Act of 1985, as set forth in Section 4980B of the Code and Section 6 of Title I of ERISA.</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Associate</w:t>
      </w:r>
      <w:r>
        <w:rPr>
          <w:rFonts w:ascii="Times New Roman" w:cs="Times New Roman" w:eastAsia="Times New Roman" w:hAnsi="Times New Roman"/>
          <w:sz w:val="13"/>
          <w:szCs w:val="13"/>
          <w:color w:val="auto"/>
        </w:rPr>
        <w:t>” means any current employee, independent contractor, officer or director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Capitalization Representations</w:t>
      </w:r>
      <w:r>
        <w:rPr>
          <w:rFonts w:ascii="Times New Roman" w:cs="Times New Roman" w:eastAsia="Times New Roman" w:hAnsi="Times New Roman"/>
          <w:sz w:val="12"/>
          <w:szCs w:val="12"/>
          <w:color w:val="auto"/>
        </w:rPr>
        <w:t xml:space="preserve">” means the representations and warranties of the Company set forth in </w:t>
      </w:r>
      <w:r>
        <w:rPr>
          <w:rFonts w:ascii="Times New Roman" w:cs="Times New Roman" w:eastAsia="Times New Roman" w:hAnsi="Times New Roman"/>
          <w:sz w:val="12"/>
          <w:szCs w:val="12"/>
          <w:u w:val="single" w:color="auto"/>
          <w:color w:val="auto"/>
        </w:rPr>
        <w:t>Sections 3.6(a)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3.6(d)</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means the common stock, $0.0001 par value per share, of the Company.</w:t>
      </w:r>
    </w:p>
    <w:p>
      <w:pPr>
        <w:spacing w:after="0" w:line="154" w:lineRule="exact"/>
        <w:rPr>
          <w:sz w:val="20"/>
          <w:szCs w:val="20"/>
          <w:color w:val="auto"/>
        </w:rPr>
      </w:pPr>
    </w:p>
    <w:p>
      <w:pPr>
        <w:ind w:left="640" w:right="8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Contract</w:t>
      </w:r>
      <w:r>
        <w:rPr>
          <w:rFonts w:ascii="Times New Roman" w:cs="Times New Roman" w:eastAsia="Times New Roman" w:hAnsi="Times New Roman"/>
          <w:sz w:val="12"/>
          <w:szCs w:val="12"/>
          <w:color w:val="auto"/>
        </w:rPr>
        <w:t>” means any Contract: (a) to which the Company is a Party, (b) by which the Company is or may become bound or under which the Company has, or may become subject to, any obligation or (c) under which the Company has or may acquire any right or interest.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2" w:name="page23"/>
    <w:bookmarkEnd w:id="22"/>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Employee Plan</w:t>
      </w:r>
      <w:r>
        <w:rPr>
          <w:rFonts w:ascii="Times New Roman" w:cs="Times New Roman" w:eastAsia="Times New Roman" w:hAnsi="Times New Roman"/>
          <w:sz w:val="13"/>
          <w:szCs w:val="13"/>
          <w:color w:val="auto"/>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spacing w:after="0" w:line="130"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3.5(a)(i)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3.20</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7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 Rights</w:t>
      </w:r>
      <w:r>
        <w:rPr>
          <w:rFonts w:ascii="Times New Roman" w:cs="Times New Roman" w:eastAsia="Times New Roman" w:hAnsi="Times New Roman"/>
          <w:sz w:val="12"/>
          <w:szCs w:val="12"/>
          <w:color w:val="auto"/>
        </w:rPr>
        <w:t>” means all Intellectual Property rights that are owned or purported to be owned by, assigned to, exclusively licensed to, or controlled by the Company that are necessary for, or used or held for use in, the operation of the business of the Company as presently conducted.</w:t>
      </w:r>
    </w:p>
    <w:p>
      <w:pPr>
        <w:spacing w:after="0" w:line="95"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IP Rights Agreement</w:t>
      </w:r>
      <w:r>
        <w:rPr>
          <w:rFonts w:ascii="Times New Roman" w:cs="Times New Roman" w:eastAsia="Times New Roman" w:hAnsi="Times New Roman"/>
          <w:sz w:val="13"/>
          <w:szCs w:val="13"/>
          <w:color w:val="auto"/>
        </w:rPr>
        <w:t>” means any Contract governing, related to or pertaining to any Company IP Rights other than any confidential information provided under confidentiality agreements.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Key Employee</w:t>
      </w:r>
      <w:r>
        <w:rPr>
          <w:rFonts w:ascii="Times New Roman" w:cs="Times New Roman" w:eastAsia="Times New Roman" w:hAnsi="Times New Roman"/>
          <w:sz w:val="13"/>
          <w:szCs w:val="13"/>
          <w:color w:val="auto"/>
        </w:rPr>
        <w:t>” means any executive officer of the Company.</w:t>
      </w:r>
    </w:p>
    <w:p>
      <w:pPr>
        <w:spacing w:after="0" w:line="154"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spacing w:after="0" w:line="137"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Merger Shares</w:t>
      </w:r>
      <w:r>
        <w:rPr>
          <w:rFonts w:ascii="Times New Roman" w:cs="Times New Roman" w:eastAsia="Times New Roman" w:hAnsi="Times New Roman"/>
          <w:sz w:val="13"/>
          <w:szCs w:val="13"/>
          <w:color w:val="auto"/>
        </w:rPr>
        <w:t xml:space="preserve">” means the product determined by </w:t>
      </w:r>
      <w:r>
        <w:rPr>
          <w:rFonts w:ascii="Times New Roman" w:cs="Times New Roman" w:eastAsia="Times New Roman" w:hAnsi="Times New Roman"/>
          <w:sz w:val="13"/>
          <w:szCs w:val="13"/>
          <w:i w:val="1"/>
          <w:iCs w:val="1"/>
          <w:u w:val="single" w:color="auto"/>
          <w:color w:val="auto"/>
        </w:rPr>
        <w:t>multiplying</w:t>
      </w:r>
      <w:r>
        <w:rPr>
          <w:rFonts w:ascii="Times New Roman" w:cs="Times New Roman" w:eastAsia="Times New Roman" w:hAnsi="Times New Roman"/>
          <w:sz w:val="13"/>
          <w:szCs w:val="13"/>
          <w:color w:val="auto"/>
        </w:rPr>
        <w:t xml:space="preserve"> (a) the Post-Closing Parent Shares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color w:val="auto"/>
        </w:rPr>
        <w:t xml:space="preserve"> (b) the Company Allocation Percentage, in which:</w:t>
      </w:r>
    </w:p>
    <w:p>
      <w:pPr>
        <w:spacing w:after="0" w:line="52" w:lineRule="exact"/>
        <w:rPr>
          <w:sz w:val="20"/>
          <w:szCs w:val="20"/>
          <w:color w:val="auto"/>
        </w:rPr>
      </w:pPr>
    </w:p>
    <w:p>
      <w:pPr>
        <w:ind w:left="1640" w:hanging="235"/>
        <w:spacing w:after="0"/>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Valuation</w:t>
      </w:r>
      <w:r>
        <w:rPr>
          <w:rFonts w:ascii="Times New Roman" w:cs="Times New Roman" w:eastAsia="Times New Roman" w:hAnsi="Times New Roman"/>
          <w:sz w:val="13"/>
          <w:szCs w:val="13"/>
          <w:color w:val="auto"/>
        </w:rPr>
        <w:t xml:space="preserve">” means the sum of (i) the Company Valuation,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Parent Valuation.</w:t>
      </w:r>
    </w:p>
    <w:p>
      <w:pPr>
        <w:spacing w:after="0" w:line="87" w:lineRule="exact"/>
        <w:rPr>
          <w:rFonts w:ascii="Times New Roman" w:cs="Times New Roman" w:eastAsia="Times New Roman" w:hAnsi="Times New Roman"/>
          <w:sz w:val="13"/>
          <w:szCs w:val="13"/>
          <w:color w:val="auto"/>
        </w:rPr>
      </w:pPr>
    </w:p>
    <w:p>
      <w:pPr>
        <w:ind w:left="1640" w:right="679" w:hanging="235"/>
        <w:spacing w:after="0" w:line="270" w:lineRule="auto"/>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Allocation Percentage</w:t>
      </w:r>
      <w:r>
        <w:rPr>
          <w:rFonts w:ascii="Times New Roman" w:cs="Times New Roman" w:eastAsia="Times New Roman" w:hAnsi="Times New Roman"/>
          <w:sz w:val="13"/>
          <w:szCs w:val="13"/>
          <w:color w:val="auto"/>
        </w:rPr>
        <w:t xml:space="preserve">” means the percentage (rounded to four decimal places) determined by </w:t>
      </w:r>
      <w:r>
        <w:rPr>
          <w:rFonts w:ascii="Times New Roman" w:cs="Times New Roman" w:eastAsia="Times New Roman" w:hAnsi="Times New Roman"/>
          <w:sz w:val="13"/>
          <w:szCs w:val="13"/>
          <w:i w:val="1"/>
          <w:iCs w:val="1"/>
          <w:u w:val="single" w:color="auto"/>
          <w:color w:val="auto"/>
        </w:rPr>
        <w:t>subtracting</w:t>
      </w:r>
      <w:r>
        <w:rPr>
          <w:rFonts w:ascii="Times New Roman" w:cs="Times New Roman" w:eastAsia="Times New Roman" w:hAnsi="Times New Roman"/>
          <w:sz w:val="13"/>
          <w:szCs w:val="13"/>
          <w:color w:val="auto"/>
        </w:rPr>
        <w:t xml:space="preserve"> (i) the Parent Allocation Percentage </w:t>
      </w:r>
      <w:r>
        <w:rPr>
          <w:rFonts w:ascii="Times New Roman" w:cs="Times New Roman" w:eastAsia="Times New Roman" w:hAnsi="Times New Roman"/>
          <w:sz w:val="13"/>
          <w:szCs w:val="13"/>
          <w:i w:val="1"/>
          <w:iCs w:val="1"/>
          <w:u w:val="single" w:color="auto"/>
          <w:color w:val="auto"/>
        </w:rPr>
        <w:t>from</w:t>
      </w:r>
      <w:r>
        <w:rPr>
          <w:rFonts w:ascii="Times New Roman" w:cs="Times New Roman" w:eastAsia="Times New Roman" w:hAnsi="Times New Roman"/>
          <w:sz w:val="13"/>
          <w:szCs w:val="13"/>
          <w:color w:val="auto"/>
        </w:rPr>
        <w:t xml:space="preserve"> (ii) 100 percent.</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Value</w:t>
      </w:r>
      <w:r>
        <w:rPr>
          <w:rFonts w:ascii="Times New Roman" w:cs="Times New Roman" w:eastAsia="Times New Roman" w:hAnsi="Times New Roman"/>
          <w:sz w:val="13"/>
          <w:szCs w:val="13"/>
          <w:color w:val="auto"/>
        </w:rPr>
        <w:t>” means $268,400,000.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3" w:name="page24"/>
    <w:bookmarkEnd w:id="23"/>
    <w:p>
      <w:pPr>
        <w:ind w:left="1640" w:right="659" w:hanging="235"/>
        <w:spacing w:after="0" w:line="245"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Outstanding Shares</w:t>
      </w:r>
      <w:r>
        <w:rPr>
          <w:rFonts w:ascii="Times New Roman" w:cs="Times New Roman" w:eastAsia="Times New Roman" w:hAnsi="Times New Roman"/>
          <w:sz w:val="13"/>
          <w:szCs w:val="13"/>
          <w:color w:val="auto"/>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cs="Times New Roman" w:eastAsia="Times New Roman" w:hAnsi="Times New Roman"/>
          <w:sz w:val="13"/>
          <w:szCs w:val="13"/>
          <w:b w:val="1"/>
          <w:bCs w:val="1"/>
          <w:color w:val="auto"/>
        </w:rPr>
        <w:t>Service Provider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Grants</w:t>
      </w:r>
      <w:r>
        <w:rPr>
          <w:rFonts w:ascii="Times New Roman" w:cs="Times New Roman" w:eastAsia="Times New Roman" w:hAnsi="Times New Roman"/>
          <w:sz w:val="13"/>
          <w:szCs w:val="13"/>
          <w:color w:val="auto"/>
        </w:rPr>
        <w:t>”).</w:t>
      </w:r>
    </w:p>
    <w:p>
      <w:pPr>
        <w:spacing w:after="0" w:line="73" w:lineRule="exact"/>
        <w:rPr>
          <w:rFonts w:ascii="Times New Roman" w:cs="Times New Roman" w:eastAsia="Times New Roman" w:hAnsi="Times New Roman"/>
          <w:sz w:val="13"/>
          <w:szCs w:val="13"/>
          <w:color w:val="auto"/>
        </w:rPr>
      </w:pPr>
    </w:p>
    <w:p>
      <w:pPr>
        <w:ind w:left="1640" w:right="85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Valuation</w:t>
      </w:r>
      <w:r>
        <w:rPr>
          <w:rFonts w:ascii="Times New Roman" w:cs="Times New Roman" w:eastAsia="Times New Roman" w:hAnsi="Times New Roman"/>
          <w:sz w:val="13"/>
          <w:szCs w:val="13"/>
          <w:color w:val="auto"/>
        </w:rPr>
        <w:t xml:space="preserve">” means (i) the Company Equity Value,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amount of proceeds actually received by the Company from the Company Pre-Closing Financing.</w:t>
      </w:r>
    </w:p>
    <w:p>
      <w:pPr>
        <w:spacing w:after="0" w:line="52" w:lineRule="exact"/>
        <w:rPr>
          <w:rFonts w:ascii="Times New Roman" w:cs="Times New Roman" w:eastAsia="Times New Roman" w:hAnsi="Times New Roman"/>
          <w:sz w:val="13"/>
          <w:szCs w:val="13"/>
          <w:color w:val="auto"/>
        </w:rPr>
      </w:pPr>
    </w:p>
    <w:p>
      <w:pPr>
        <w:ind w:left="1640" w:right="93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the ratio (rounded to four decimal places) equal to the quotient obtained by dividing (i) the Company Merger Shares by (ii) the Company Outstanding Shares.</w:t>
      </w:r>
    </w:p>
    <w:p>
      <w:pPr>
        <w:spacing w:after="0" w:line="52" w:lineRule="exact"/>
        <w:rPr>
          <w:rFonts w:ascii="Times New Roman" w:cs="Times New Roman" w:eastAsia="Times New Roman" w:hAnsi="Times New Roman"/>
          <w:sz w:val="13"/>
          <w:szCs w:val="13"/>
          <w:color w:val="auto"/>
        </w:rPr>
      </w:pPr>
    </w:p>
    <w:p>
      <w:pPr>
        <w:ind w:left="1640" w:right="73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Allocation Percentage</w:t>
      </w:r>
      <w:r>
        <w:rPr>
          <w:rFonts w:ascii="Times New Roman" w:cs="Times New Roman" w:eastAsia="Times New Roman" w:hAnsi="Times New Roman"/>
          <w:sz w:val="13"/>
          <w:szCs w:val="13"/>
          <w:color w:val="auto"/>
        </w:rPr>
        <w:t xml:space="preserve">” means the quotient (expressed as a percentage and rounded to four decimal places)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the Parent Valuation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(ii) the Aggregate Valuation.</w:t>
      </w:r>
    </w:p>
    <w:p>
      <w:pPr>
        <w:spacing w:after="0" w:line="52" w:lineRule="exact"/>
        <w:rPr>
          <w:rFonts w:ascii="Times New Roman" w:cs="Times New Roman" w:eastAsia="Times New Roman" w:hAnsi="Times New Roman"/>
          <w:sz w:val="13"/>
          <w:szCs w:val="13"/>
          <w:color w:val="auto"/>
        </w:rPr>
      </w:pPr>
    </w:p>
    <w:p>
      <w:pPr>
        <w:ind w:left="1640" w:right="699" w:hanging="235"/>
        <w:spacing w:after="0" w:line="246"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Outstanding Shares</w:t>
      </w:r>
      <w:r>
        <w:rPr>
          <w:rFonts w:ascii="Times New Roman" w:cs="Times New Roman" w:eastAsia="Times New Roman" w:hAnsi="Times New Roman"/>
          <w:sz w:val="13"/>
          <w:szCs w:val="13"/>
          <w:color w:val="auto"/>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Notwithstanding any of the foregoing, no Out of the Money Parent Options shall be included in the total number of shares of Parent Common Stock outstanding for purposes of determining the Parent Outstanding Shares.</w:t>
      </w:r>
    </w:p>
    <w:p>
      <w:pPr>
        <w:spacing w:after="0" w:line="67" w:lineRule="exact"/>
        <w:rPr>
          <w:rFonts w:ascii="Times New Roman" w:cs="Times New Roman" w:eastAsia="Times New Roman" w:hAnsi="Times New Roman"/>
          <w:sz w:val="13"/>
          <w:szCs w:val="13"/>
          <w:color w:val="auto"/>
        </w:rPr>
      </w:pPr>
    </w:p>
    <w:p>
      <w:pPr>
        <w:ind w:left="1640" w:right="69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Valuation</w:t>
      </w:r>
      <w:r>
        <w:rPr>
          <w:rFonts w:ascii="Times New Roman" w:cs="Times New Roman" w:eastAsia="Times New Roman" w:hAnsi="Times New Roman"/>
          <w:sz w:val="13"/>
          <w:szCs w:val="13"/>
          <w:color w:val="auto"/>
        </w:rPr>
        <w:t xml:space="preserve">” means (i) $10,000,000,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 the amount by which Parent Net Cash is less than $0,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(iii) the amount by which Parent Net Cash exceeds $0.</w:t>
      </w:r>
    </w:p>
    <w:p>
      <w:pPr>
        <w:spacing w:after="0" w:line="52" w:lineRule="exact"/>
        <w:rPr>
          <w:rFonts w:ascii="Times New Roman" w:cs="Times New Roman" w:eastAsia="Times New Roman" w:hAnsi="Times New Roman"/>
          <w:sz w:val="13"/>
          <w:szCs w:val="13"/>
          <w:color w:val="auto"/>
        </w:rPr>
      </w:pPr>
    </w:p>
    <w:p>
      <w:pPr>
        <w:ind w:left="1640" w:right="107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Parent Shares</w:t>
      </w:r>
      <w:r>
        <w:rPr>
          <w:rFonts w:ascii="Times New Roman" w:cs="Times New Roman" w:eastAsia="Times New Roman" w:hAnsi="Times New Roman"/>
          <w:sz w:val="13"/>
          <w:szCs w:val="13"/>
          <w:color w:val="auto"/>
        </w:rPr>
        <w:t xml:space="preserve">” mean the quotient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color w:val="auto"/>
        </w:rPr>
        <w:t xml:space="preserve"> (i) the Parent Outstanding Shares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color w:val="auto"/>
        </w:rPr>
        <w:t xml:space="preserve"> (ii) the Parent Allocation Percentage.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Options</w:t>
      </w:r>
      <w:r>
        <w:rPr>
          <w:rFonts w:ascii="Times New Roman" w:cs="Times New Roman" w:eastAsia="Times New Roman" w:hAnsi="Times New Roman"/>
          <w:sz w:val="13"/>
          <w:szCs w:val="13"/>
          <w:color w:val="auto"/>
        </w:rPr>
        <w:t>” means options or other rights to purchase shares of Company Capital Stock issued by the Company.</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Preferred Stock</w:t>
      </w:r>
      <w:r>
        <w:rPr>
          <w:rFonts w:ascii="Times New Roman" w:cs="Times New Roman" w:eastAsia="Times New Roman" w:hAnsi="Times New Roman"/>
          <w:sz w:val="13"/>
          <w:szCs w:val="13"/>
          <w:color w:val="auto"/>
        </w:rPr>
        <w:t>” means the shares of the Company’s capital stock designated as preferred stock, including the Company Series Seed Preferred Stock and Company Series A Preferred Stock.</w:t>
      </w:r>
    </w:p>
    <w:p>
      <w:pPr>
        <w:spacing w:after="0" w:line="119" w:lineRule="exact"/>
        <w:rPr>
          <w:sz w:val="20"/>
          <w:szCs w:val="20"/>
          <w:color w:val="auto"/>
        </w:rPr>
      </w:pPr>
    </w:p>
    <w:p>
      <w:pPr>
        <w:jc w:val="both"/>
        <w:ind w:left="640" w:right="9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26" w:lineRule="exact"/>
        <w:rPr>
          <w:sz w:val="20"/>
          <w:szCs w:val="20"/>
          <w:color w:val="auto"/>
        </w:rPr>
      </w:pPr>
    </w:p>
    <w:p>
      <w:pPr>
        <w:jc w:val="both"/>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Series A Preferred Stock</w:t>
      </w:r>
      <w:r>
        <w:rPr>
          <w:rFonts w:ascii="Times New Roman" w:cs="Times New Roman" w:eastAsia="Times New Roman" w:hAnsi="Times New Roman"/>
          <w:sz w:val="13"/>
          <w:szCs w:val="13"/>
          <w:color w:val="auto"/>
        </w:rPr>
        <w:t>” means a series of the Company’s preferred stock designated as Series A Preferred Stock, $0.0001 par value per share.</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Series Seed Preferred Stock</w:t>
      </w:r>
      <w:r>
        <w:rPr>
          <w:rFonts w:ascii="Times New Roman" w:cs="Times New Roman" w:eastAsia="Times New Roman" w:hAnsi="Times New Roman"/>
          <w:sz w:val="13"/>
          <w:szCs w:val="13"/>
          <w:color w:val="auto"/>
        </w:rPr>
        <w:t>” means a series of the Company’s preferred stock designated as Series Seed Preferred Stock, $0.0001 par value per share.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RSU</w:t>
      </w:r>
      <w:r>
        <w:rPr>
          <w:rFonts w:ascii="Times New Roman" w:cs="Times New Roman" w:eastAsia="Times New Roman" w:hAnsi="Times New Roman"/>
          <w:sz w:val="13"/>
          <w:szCs w:val="13"/>
          <w:color w:val="auto"/>
        </w:rPr>
        <w:t>” means each restricted stock unit award for shares of Company Capital Stock issued by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Stock Plan</w:t>
      </w:r>
      <w:r>
        <w:rPr>
          <w:rFonts w:ascii="Times New Roman" w:cs="Times New Roman" w:eastAsia="Times New Roman" w:hAnsi="Times New Roman"/>
          <w:sz w:val="13"/>
          <w:szCs w:val="13"/>
          <w:color w:val="auto"/>
        </w:rPr>
        <w:t>” means the Company’s 2025 Equity Incentive Plan.</w:t>
      </w:r>
    </w:p>
    <w:p>
      <w:pPr>
        <w:spacing w:after="0" w:line="154" w:lineRule="exact"/>
        <w:rPr>
          <w:sz w:val="20"/>
          <w:szCs w:val="20"/>
          <w:color w:val="auto"/>
        </w:rPr>
      </w:pPr>
    </w:p>
    <w:p>
      <w:pPr>
        <w:ind w:left="640" w:right="77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Triggering Event</w:t>
      </w:r>
      <w:r>
        <w:rPr>
          <w:rFonts w:ascii="Times New Roman" w:cs="Times New Roman" w:eastAsia="Times New Roman" w:hAnsi="Times New Roman"/>
          <w:sz w:val="12"/>
          <w:szCs w:val="12"/>
          <w:color w:val="auto"/>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spacing w:after="0" w:line="114"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Warrants</w:t>
      </w:r>
      <w:r>
        <w:rPr>
          <w:rFonts w:ascii="Times New Roman" w:cs="Times New Roman" w:eastAsia="Times New Roman" w:hAnsi="Times New Roman"/>
          <w:sz w:val="13"/>
          <w:szCs w:val="13"/>
          <w:color w:val="auto"/>
        </w:rPr>
        <w:t>” means warrants (including any pre-funded warrants) to purchase shares of Company Capital Stock issued by the Company.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the mutual non-disclosure agreement dated as of March 10, 2026, between the Company and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Governmental Authorization).</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Contemplated Transactions</w:t>
      </w:r>
      <w:r>
        <w:rPr>
          <w:rFonts w:ascii="Times New Roman" w:cs="Times New Roman" w:eastAsia="Times New Roman" w:hAnsi="Times New Roman"/>
          <w:sz w:val="13"/>
          <w:szCs w:val="13"/>
          <w:color w:val="auto"/>
        </w:rPr>
        <w:t>”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w:t>
      </w:r>
    </w:p>
    <w:p>
      <w:pPr>
        <w:spacing w:after="0" w:line="126"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Delisting Event</w:t>
      </w:r>
      <w:r>
        <w:rPr>
          <w:rFonts w:ascii="Times New Roman" w:cs="Times New Roman" w:eastAsia="Times New Roman" w:hAnsi="Times New Roman"/>
          <w:sz w:val="13"/>
          <w:szCs w:val="13"/>
          <w:color w:val="auto"/>
        </w:rPr>
        <w:t>” means (i) the filing of a Form 25 with respect to the shares of Parent Common Stock by Parent or Nasdaq with the SEC,</w:t>
      </w:r>
    </w:p>
    <w:p>
      <w:pPr>
        <w:spacing w:after="0" w:line="17" w:lineRule="exact"/>
        <w:rPr>
          <w:sz w:val="20"/>
          <w:szCs w:val="20"/>
          <w:color w:val="auto"/>
        </w:rPr>
      </w:pPr>
    </w:p>
    <w:p>
      <w:pPr>
        <w:ind w:left="640" w:right="719" w:hanging="3"/>
        <w:spacing w:after="0" w:line="244" w:lineRule="auto"/>
        <w:tabs>
          <w:tab w:leader="none" w:pos="826"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General Corporation Law of the State of Delaware,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means the Delaware Limited Liability Company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Employee Plan</w:t>
      </w:r>
      <w:r>
        <w:rPr>
          <w:rFonts w:ascii="Times New Roman" w:cs="Times New Roman" w:eastAsia="Times New Roman" w:hAnsi="Times New Roman"/>
          <w:sz w:val="13"/>
          <w:szCs w:val="13"/>
          <w:color w:val="auto"/>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spacing w:after="0" w:line="132" w:lineRule="exact"/>
        <w:rPr>
          <w:sz w:val="20"/>
          <w:szCs w:val="20"/>
          <w:color w:val="auto"/>
        </w:rPr>
      </w:pPr>
    </w:p>
    <w:p>
      <w:pPr>
        <w:ind w:left="640" w:right="7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Encumbrance</w:t>
      </w:r>
      <w:r>
        <w:rPr>
          <w:rFonts w:ascii="Times New Roman" w:cs="Times New Roman" w:eastAsia="Times New Roman" w:hAnsi="Times New Roman"/>
          <w:sz w:val="13"/>
          <w:szCs w:val="13"/>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jc w:val="both"/>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w:t>
      </w:r>
      <w:r>
        <w:rPr>
          <w:rFonts w:ascii="Times New Roman" w:cs="Times New Roman" w:eastAsia="Times New Roman" w:hAnsi="Times New Roman"/>
          <w:sz w:val="13"/>
          <w:szCs w:val="13"/>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30"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any Entity, any other Person that would be treated as a single employer with such Entity or part of the same “controlled group” as such Entity under Sections 414(b), (c), (m) or (o)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6" w:name="page27"/>
    <w:bookmarkEnd w:id="2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Merger Sub Board</w:t>
      </w:r>
      <w:r>
        <w:rPr>
          <w:rFonts w:ascii="Times New Roman" w:cs="Times New Roman" w:eastAsia="Times New Roman" w:hAnsi="Times New Roman"/>
          <w:sz w:val="13"/>
          <w:szCs w:val="13"/>
          <w:color w:val="auto"/>
        </w:rPr>
        <w:t>” means the board of directors of First Merger Sub.</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31"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w:t>
      </w:r>
      <w:r>
        <w:rPr>
          <w:rFonts w:ascii="Times New Roman" w:cs="Times New Roman" w:eastAsia="Times New Roman" w:hAnsi="Times New Roman"/>
          <w:sz w:val="13"/>
          <w:szCs w:val="13"/>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26"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means the U.S. Hart-Scott-Rodino Antitrust Improvements Act of 1976,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 the Money Parent Option</w:t>
      </w:r>
      <w:r>
        <w:rPr>
          <w:rFonts w:ascii="Times New Roman" w:cs="Times New Roman" w:eastAsia="Times New Roman" w:hAnsi="Times New Roman"/>
          <w:sz w:val="13"/>
          <w:szCs w:val="13"/>
          <w:color w:val="auto"/>
        </w:rPr>
        <w:t>” shall mean Parent Options with an exercise price equal to or less than the Parent Closing Price.</w:t>
      </w:r>
    </w:p>
    <w:p>
      <w:pPr>
        <w:spacing w:after="0" w:line="154" w:lineRule="exact"/>
        <w:rPr>
          <w:sz w:val="20"/>
          <w:szCs w:val="20"/>
          <w:color w:val="auto"/>
        </w:rPr>
      </w:pPr>
    </w:p>
    <w:p>
      <w:pPr>
        <w:ind w:left="640" w:right="75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(b) trademarks, service marks, trade names, domain names, corporate names, brand names, URLs, trade dress, logos and other source identifiers, including registrations and applications for registration thereof and goodwill associated therewith,</w:t>
      </w:r>
    </w:p>
    <w:p>
      <w:pPr>
        <w:spacing w:after="0" w:line="3" w:lineRule="exact"/>
        <w:rPr>
          <w:sz w:val="20"/>
          <w:szCs w:val="20"/>
          <w:color w:val="auto"/>
        </w:rPr>
      </w:pPr>
    </w:p>
    <w:p>
      <w:pPr>
        <w:ind w:left="640" w:right="899" w:hanging="3"/>
        <w:spacing w:after="0" w:line="245" w:lineRule="auto"/>
        <w:tabs>
          <w:tab w:leader="none" w:pos="812"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Knowledge</w:t>
      </w:r>
      <w:r>
        <w:rPr>
          <w:rFonts w:ascii="Times New Roman" w:cs="Times New Roman" w:eastAsia="Times New Roman" w:hAnsi="Times New Roman"/>
          <w:sz w:val="12"/>
          <w:szCs w:val="12"/>
          <w:color w:val="auto"/>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7" w:name="page28"/>
    <w:bookmarkEnd w:id="27"/>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MBCA</w:t>
      </w:r>
      <w:r>
        <w:rPr>
          <w:rFonts w:ascii="Times New Roman" w:cs="Times New Roman" w:eastAsia="Times New Roman" w:hAnsi="Times New Roman"/>
          <w:sz w:val="13"/>
          <w:szCs w:val="13"/>
          <w:color w:val="auto"/>
        </w:rPr>
        <w:t>” means the Massachusetts Business Corporation Act,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Minimum Concurrent Investment Amount</w:t>
      </w:r>
      <w:r>
        <w:rPr>
          <w:rFonts w:ascii="Times New Roman" w:cs="Times New Roman" w:eastAsia="Times New Roman" w:hAnsi="Times New Roman"/>
          <w:sz w:val="13"/>
          <w:szCs w:val="13"/>
          <w:color w:val="auto"/>
        </w:rPr>
        <w:t>” means $150,000,000.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Multiemployer Plan</w:t>
      </w:r>
      <w:r>
        <w:rPr>
          <w:rFonts w:ascii="Times New Roman" w:cs="Times New Roman" w:eastAsia="Times New Roman" w:hAnsi="Times New Roman"/>
          <w:sz w:val="13"/>
          <w:szCs w:val="13"/>
          <w:color w:val="auto"/>
        </w:rPr>
        <w:t>” means a “multiemployer plan,” as defined in Section 3(37) or 4001(a)(3) of ERISA.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Multiple Employer Plan</w:t>
      </w:r>
      <w:r>
        <w:rPr>
          <w:rFonts w:ascii="Times New Roman" w:cs="Times New Roman" w:eastAsia="Times New Roman" w:hAnsi="Times New Roman"/>
          <w:sz w:val="13"/>
          <w:szCs w:val="13"/>
          <w:color w:val="auto"/>
        </w:rPr>
        <w:t>” means a “multiple employer plan” within the meaning of Section 413(c) of the Code or Section 3(40) of ERISA.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Multiple Employer Welfare Arrangement</w:t>
      </w:r>
      <w:r>
        <w:rPr>
          <w:rFonts w:ascii="Times New Roman" w:cs="Times New Roman" w:eastAsia="Times New Roman" w:hAnsi="Times New Roman"/>
          <w:sz w:val="12"/>
          <w:szCs w:val="12"/>
          <w:color w:val="auto"/>
        </w:rPr>
        <w:t>” means a “multiple employer welfare arrangement” within the meaning of Section 3(40) of ERISA.</w:t>
      </w:r>
    </w:p>
    <w:p>
      <w:pPr>
        <w:spacing w:after="0" w:line="165"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 Reverse Split</w:t>
      </w:r>
      <w:r>
        <w:rPr>
          <w:rFonts w:ascii="Times New Roman" w:cs="Times New Roman" w:eastAsia="Times New Roman" w:hAnsi="Times New Roman"/>
          <w:sz w:val="13"/>
          <w:szCs w:val="13"/>
          <w:color w:val="auto"/>
        </w:rPr>
        <w:t>” means a reverse stock split of all outstanding shares of Parent Common Stock effected by Parent for the purpose of maintaining compliance with Nasdaq listing standards.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26"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spacing w:after="0" w:line="126"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Out of the Money Parent Options</w:t>
      </w:r>
      <w:r>
        <w:rPr>
          <w:rFonts w:ascii="Times New Roman" w:cs="Times New Roman" w:eastAsia="Times New Roman" w:hAnsi="Times New Roman"/>
          <w:sz w:val="13"/>
          <w:szCs w:val="13"/>
          <w:color w:val="auto"/>
        </w:rPr>
        <w:t>” shall mean Parent Options with an exercise price greater than the Parent Closing Price.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Articles of Amendment Schedule</w:t>
      </w:r>
      <w:r>
        <w:rPr>
          <w:rFonts w:ascii="Times New Roman" w:cs="Times New Roman" w:eastAsia="Times New Roman" w:hAnsi="Times New Roman"/>
          <w:sz w:val="13"/>
          <w:szCs w:val="13"/>
          <w:color w:val="auto"/>
        </w:rPr>
        <w:t>” means a schedule to the Parent Articles of Amendment in the form attached hereto as Exhibit 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8" w:name="page29"/>
    <w:bookmarkEnd w:id="2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Associate</w:t>
      </w:r>
      <w:r>
        <w:rPr>
          <w:rFonts w:ascii="Times New Roman" w:cs="Times New Roman" w:eastAsia="Times New Roman" w:hAnsi="Times New Roman"/>
          <w:sz w:val="13"/>
          <w:szCs w:val="13"/>
          <w:color w:val="auto"/>
        </w:rPr>
        <w:t>” means any current employee, independent contractor, officer or director of Parent or any of its Subsidiaries.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Balance Sheet</w:t>
      </w:r>
      <w:r>
        <w:rPr>
          <w:rFonts w:ascii="Times New Roman" w:cs="Times New Roman" w:eastAsia="Times New Roman" w:hAnsi="Times New Roman"/>
          <w:sz w:val="13"/>
          <w:szCs w:val="13"/>
          <w:color w:val="auto"/>
        </w:rPr>
        <w:t>” means the audited balance sheet of Parent as of December 31, 2025, included in Parent’s Report on Form 10-K for the year ended December 31, 2025, as filed with the SEC.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means the board of directors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 Stock</w:t>
      </w:r>
      <w:r>
        <w:rPr>
          <w:rFonts w:ascii="Times New Roman" w:cs="Times New Roman" w:eastAsia="Times New Roman" w:hAnsi="Times New Roman"/>
          <w:sz w:val="13"/>
          <w:szCs w:val="13"/>
          <w:color w:val="auto"/>
        </w:rPr>
        <w:t>” means the Parent Common Stock and the Parent Preferred Stock.</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Capitalization Representations</w:t>
      </w:r>
      <w:r>
        <w:rPr>
          <w:rFonts w:ascii="Times New Roman" w:cs="Times New Roman" w:eastAsia="Times New Roman" w:hAnsi="Times New Roman"/>
          <w:sz w:val="13"/>
          <w:szCs w:val="13"/>
          <w:color w:val="auto"/>
        </w:rPr>
        <w:t xml:space="preserve">” means the representations and warranties of Parent and Merger Subs set forth in </w:t>
      </w:r>
      <w:r>
        <w:rPr>
          <w:rFonts w:ascii="Times New Roman" w:cs="Times New Roman" w:eastAsia="Times New Roman" w:hAnsi="Times New Roman"/>
          <w:sz w:val="13"/>
          <w:szCs w:val="13"/>
          <w:u w:val="single" w:color="auto"/>
          <w:color w:val="auto"/>
        </w:rPr>
        <w:t>Sections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4.6(d)</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Closing Price</w:t>
      </w:r>
      <w:r>
        <w:rPr>
          <w:rFonts w:ascii="Times New Roman" w:cs="Times New Roman" w:eastAsia="Times New Roman" w:hAnsi="Times New Roman"/>
          <w:sz w:val="13"/>
          <w:szCs w:val="13"/>
          <w:color w:val="auto"/>
        </w:rPr>
        <w:t>” means the volume weighted average closing trading price of a share of Parent Common Stock on Nasdaq for the five</w:t>
      </w:r>
    </w:p>
    <w:p>
      <w:pPr>
        <w:spacing w:after="0" w:line="17" w:lineRule="exact"/>
        <w:rPr>
          <w:sz w:val="20"/>
          <w:szCs w:val="20"/>
          <w:color w:val="auto"/>
        </w:rPr>
      </w:pPr>
    </w:p>
    <w:p>
      <w:pPr>
        <w:ind w:left="940" w:right="1759" w:hanging="303"/>
        <w:spacing w:after="0" w:line="474" w:lineRule="auto"/>
        <w:tabs>
          <w:tab w:leader="none" w:pos="81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consecutive trading days ending three (3) trading days immediately prior to the Calculation Date as reported by Bloomberg L.P. “</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means the common stock, no par value per share, of Parent.</w:t>
      </w:r>
    </w:p>
    <w:p>
      <w:pPr>
        <w:spacing w:after="0" w:line="1"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Contract</w:t>
      </w:r>
      <w:r>
        <w:rPr>
          <w:rFonts w:ascii="Times New Roman" w:cs="Times New Roman" w:eastAsia="Times New Roman" w:hAnsi="Times New Roman"/>
          <w:sz w:val="13"/>
          <w:szCs w:val="13"/>
          <w:color w:val="auto"/>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spacing w:after="0" w:line="126"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Convertible Preferred Stock</w:t>
      </w:r>
      <w:r>
        <w:rPr>
          <w:rFonts w:ascii="Times New Roman" w:cs="Times New Roman" w:eastAsia="Times New Roman" w:hAnsi="Times New Roman"/>
          <w:sz w:val="13"/>
          <w:szCs w:val="13"/>
          <w:color w:val="auto"/>
        </w:rPr>
        <w:t>” means the series of Parent’s non-voting convertible preferred stock, no par value per share, with the rights, preferences, powers and privileges specified in the Parent Articles of Amendment Schedule.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Employee Plan</w:t>
      </w:r>
      <w:r>
        <w:rPr>
          <w:rFonts w:ascii="Times New Roman" w:cs="Times New Roman" w:eastAsia="Times New Roman" w:hAnsi="Times New Roman"/>
          <w:sz w:val="12"/>
          <w:szCs w:val="12"/>
          <w:color w:val="auto"/>
        </w:rPr>
        <w:t>” means any Employee Plan that Parent or any of its Subsidiaries (a) sponsors, maintains, administers, or contributes to,</w:t>
      </w:r>
    </w:p>
    <w:p>
      <w:pPr>
        <w:spacing w:after="0" w:line="29" w:lineRule="exact"/>
        <w:rPr>
          <w:sz w:val="20"/>
          <w:szCs w:val="20"/>
          <w:color w:val="auto"/>
        </w:rPr>
      </w:pPr>
    </w:p>
    <w:p>
      <w:pPr>
        <w:ind w:left="820" w:hanging="183"/>
        <w:spacing w:after="0"/>
        <w:tabs>
          <w:tab w:leader="none" w:pos="8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reasonably be expected to have any Liability, or (c) utilizes to provide benefits to or otherwise cover any current or former employee, officer,</w:t>
      </w:r>
    </w:p>
    <w:p>
      <w:pPr>
        <w:spacing w:after="0" w:line="13" w:lineRule="exact"/>
        <w:rPr>
          <w:rFonts w:ascii="Times New Roman" w:cs="Times New Roman" w:eastAsia="Times New Roman" w:hAnsi="Times New Roman"/>
          <w:sz w:val="12"/>
          <w:szCs w:val="12"/>
          <w:color w:val="auto"/>
        </w:rPr>
      </w:pPr>
    </w:p>
    <w:p>
      <w:pPr>
        <w:ind w:left="640" w:right="65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spacing w:after="0" w:line="13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Fundamental Representations</w:t>
      </w:r>
      <w:r>
        <w:rPr>
          <w:rFonts w:ascii="Times New Roman" w:cs="Times New Roman" w:eastAsia="Times New Roman" w:hAnsi="Times New Roman"/>
          <w:sz w:val="13"/>
          <w:szCs w:val="13"/>
          <w:color w:val="auto"/>
        </w:rPr>
        <w:t xml:space="preserve">” means the representations and warranties of Parent and Merger Subs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4.5(a)(i)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4.21</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IP Rights Agreement</w:t>
      </w:r>
      <w:r>
        <w:rPr>
          <w:rFonts w:ascii="Times New Roman" w:cs="Times New Roman" w:eastAsia="Times New Roman" w:hAnsi="Times New Roman"/>
          <w:sz w:val="13"/>
          <w:szCs w:val="13"/>
          <w:color w:val="auto"/>
        </w:rPr>
        <w:t>” means any Contract governing, related or pertaining to any Parent IP Rights.</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IP Rights</w:t>
      </w:r>
      <w:r>
        <w:rPr>
          <w:rFonts w:ascii="Times New Roman" w:cs="Times New Roman" w:eastAsia="Times New Roman" w:hAnsi="Times New Roman"/>
          <w:sz w:val="13"/>
          <w:szCs w:val="13"/>
          <w:color w:val="auto"/>
        </w:rPr>
        <w:t>” means all Intellectual Property owned, licensed or controlled by Parent that is necessary for, or used or held for use in, the operation of the business of Parent.</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Key Employee</w:t>
      </w:r>
      <w:r>
        <w:rPr>
          <w:rFonts w:ascii="Times New Roman" w:cs="Times New Roman" w:eastAsia="Times New Roman" w:hAnsi="Times New Roman"/>
          <w:sz w:val="13"/>
          <w:szCs w:val="13"/>
          <w:color w:val="auto"/>
        </w:rPr>
        <w:t>” means (i) an executive officer of Parent; and (ii) any employee of Parent that reports directly to the Parent Board or to an executive officer of Parent.</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Legacy Business</w:t>
      </w:r>
      <w:r>
        <w:rPr>
          <w:rFonts w:ascii="Times New Roman" w:cs="Times New Roman" w:eastAsia="Times New Roman" w:hAnsi="Times New Roman"/>
          <w:sz w:val="13"/>
          <w:szCs w:val="13"/>
          <w:color w:val="auto"/>
        </w:rPr>
        <w:t xml:space="preserve">” means the business of Parent as conducted at any time prior to the date of this Agreement, including but not limited to business related to the assets listed on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the Parent Disclosure Letter.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9" w:name="page30"/>
    <w:bookmarkEnd w:id="29"/>
    <w:p>
      <w:pPr>
        <w:ind w:left="640" w:right="659" w:firstLine="30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spacing w:after="0" w:line="145"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w:t>
      </w:r>
      <w:r>
        <w:rPr>
          <w:rFonts w:ascii="Times New Roman" w:cs="Times New Roman" w:eastAsia="Times New Roman" w:hAnsi="Times New Roman"/>
          <w:sz w:val="12"/>
          <w:szCs w:val="12"/>
          <w:color w:val="auto"/>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(b) the prepaid expenses set forth on </w:t>
      </w:r>
      <w:r>
        <w:rPr>
          <w:rFonts w:ascii="Times New Roman" w:cs="Times New Roman" w:eastAsia="Times New Roman" w:hAnsi="Times New Roman"/>
          <w:sz w:val="12"/>
          <w:szCs w:val="12"/>
          <w:u w:val="single" w:color="auto"/>
          <w:color w:val="auto"/>
        </w:rPr>
        <w:t>Section 1.1(b)</w:t>
      </w:r>
      <w:r>
        <w:rPr>
          <w:rFonts w:ascii="Times New Roman" w:cs="Times New Roman" w:eastAsia="Times New Roman" w:hAnsi="Times New Roman"/>
          <w:sz w:val="12"/>
          <w:szCs w:val="12"/>
          <w:color w:val="auto"/>
        </w:rPr>
        <w:t xml:space="preserve"> of the Parent Disclosure Letter, if any,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30" w:name="page31"/>
    <w:bookmarkEnd w:id="30"/>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any director, officer, 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and (ix) all costs and expenses associated with any dividend of any excess Parent Net Cash, in each case, to the extent unpaid as of the First Effective Time, </w:t>
      </w:r>
      <w:r>
        <w:rPr>
          <w:rFonts w:ascii="Times New Roman" w:cs="Times New Roman" w:eastAsia="Times New Roman" w:hAnsi="Times New Roman"/>
          <w:sz w:val="12"/>
          <w:szCs w:val="12"/>
          <w:i w:val="1"/>
          <w:iCs w:val="1"/>
          <w:u w:val="single" w:color="auto"/>
          <w:color w:val="auto"/>
        </w:rPr>
        <w:t>minus</w:t>
      </w:r>
    </w:p>
    <w:p>
      <w:pPr>
        <w:ind w:left="640" w:right="659" w:hanging="3"/>
        <w:spacing w:after="0" w:line="263" w:lineRule="auto"/>
        <w:tabs>
          <w:tab w:leader="none" w:pos="81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remaining rent payments and fees and expenses associated with terminating the Parent Real Estate Leases,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(f) the Accrued Pre-Closing Tax Amount,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(g) 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(h) the Parent Stock Option Cash Consideration, minus</w:t>
      </w:r>
    </w:p>
    <w:p>
      <w:pPr>
        <w:spacing w:after="0" w:line="2" w:lineRule="exact"/>
        <w:rPr>
          <w:rFonts w:ascii="Times New Roman" w:cs="Times New Roman" w:eastAsia="Times New Roman" w:hAnsi="Times New Roman"/>
          <w:sz w:val="12"/>
          <w:szCs w:val="12"/>
          <w:color w:val="auto"/>
        </w:rPr>
      </w:pPr>
    </w:p>
    <w:p>
      <w:pPr>
        <w:ind w:left="640" w:right="1179" w:hanging="3"/>
        <w:spacing w:after="0" w:line="246" w:lineRule="auto"/>
        <w:tabs>
          <w:tab w:leader="none" w:pos="79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not declared and paid prior to delivery of the Parent Net Cash Schedule, the Parent Pre-Closing Dividend Amount (if any). For avoidance of doubt, the calculation of Parent Net Cash may result in a number below $0.</w:t>
      </w:r>
    </w:p>
    <w:p>
      <w:pPr>
        <w:spacing w:after="0" w:line="13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Options</w:t>
      </w:r>
      <w:r>
        <w:rPr>
          <w:rFonts w:ascii="Times New Roman" w:cs="Times New Roman" w:eastAsia="Times New Roman" w:hAnsi="Times New Roman"/>
          <w:sz w:val="13"/>
          <w:szCs w:val="13"/>
          <w:color w:val="auto"/>
        </w:rPr>
        <w:t>” means options or other rights to purchase shares of Parent Common Stock, including those granted by Parent pursuant to any Parent Stock Plan.</w:t>
      </w:r>
    </w:p>
    <w:p>
      <w:pPr>
        <w:spacing w:after="0" w:line="119"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Preferred Stock</w:t>
      </w:r>
      <w:r>
        <w:rPr>
          <w:rFonts w:ascii="Times New Roman" w:cs="Times New Roman" w:eastAsia="Times New Roman" w:hAnsi="Times New Roman"/>
          <w:sz w:val="13"/>
          <w:szCs w:val="13"/>
          <w:color w:val="auto"/>
        </w:rPr>
        <w:t>” means the shares of Parent Capital Stock designated as preferred stock, no par value per share, including the Parent Convertible Preferred Stock.</w:t>
      </w:r>
    </w:p>
    <w:p>
      <w:pPr>
        <w:spacing w:after="0" w:line="119" w:lineRule="exact"/>
        <w:rPr>
          <w:sz w:val="20"/>
          <w:szCs w:val="20"/>
          <w:color w:val="auto"/>
        </w:rPr>
      </w:pPr>
    </w:p>
    <w:p>
      <w:pPr>
        <w:jc w:val="both"/>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Registered IP</w:t>
      </w:r>
      <w:r>
        <w:rPr>
          <w:rFonts w:ascii="Times New Roman" w:cs="Times New Roman" w:eastAsia="Times New Roman" w:hAnsi="Times New Roman"/>
          <w:sz w:val="13"/>
          <w:szCs w:val="13"/>
          <w:color w:val="auto"/>
        </w:rPr>
        <w:t>”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Restricted Stock Award</w:t>
      </w:r>
      <w:r>
        <w:rPr>
          <w:rFonts w:ascii="Times New Roman" w:cs="Times New Roman" w:eastAsia="Times New Roman" w:hAnsi="Times New Roman"/>
          <w:sz w:val="13"/>
          <w:szCs w:val="13"/>
          <w:color w:val="auto"/>
        </w:rPr>
        <w:t>” means an award of restricted shares of Parent Common Stock.</w:t>
      </w:r>
    </w:p>
    <w:p>
      <w:pPr>
        <w:spacing w:after="0" w:line="154" w:lineRule="exact"/>
        <w:rPr>
          <w:sz w:val="20"/>
          <w:szCs w:val="20"/>
          <w:color w:val="auto"/>
        </w:rPr>
      </w:pPr>
    </w:p>
    <w:p>
      <w:pPr>
        <w:jc w:val="both"/>
        <w:ind w:left="640" w:right="81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Triggering Event</w:t>
      </w:r>
      <w:r>
        <w:rPr>
          <w:rFonts w:ascii="Times New Roman" w:cs="Times New Roman" w:eastAsia="Times New Roman" w:hAnsi="Times New Roman"/>
          <w:sz w:val="12"/>
          <w:szCs w:val="12"/>
          <w:color w:val="auto"/>
        </w:rPr>
        <w:t xml:space="preserve">” shall be deemed to have occurred if, prior to the approval of this Agreement and the Contemplated Transactions by Parent’s shareholders and subject to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(a) Parent shall have failed to include in the Proxy Statement the Parent Board Recommendation,</w:t>
      </w:r>
    </w:p>
    <w:p>
      <w:pPr>
        <w:spacing w:after="0" w:line="1" w:lineRule="exact"/>
        <w:rPr>
          <w:sz w:val="20"/>
          <w:szCs w:val="20"/>
          <w:color w:val="auto"/>
        </w:rPr>
      </w:pPr>
    </w:p>
    <w:p>
      <w:pPr>
        <w:ind w:left="640" w:right="759" w:hanging="3"/>
        <w:spacing w:after="0" w:line="275" w:lineRule="auto"/>
        <w:tabs>
          <w:tab w:leader="none" w:pos="819"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Parent Board or any committee thereof shall have made a Parent Board Adverse Recommendation Change or subject to </w:t>
      </w:r>
      <w:r>
        <w:rPr>
          <w:rFonts w:ascii="Times New Roman" w:cs="Times New Roman" w:eastAsia="Times New Roman" w:hAnsi="Times New Roman"/>
          <w:sz w:val="12"/>
          <w:szCs w:val="12"/>
          <w:u w:val="single" w:color="auto"/>
          <w:color w:val="auto"/>
        </w:rPr>
        <w:t>Section 6.3(e)</w:t>
      </w:r>
      <w:r>
        <w:rPr>
          <w:rFonts w:ascii="Times New Roman" w:cs="Times New Roman" w:eastAsia="Times New Roman" w:hAnsi="Times New Roman"/>
          <w:sz w:val="12"/>
          <w:szCs w:val="12"/>
          <w:color w:val="auto"/>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means the Company, Merger Sub and Parent.</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Alternative Agreement</w:t>
      </w:r>
      <w:r>
        <w:rPr>
          <w:rFonts w:ascii="Times New Roman" w:cs="Times New Roman" w:eastAsia="Times New Roman" w:hAnsi="Times New Roman"/>
          <w:sz w:val="13"/>
          <w:szCs w:val="13"/>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Encumbrance</w:t>
      </w:r>
      <w:r>
        <w:rPr>
          <w:rFonts w:ascii="Times New Roman" w:cs="Times New Roman" w:eastAsia="Times New Roman" w:hAnsi="Times New Roman"/>
          <w:sz w:val="13"/>
          <w:szCs w:val="13"/>
          <w:color w:val="auto"/>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31" w:name="page32"/>
    <w:bookmarkEnd w:id="31"/>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Entity or Governmental Authority.</w:t>
      </w:r>
    </w:p>
    <w:p>
      <w:pPr>
        <w:spacing w:after="0" w:line="154"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spacing w:after="0" w:line="130"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spacing w:after="0" w:line="121" w:lineRule="exact"/>
        <w:rPr>
          <w:sz w:val="20"/>
          <w:szCs w:val="20"/>
          <w:color w:val="auto"/>
        </w:rPr>
      </w:pPr>
    </w:p>
    <w:p>
      <w:pPr>
        <w:ind w:left="640" w:right="10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with respect to a Person, such Person’s directors, officers, employees, agents, attorneys, accountants, investment bankers, advisors and other representatives.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Subsequent Transaction</w:t>
      </w:r>
      <w:r>
        <w:rPr>
          <w:rFonts w:ascii="Times New Roman" w:cs="Times New Roman" w:eastAsia="Times New Roman" w:hAnsi="Times New Roman"/>
          <w:sz w:val="13"/>
          <w:szCs w:val="13"/>
          <w:color w:val="auto"/>
        </w:rPr>
        <w:t>” means any Acquisition Transaction (with all references to 20% in the definition of Acquisition Transaction being treated as references to 50% for these purposes).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 Entity, a Person if such Person directly or indirectly owns or purports to own, beneficially or of record,</w:t>
      </w:r>
    </w:p>
    <w:p>
      <w:pPr>
        <w:spacing w:after="0" w:line="29" w:lineRule="exact"/>
        <w:rPr>
          <w:sz w:val="20"/>
          <w:szCs w:val="20"/>
          <w:color w:val="auto"/>
        </w:rPr>
      </w:pPr>
    </w:p>
    <w:p>
      <w:pPr>
        <w:ind w:left="640" w:right="799" w:hanging="3"/>
        <w:spacing w:after="0" w:line="245" w:lineRule="auto"/>
        <w:tabs>
          <w:tab w:leader="none" w:pos="81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4" w:lineRule="exact"/>
        <w:rPr>
          <w:sz w:val="20"/>
          <w:szCs w:val="20"/>
          <w:color w:val="auto"/>
        </w:rPr>
      </w:pPr>
    </w:p>
    <w:p>
      <w:pPr>
        <w:ind w:left="640" w:right="91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Superior Offer</w:t>
      </w:r>
      <w:r>
        <w:rPr>
          <w:rFonts w:ascii="Times New Roman" w:cs="Times New Roman" w:eastAsia="Times New Roman" w:hAnsi="Times New Roman"/>
          <w:sz w:val="12"/>
          <w:szCs w:val="12"/>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32" w:name="page33"/>
    <w:bookmarkEnd w:id="32"/>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spacing w:after="0" w:line="132"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3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Treasury regulations promulgated under the Code.</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Each of the following terms is defined in the Section set forth opposite such term:</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2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Terms</w:t>
            </w:r>
          </w:p>
        </w:tc>
        <w:tc>
          <w:tcPr>
            <w:tcW w:w="124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128"/>
        </w:trPr>
        <w:tc>
          <w:tcPr>
            <w:tcW w:w="2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w w:val="85"/>
              </w:rPr>
              <w:t>AAA</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2.8(f)</w:t>
            </w:r>
          </w:p>
        </w:tc>
        <w:tc>
          <w:tcPr>
            <w:tcW w:w="140" w:type="dxa"/>
            <w:vAlign w:val="bottom"/>
          </w:tcPr>
          <w:p>
            <w:pPr>
              <w:spacing w:after="0"/>
              <w:rPr>
                <w:sz w:val="11"/>
                <w:szCs w:val="11"/>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Firm</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2.8(f)</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6.15</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Antitrust Fees</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6.4(b)</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Option</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RSU Award</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6.5(b)</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Warrant</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6.5(c)</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Sheet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Beneficial Ownership Limitation</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Calculation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Capitalization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Certifications</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65"/>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409A Plan</w:t>
            </w:r>
          </w:p>
        </w:tc>
        <w:tc>
          <w:tcPr>
            <w:tcW w:w="12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3.17(j)</w:t>
            </w:r>
          </w:p>
        </w:tc>
      </w:tr>
      <w:tr>
        <w:trPr>
          <w:trHeight w:val="256"/>
        </w:trPr>
        <w:tc>
          <w:tcPr>
            <w:tcW w:w="2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2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Board Adverse Recommendation Change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Board Recommendation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Disclosure Letter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94"/>
              </w:rPr>
              <w:t>Section 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Intervening Event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Material Contract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Material Contracts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Permits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Product Candidates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Real Estate Leases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3.11</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Regulatory Permits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Required S-4 Information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6.1(d)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Consent Review Period</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Support Agreement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Written Consents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Termination Fee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Calculation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Delivery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Determination Time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Dispute Notice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Response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Schedule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 Fees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Drug/Device Regulatory Agency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Employment-Related Laws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3.17(k)</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End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10.1(b)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FDA</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FDCA</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Certificate of Merger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Effective Time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Merger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Step Surviving Corporation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Form S-4</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Intended Tax Treatment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2.11</w:t>
            </w:r>
          </w:p>
        </w:tc>
      </w:tr>
      <w:tr>
        <w:trPr>
          <w:trHeight w:val="165"/>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Liability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3.9</w:t>
            </w:r>
          </w:p>
        </w:tc>
      </w:tr>
      <w:tr>
        <w:trPr>
          <w:trHeight w:val="256"/>
        </w:trPr>
        <w:tc>
          <w:tcPr>
            <w:tcW w:w="3040" w:type="dxa"/>
            <w:vAlign w:val="bottom"/>
          </w:tcPr>
          <w:p>
            <w:pPr>
              <w:spacing w:after="0"/>
              <w:rPr>
                <w:sz w:val="22"/>
                <w:szCs w:val="22"/>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16</w:t>
            </w:r>
          </w:p>
        </w:tc>
      </w:tr>
    </w:tbl>
    <w:p>
      <w:pPr>
        <w:sectPr>
          <w:pgSz w:w="11900" w:h="16838" w:orient="portrait"/>
          <w:cols w:equalWidth="0" w:num="1">
            <w:col w:w="9019"/>
          </w:cols>
          <w:pgMar w:left="1440" w:top="231" w:right="1440"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Lock-Up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Lock-Up Agreements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5"/>
              </w:rPr>
              <w:t>2.5(a)(iii)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 Subs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7"/>
              </w:rPr>
              <w:t>Preamble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Nasdaq Fees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Notice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3.16(g)</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409A Plan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4.17(j)</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Articles of Amendment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2.4(b)(ii)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Board Adverse Recommendation Change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Board Recommendation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Common Stock Payment Shares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Disclosure Letter</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8"/>
              </w:rPr>
              <w:t>Section 4</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Intervening Event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Legacy Transaction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Material Contract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Net Cash Calculation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Net Cash Schedule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Notice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Permits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Pre-Closing Dividend Amount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Product Candidates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Real Estate Leases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4.11</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Regulatory Permits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SEC Documents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Matters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Meeting</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Support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Stock Plans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4.6(c)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PHSA</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3.14(c)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Post-Closing Welfare Plan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6.6(b)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Pre-Funded Warrants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Privacy Policies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3.22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Proxy Statement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Registration Statement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Remaining Entitlement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Required Parent Shareholder Vote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4.4</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2.8(c)</w:t>
            </w:r>
          </w:p>
        </w:tc>
      </w:tr>
      <w:tr>
        <w:trPr>
          <w:trHeight w:val="256"/>
        </w:trPr>
        <w:tc>
          <w:tcPr>
            <w:tcW w:w="2960" w:type="dxa"/>
            <w:vAlign w:val="bottom"/>
          </w:tcPr>
          <w:p>
            <w:pPr>
              <w:spacing w:after="0"/>
              <w:rPr>
                <w:sz w:val="22"/>
                <w:szCs w:val="22"/>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17</w:t>
            </w:r>
          </w:p>
        </w:tc>
      </w:tr>
    </w:tbl>
    <w:p>
      <w:pPr>
        <w:sectPr>
          <w:pgSz w:w="11900" w:h="16838" w:orient="portrait"/>
          <w:cols w:equalWidth="0" w:num="1">
            <w:col w:w="9019"/>
          </w:cols>
          <w:pgMar w:left="1440" w:top="231" w:right="1440"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 Documents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6.16</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Certificate of Merger</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Effective Time</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Merger</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7"/>
              </w:rPr>
              <w:t>Recital</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Securities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2.5(g)</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Stockholder Notice</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6.2(b)</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Subscription Agreement</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7"/>
              </w:rPr>
              <w:t>Recital</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Surviving Entity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Tax Certificates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6"/>
              </w:rPr>
              <w:t>6.10(c)</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6.4(c)</w:t>
            </w:r>
          </w:p>
        </w:tc>
      </w:tr>
      <w:tr>
        <w:trPr>
          <w:trHeight w:val="165"/>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WARN Act</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4"/>
              </w:rPr>
              <w:t>3.17(k)</w:t>
            </w:r>
          </w:p>
        </w:tc>
      </w:tr>
    </w:tbl>
    <w:p>
      <w:pPr>
        <w:spacing w:after="0" w:line="139"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Other Definitional and Interpretative Provisions</w:t>
      </w:r>
      <w:r>
        <w:rPr>
          <w:rFonts w:ascii="Times New Roman" w:cs="Times New Roman" w:eastAsia="Times New Roman" w:hAnsi="Times New Roman"/>
          <w:sz w:val="12"/>
          <w:szCs w:val="1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respectively. The disclosures in any section or subsection of the Company Disclosure Letter or the Parent Disclosure Letter shall qualify other sections and subsections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respectively, to the extent it is readily apparent from a reading of the disclosure that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6" w:name="page37"/>
    <w:bookmarkEnd w:id="36"/>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Description of Transaction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cs="Times New Roman" w:eastAsia="Times New Roman" w:hAnsi="Times New Roman"/>
          <w:sz w:val="13"/>
          <w:szCs w:val="13"/>
          <w:b w:val="1"/>
          <w:bCs w:val="1"/>
          <w:color w:val="auto"/>
        </w:rPr>
        <w:t>First Step Surviving Corporation</w:t>
      </w:r>
      <w:r>
        <w:rPr>
          <w:rFonts w:ascii="Times New Roman" w:cs="Times New Roman" w:eastAsia="Times New Roman" w:hAnsi="Times New Roman"/>
          <w:sz w:val="13"/>
          <w:szCs w:val="13"/>
          <w:color w:val="auto"/>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cs="Times New Roman" w:eastAsia="Times New Roman" w:hAnsi="Times New Roman"/>
          <w:sz w:val="13"/>
          <w:szCs w:val="13"/>
          <w:b w:val="1"/>
          <w:bCs w:val="1"/>
          <w:color w:val="auto"/>
        </w:rPr>
        <w:t>Surviving Entity</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Effects of the Merger</w:t>
      </w:r>
      <w:r>
        <w:rPr>
          <w:rFonts w:ascii="Times New Roman" w:cs="Times New Roman" w:eastAsia="Times New Roman" w:hAnsi="Times New Roman"/>
          <w:sz w:val="13"/>
          <w:szCs w:val="13"/>
          <w:color w:val="auto"/>
        </w:rPr>
        <w:t>.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spacing w:after="0" w:line="130" w:lineRule="exact"/>
        <w:rPr>
          <w:sz w:val="20"/>
          <w:szCs w:val="20"/>
          <w:color w:val="auto"/>
        </w:rPr>
      </w:pPr>
    </w:p>
    <w:p>
      <w:pPr>
        <w:ind w:left="640" w:right="679" w:firstLine="696"/>
        <w:spacing w:after="0" w:line="244"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Closing; First Effective Time; Second Effective Time</w:t>
      </w:r>
      <w:r>
        <w:rPr>
          <w:rFonts w:ascii="Times New Roman" w:cs="Times New Roman" w:eastAsia="Times New Roman" w:hAnsi="Times New Roman"/>
          <w:sz w:val="13"/>
          <w:szCs w:val="13"/>
          <w:color w:val="auto"/>
        </w:rPr>
        <w:t xml:space="preserve">. Unless this Agreement is earlier terminated pursuant to the provisions of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subject to the satisfaction or waiver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Immediately 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cs="Times New Roman" w:eastAsia="Times New Roman" w:hAnsi="Times New Roman"/>
          <w:sz w:val="13"/>
          <w:szCs w:val="13"/>
          <w:u w:val="single" w:color="auto"/>
          <w:color w:val="auto"/>
        </w:rPr>
        <w:t>Exhibit D-1</w:t>
      </w:r>
      <w:r>
        <w:rPr>
          <w:rFonts w:ascii="Times New Roman" w:cs="Times New Roman" w:eastAsia="Times New Roman" w:hAnsi="Times New Roman"/>
          <w:sz w:val="13"/>
          <w:szCs w:val="13"/>
          <w:color w:val="auto"/>
        </w:rPr>
        <w:t xml:space="preserve"> and incorporated herein by reference (the “</w:t>
      </w:r>
      <w:r>
        <w:rPr>
          <w:rFonts w:ascii="Times New Roman" w:cs="Times New Roman" w:eastAsia="Times New Roman" w:hAnsi="Times New Roman"/>
          <w:sz w:val="13"/>
          <w:szCs w:val="13"/>
          <w:b w:val="1"/>
          <w:bCs w:val="1"/>
          <w:color w:val="auto"/>
        </w:rPr>
        <w:t>First Certificate of Merger</w:t>
      </w:r>
      <w:r>
        <w:rPr>
          <w:rFonts w:ascii="Times New Roman" w:cs="Times New Roman" w:eastAsia="Times New Roman" w:hAnsi="Times New Roman"/>
          <w:sz w:val="13"/>
          <w:szCs w:val="13"/>
          <w:color w:val="auto"/>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D-2</w:t>
      </w:r>
      <w:r>
        <w:rPr>
          <w:rFonts w:ascii="Times New Roman" w:cs="Times New Roman" w:eastAsia="Times New Roman" w:hAnsi="Times New Roman"/>
          <w:sz w:val="13"/>
          <w:szCs w:val="13"/>
          <w:color w:val="auto"/>
        </w:rPr>
        <w:t xml:space="preserve"> and incorporated herein by reference (the “</w:t>
      </w:r>
      <w:r>
        <w:rPr>
          <w:rFonts w:ascii="Times New Roman" w:cs="Times New Roman" w:eastAsia="Times New Roman" w:hAnsi="Times New Roman"/>
          <w:sz w:val="13"/>
          <w:szCs w:val="13"/>
          <w:b w:val="1"/>
          <w:bCs w:val="1"/>
          <w:color w:val="auto"/>
        </w:rPr>
        <w:t>Second Certificate of Merger</w:t>
      </w:r>
      <w:r>
        <w:rPr>
          <w:rFonts w:ascii="Times New Roman" w:cs="Times New Roman" w:eastAsia="Times New Roman" w:hAnsi="Times New Roman"/>
          <w:sz w:val="13"/>
          <w:szCs w:val="13"/>
          <w:color w:val="auto"/>
        </w:rPr>
        <w:t>” and together with the First Certificate of Merger, the “</w:t>
      </w:r>
      <w:r>
        <w:rPr>
          <w:rFonts w:ascii="Times New Roman" w:cs="Times New Roman" w:eastAsia="Times New Roman" w:hAnsi="Times New Roman"/>
          <w:sz w:val="13"/>
          <w:szCs w:val="13"/>
          <w:b w:val="1"/>
          <w:bCs w:val="1"/>
          <w:color w:val="auto"/>
        </w:rPr>
        <w:t>Certificate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The First Merger shall become effective at the time of the filing of such Certificate of Merger with the Secretary of State of the State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7" w:name="page38"/>
    <w:bookmarkEnd w:id="3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2.4 </w:t>
      </w:r>
      <w:r>
        <w:rPr>
          <w:rFonts w:ascii="Times New Roman" w:cs="Times New Roman" w:eastAsia="Times New Roman" w:hAnsi="Times New Roman"/>
          <w:sz w:val="13"/>
          <w:szCs w:val="13"/>
          <w:u w:val="single" w:color="auto"/>
          <w:color w:val="auto"/>
        </w:rPr>
        <w:t>Organizational Documents; Directors and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w:t>
      </w:r>
    </w:p>
    <w:p>
      <w:pPr>
        <w:spacing w:after="0" w:line="77" w:lineRule="exact"/>
        <w:rPr>
          <w:rFonts w:ascii="Times New Roman" w:cs="Times New Roman" w:eastAsia="Times New Roman" w:hAnsi="Times New Roman"/>
          <w:sz w:val="13"/>
          <w:szCs w:val="13"/>
          <w:color w:val="auto"/>
        </w:rPr>
      </w:pPr>
    </w:p>
    <w:p>
      <w:pPr>
        <w:ind w:left="940" w:right="719" w:firstLine="972"/>
        <w:spacing w:after="0" w:line="255" w:lineRule="auto"/>
        <w:tabs>
          <w:tab w:leader="none" w:pos="2056"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First Step Surviving Corporation shall be amended and restated in the Merger to read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to the First Certificate of Merger, until thereafter amended as provided by the DGCL and such certificate of incorporation;</w:t>
      </w:r>
    </w:p>
    <w:p>
      <w:pPr>
        <w:spacing w:after="0" w:line="54" w:lineRule="exact"/>
        <w:rPr>
          <w:rFonts w:ascii="Times New Roman" w:cs="Times New Roman" w:eastAsia="Times New Roman" w:hAnsi="Times New Roman"/>
          <w:sz w:val="13"/>
          <w:szCs w:val="13"/>
          <w:color w:val="auto"/>
        </w:rPr>
      </w:pPr>
    </w:p>
    <w:p>
      <w:pPr>
        <w:ind w:left="940" w:right="1299" w:firstLine="972"/>
        <w:spacing w:after="0" w:line="267" w:lineRule="auto"/>
        <w:tabs>
          <w:tab w:leader="none" w:pos="2091"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First Step Surviving Corporation shall be identical to the bylaws of the Company as in effect immediately prior to the First Effective Time, until thereafter amended as provided by the DGCL and such bylaws; and</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126"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the First Step Surviving Corporation, each to hold office in accordance with the certificate of incorporation and bylaws of the First Step Surviving Corporation, shall be such persons as are set forth in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unless otherwise designated by the Company prior to the First Effective Time.</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At the Second Effective Time:</w:t>
      </w:r>
    </w:p>
    <w:p>
      <w:pPr>
        <w:spacing w:after="0" w:line="77" w:lineRule="exact"/>
        <w:rPr>
          <w:rFonts w:ascii="Times New Roman" w:cs="Times New Roman" w:eastAsia="Times New Roman" w:hAnsi="Times New Roman"/>
          <w:sz w:val="13"/>
          <w:szCs w:val="13"/>
          <w:u w:val="single" w:color="auto"/>
          <w:color w:val="auto"/>
        </w:rPr>
      </w:pPr>
    </w:p>
    <w:p>
      <w:pPr>
        <w:ind w:left="940" w:right="719" w:firstLine="972"/>
        <w:spacing w:after="0" w:line="271" w:lineRule="auto"/>
        <w:tabs>
          <w:tab w:leader="none" w:pos="2056" w:val="left"/>
        </w:tabs>
        <w:numPr>
          <w:ilvl w:val="2"/>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at the Second Effective Time (as part of the Second Certificate of Merger), the certificate of formation shall be amended to</w:t>
      </w:r>
    </w:p>
    <w:p>
      <w:pPr>
        <w:ind w:left="940" w:right="659" w:firstLine="7"/>
        <w:spacing w:after="0" w:line="246" w:lineRule="auto"/>
        <w:tabs>
          <w:tab w:leader="none" w:pos="114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name of the Surviving Entity to “Korsana Biosciences Operating Company LLC,” and (B) make such other changes as are directed by the Company;</w:t>
      </w:r>
    </w:p>
    <w:p>
      <w:pPr>
        <w:spacing w:after="0" w:line="59" w:lineRule="exact"/>
        <w:rPr>
          <w:rFonts w:ascii="Times New Roman" w:cs="Times New Roman" w:eastAsia="Times New Roman" w:hAnsi="Times New Roman"/>
          <w:sz w:val="13"/>
          <w:szCs w:val="13"/>
          <w:color w:val="auto"/>
        </w:rPr>
      </w:pPr>
    </w:p>
    <w:p>
      <w:pPr>
        <w:ind w:left="940" w:right="859" w:firstLine="972"/>
        <w:spacing w:after="0" w:line="249" w:lineRule="auto"/>
        <w:tabs>
          <w:tab w:leader="none" w:pos="2091"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following the Second Effective Time (but as soon thereafter as practicable), the limited liability company agreement shall be amended to change the name of the Surviving Entity to “Korsana Biosciences Operating Company LLC”;</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46" w:lineRule="auto"/>
        <w:tabs>
          <w:tab w:leader="none" w:pos="2126"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 “Korsana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cs="Times New Roman" w:eastAsia="Times New Roman" w:hAnsi="Times New Roman"/>
          <w:sz w:val="13"/>
          <w:szCs w:val="13"/>
          <w:b w:val="1"/>
          <w:bCs w:val="1"/>
          <w:color w:val="auto"/>
        </w:rPr>
        <w:t>Parent Articles of Amendment</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8" w:name="page39"/>
    <w:bookmarkEnd w:id="38"/>
    <w:p>
      <w:pPr>
        <w:ind w:left="940" w:right="999" w:firstLine="972"/>
        <w:spacing w:after="0" w:line="267" w:lineRule="auto"/>
        <w:tabs>
          <w:tab w:leader="none" w:pos="211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directors and officers of Parent, each to hold office in accordance with the articles of organization and bylaws of Parent, shall be as set forth in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08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Conversion of Company, First Merger Sub and Second Merger Sub Equity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right="779" w:firstLine="972"/>
        <w:spacing w:after="0" w:line="267" w:lineRule="auto"/>
        <w:tabs>
          <w:tab w:leader="none" w:pos="207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 by virtue of the Merger and without any further action on the part of Parent, Merger Subs, the Company or any stockholder of the Company or shareholder of Parent:</w:t>
      </w:r>
    </w:p>
    <w:p>
      <w:pPr>
        <w:spacing w:after="0" w:line="46" w:lineRule="exact"/>
        <w:rPr>
          <w:sz w:val="20"/>
          <w:szCs w:val="20"/>
          <w:color w:val="auto"/>
        </w:rPr>
      </w:pPr>
    </w:p>
    <w:p>
      <w:pPr>
        <w:ind w:left="940" w:right="739" w:firstLine="972"/>
        <w:spacing w:after="0" w:line="267" w:lineRule="auto"/>
        <w:tabs>
          <w:tab w:leader="none" w:pos="205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Company Capital Stock held as treasury stock immediately prior to the First Effective Time shall be canceled and retired and shall cease to exist, and no consideration shall be delivered in exchange therefor; and</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45" w:lineRule="auto"/>
        <w:tabs>
          <w:tab w:leader="none" w:pos="209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2.5(a)(iii)</w:t>
      </w:r>
      <w:r>
        <w:rPr>
          <w:rFonts w:ascii="Times New Roman" w:cs="Times New Roman" w:eastAsia="Times New Roman" w:hAnsi="Times New Roman"/>
          <w:sz w:val="13"/>
          <w:szCs w:val="13"/>
          <w:color w:val="auto"/>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cs="Times New Roman" w:eastAsia="Times New Roman" w:hAnsi="Times New Roman"/>
          <w:sz w:val="13"/>
          <w:szCs w:val="13"/>
          <w:u w:val="single" w:color="auto"/>
          <w:color w:val="auto"/>
        </w:rPr>
        <w:t>Section 2.5(a)(i)</w:t>
      </w:r>
      <w:r>
        <w:rPr>
          <w:rFonts w:ascii="Times New Roman" w:cs="Times New Roman" w:eastAsia="Times New Roman" w:hAnsi="Times New Roman"/>
          <w:sz w:val="13"/>
          <w:szCs w:val="13"/>
          <w:color w:val="auto"/>
        </w:rPr>
        <w:t xml:space="preserve"> and excluding Dissenting Shares) shall be converted solely into the right to receive a number of shares of Parent Common Stock equal to the Exchange Ratio (the “</w:t>
      </w:r>
      <w:r>
        <w:rPr>
          <w:rFonts w:ascii="Times New Roman" w:cs="Times New Roman" w:eastAsia="Times New Roman" w:hAnsi="Times New Roman"/>
          <w:sz w:val="13"/>
          <w:szCs w:val="13"/>
          <w:b w:val="1"/>
          <w:bCs w:val="1"/>
          <w:color w:val="auto"/>
        </w:rPr>
        <w:t>Parent Common Stock Payment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provided, however, that, in the event the aggregate number of shares of Parent Common Stock issuable to any holder of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cs="Times New Roman" w:eastAsia="Times New Roman" w:hAnsi="Times New Roman"/>
          <w:sz w:val="13"/>
          <w:szCs w:val="13"/>
          <w:b w:val="1"/>
          <w:bCs w:val="1"/>
          <w:color w:val="auto"/>
        </w:rPr>
        <w:t>Remaining Entitlement</w:t>
      </w:r>
      <w:r>
        <w:rPr>
          <w:rFonts w:ascii="Times New Roman" w:cs="Times New Roman" w:eastAsia="Times New Roman" w:hAnsi="Times New Roman"/>
          <w:sz w:val="13"/>
          <w:szCs w:val="13"/>
          <w:color w:val="auto"/>
        </w:rPr>
        <w:t>”), pre-funded warrants, substantially in the form attached hereto as Exhibit G (“</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to purchase a number of shares of Parent Common Stock upon exercise of such Pre-Funded Warrants equal to the Remaining Entitlement, in such manner to provide any such holder of Company Capital Stock with the same economic effect as contemplated by this Agreement; and</w:t>
      </w:r>
    </w:p>
    <w:p>
      <w:pPr>
        <w:spacing w:after="0" w:line="63" w:lineRule="exact"/>
        <w:rPr>
          <w:rFonts w:ascii="Times New Roman" w:cs="Times New Roman" w:eastAsia="Times New Roman" w:hAnsi="Times New Roman"/>
          <w:sz w:val="13"/>
          <w:szCs w:val="13"/>
          <w:color w:val="auto"/>
        </w:rPr>
      </w:pPr>
    </w:p>
    <w:p>
      <w:pPr>
        <w:ind w:left="940" w:right="679" w:firstLine="972"/>
        <w:spacing w:after="0" w:line="249" w:lineRule="auto"/>
        <w:tabs>
          <w:tab w:leader="none" w:pos="212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notwithstanding </w:t>
      </w:r>
      <w:r>
        <w:rPr>
          <w:rFonts w:ascii="Times New Roman" w:cs="Times New Roman" w:eastAsia="Times New Roman" w:hAnsi="Times New Roman"/>
          <w:sz w:val="13"/>
          <w:szCs w:val="13"/>
          <w:u w:val="single" w:color="auto"/>
          <w:color w:val="auto"/>
        </w:rPr>
        <w:t>Section 2.5(a)(ii)</w:t>
      </w:r>
      <w:r>
        <w:rPr>
          <w:rFonts w:ascii="Times New Roman" w:cs="Times New Roman" w:eastAsia="Times New Roman" w:hAnsi="Times New Roman"/>
          <w:sz w:val="13"/>
          <w:szCs w:val="13"/>
          <w:color w:val="auto"/>
        </w:rPr>
        <w:t xml:space="preserve"> above, each share of Company Series Seed Preferred Stock outstanding immediately prior to the First Effective Time (excluding shares of Company Series Seed Preferred Stock to be canceled pursuant to </w:t>
      </w:r>
      <w:r>
        <w:rPr>
          <w:rFonts w:ascii="Times New Roman" w:cs="Times New Roman" w:eastAsia="Times New Roman" w:hAnsi="Times New Roman"/>
          <w:sz w:val="13"/>
          <w:szCs w:val="13"/>
          <w:u w:val="single" w:color="auto"/>
          <w:color w:val="auto"/>
        </w:rPr>
        <w:t>Section 2.5(a)(i)</w:t>
      </w:r>
      <w:r>
        <w:rPr>
          <w:rFonts w:ascii="Times New Roman" w:cs="Times New Roman" w:eastAsia="Times New Roman" w:hAnsi="Times New Roman"/>
          <w:sz w:val="13"/>
          <w:szCs w:val="13"/>
          <w:color w:val="auto"/>
        </w:rPr>
        <w:t xml:space="preserve"> and excluding Dissenting Shares) shall be converted solely into the right to receive a number of shares of Parent Convertible Preferred Stock equal to (x) the Exchange Ratio </w:t>
      </w:r>
      <w:r>
        <w:rPr>
          <w:rFonts w:ascii="Times New Roman" w:cs="Times New Roman" w:eastAsia="Times New Roman" w:hAnsi="Times New Roman"/>
          <w:sz w:val="13"/>
          <w:szCs w:val="13"/>
          <w:i w:val="1"/>
          <w:iCs w:val="1"/>
          <w:u w:val="single" w:color="auto"/>
          <w:color w:val="auto"/>
        </w:rPr>
        <w:t>divided by</w:t>
      </w:r>
      <w:r>
        <w:rPr>
          <w:rFonts w:ascii="Times New Roman" w:cs="Times New Roman" w:eastAsia="Times New Roman" w:hAnsi="Times New Roman"/>
          <w:sz w:val="13"/>
          <w:szCs w:val="13"/>
          <w:color w:val="auto"/>
        </w:rPr>
        <w:t xml:space="preserve"> (y) 1,000 (such shares of Parent Convertible Preferred Stock, together with the Parent Common Stock Payment Shares and Pre-Funded Warrants described in </w:t>
      </w:r>
      <w:r>
        <w:rPr>
          <w:rFonts w:ascii="Times New Roman" w:cs="Times New Roman" w:eastAsia="Times New Roman" w:hAnsi="Times New Roman"/>
          <w:sz w:val="13"/>
          <w:szCs w:val="13"/>
          <w:u w:val="single" w:color="auto"/>
          <w:color w:val="auto"/>
        </w:rPr>
        <w:t>Section 2.5(a)(ii)</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9" w:name="page40"/>
    <w:bookmarkEnd w:id="39"/>
    <w:p>
      <w:pPr>
        <w:ind w:left="640" w:right="659" w:firstLine="1003"/>
        <w:spacing w:after="0" w:line="248" w:lineRule="auto"/>
        <w:tabs>
          <w:tab w:leader="none" w:pos="18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any accompanying documents as required therein, rounded up to the nearest whole share of Parent Preferred Stock.</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0" w:lineRule="auto"/>
        <w:tabs>
          <w:tab w:leader="none" w:pos="18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Company Options (including any Service Provider Grants)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6.5(a)</w:t>
      </w:r>
      <w:r>
        <w:rPr>
          <w:rFonts w:ascii="Times New Roman" w:cs="Times New Roman" w:eastAsia="Times New Roman" w:hAnsi="Times New Roman"/>
          <w:sz w:val="13"/>
          <w:szCs w:val="13"/>
          <w:color w:val="auto"/>
        </w:rPr>
        <w:t xml:space="preserve">. All Company Warrants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6.5(c)</w:t>
      </w:r>
      <w:r>
        <w:rPr>
          <w:rFonts w:ascii="Times New Roman" w:cs="Times New Roman" w:eastAsia="Times New Roman" w:hAnsi="Times New Roman"/>
          <w:sz w:val="13"/>
          <w:szCs w:val="13"/>
          <w:color w:val="auto"/>
        </w:rPr>
        <w:t>. All Company RSUs outstanding immediately prior to the First Effective Time shall be treated in accordance</w:t>
      </w: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w:t>
      </w:r>
      <w:r>
        <w:rPr>
          <w:rFonts w:ascii="Times New Roman" w:cs="Times New Roman" w:eastAsia="Times New Roman" w:hAnsi="Times New Roman"/>
          <w:sz w:val="13"/>
          <w:szCs w:val="13"/>
          <w:u w:val="single" w:color="auto"/>
          <w:color w:val="auto"/>
        </w:rPr>
        <w:t>Section 6.5(b)</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03"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nothing herein will be construed to permit the Company or Parent to take any action with respect to Company Capital Stock or Parent Capital Stock, respectively, that is prohibited or not expressly permitted by the terms of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40" w:name="page41"/>
    <w:bookmarkEnd w:id="40"/>
    <w:p>
      <w:pPr>
        <w:ind w:left="640" w:right="719" w:firstLine="1003"/>
        <w:spacing w:after="0" w:line="251" w:lineRule="auto"/>
        <w:tabs>
          <w:tab w:leader="none" w:pos="1824"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70" w:lineRule="auto"/>
        <w:tabs>
          <w:tab w:leader="none" w:pos="1824"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the “</w:t>
      </w:r>
      <w:r>
        <w:rPr>
          <w:rFonts w:ascii="Times New Roman" w:cs="Times New Roman" w:eastAsia="Times New Roman" w:hAnsi="Times New Roman"/>
          <w:sz w:val="12"/>
          <w:szCs w:val="12"/>
          <w:b w:val="1"/>
          <w:bCs w:val="1"/>
          <w:color w:val="auto"/>
        </w:rPr>
        <w:t>Beneficial Ownership Limitation</w:t>
      </w:r>
      <w:r>
        <w:rPr>
          <w:rFonts w:ascii="Times New Roman" w:cs="Times New Roman" w:eastAsia="Times New Roman" w:hAnsi="Times New Roman"/>
          <w:sz w:val="12"/>
          <w:szCs w:val="12"/>
          <w:color w:val="auto"/>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2"/>
          <w:szCs w:val="12"/>
          <w:color w:val="auto"/>
        </w:rPr>
        <w:t>”); provided that such percentage shall be set at 9.99% for any holder of Company Capital Stock that does not make such designation to the Company at least ten</w:t>
      </w:r>
    </w:p>
    <w:p>
      <w:pPr>
        <w:ind w:left="640" w:right="699" w:hanging="3"/>
        <w:spacing w:after="0" w:line="244" w:lineRule="auto"/>
        <w:tabs>
          <w:tab w:leader="none" w:pos="882"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cs="Times New Roman" w:eastAsia="Times New Roman" w:hAnsi="Times New Roman"/>
          <w:sz w:val="13"/>
          <w:szCs w:val="13"/>
          <w:u w:val="single" w:color="auto"/>
          <w:color w:val="auto"/>
        </w:rPr>
        <w:t>Section 2.5(h)</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7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u w:val="single" w:color="auto"/>
          <w:color w:val="auto"/>
        </w:rPr>
        <w:t>Closing of the Company’s Transfer Books</w:t>
      </w:r>
      <w:r>
        <w:rPr>
          <w:rFonts w:ascii="Times New Roman" w:cs="Times New Roman" w:eastAsia="Times New Roman" w:hAnsi="Times New Roman"/>
          <w:sz w:val="13"/>
          <w:szCs w:val="13"/>
          <w:color w:val="auto"/>
        </w:rPr>
        <w:t xml:space="preserve">. At the First Effective Time: (a) all Company Capital Stock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Surrender of Company 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86" w:lineRule="auto"/>
        <w:tabs>
          <w:tab w:leader="none" w:pos="181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Parent and the Company shall jointly select a reputable bank, transfer agent or trust company to act as exchange agent in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xml:space="preserve">”). At the First Effective Time, Parent shall deposit with the Exchange Agent evidence of book-entry shares representing the shares of Parent Capital Stock issuable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in exchange for Company Capital Stock.</w:t>
      </w:r>
    </w:p>
    <w:p>
      <w:pPr>
        <w:spacing w:after="0" w:line="113" w:lineRule="exact"/>
        <w:rPr>
          <w:rFonts w:ascii="Times New Roman" w:cs="Times New Roman" w:eastAsia="Times New Roman" w:hAnsi="Times New Roman"/>
          <w:sz w:val="12"/>
          <w:szCs w:val="12"/>
          <w:color w:val="auto"/>
        </w:rPr>
      </w:pPr>
    </w:p>
    <w:p>
      <w:pPr>
        <w:ind w:left="640" w:right="759" w:firstLine="1003"/>
        <w:spacing w:after="0" w:line="266" w:lineRule="auto"/>
        <w:tabs>
          <w:tab w:leader="none" w:pos="1824"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cs="Times New Roman" w:eastAsia="Times New Roman" w:hAnsi="Times New Roman"/>
          <w:sz w:val="12"/>
          <w:szCs w:val="12"/>
          <w:b w:val="1"/>
          <w:bCs w:val="1"/>
          <w:color w:val="auto"/>
        </w:rPr>
        <w:t>Company Stock Certificates</w:t>
      </w:r>
      <w:r>
        <w:rPr>
          <w:rFonts w:ascii="Times New Roman" w:cs="Times New Roman" w:eastAsia="Times New Roman" w:hAnsi="Times New Roman"/>
          <w:sz w:val="12"/>
          <w:szCs w:val="12"/>
          <w:color w:val="auto"/>
        </w:rPr>
        <w:t>”)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w:t>
      </w:r>
    </w:p>
    <w:p>
      <w:pPr>
        <w:spacing w:after="0" w:line="3" w:lineRule="exact"/>
        <w:rPr>
          <w:rFonts w:ascii="Times New Roman" w:cs="Times New Roman" w:eastAsia="Times New Roman" w:hAnsi="Times New Roman"/>
          <w:sz w:val="12"/>
          <w:szCs w:val="12"/>
          <w:color w:val="auto"/>
        </w:rPr>
      </w:pPr>
    </w:p>
    <w:p>
      <w:pPr>
        <w:jc w:val="both"/>
        <w:ind w:left="640" w:right="819" w:hanging="3"/>
        <w:spacing w:after="0" w:line="244" w:lineRule="auto"/>
        <w:tabs>
          <w:tab w:leader="none" w:pos="826"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therefor book-entry shares representing the Merger Consideration (in a number of whole shares of Parent Capital Stock) that such holder has the right to receive pursuant to the provisions of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(B) the Company Stock Certificate or uncertificated shares of Company Capital Stock so surrendered shall be canceled. Until surrendered as contemplated by this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spacing w:after="0" w:line="137" w:lineRule="exact"/>
        <w:rPr>
          <w:sz w:val="20"/>
          <w:szCs w:val="20"/>
          <w:color w:val="auto"/>
        </w:rPr>
      </w:pPr>
    </w:p>
    <w:p>
      <w:pPr>
        <w:ind w:left="640" w:right="779" w:firstLine="1003"/>
        <w:spacing w:after="0" w:line="275" w:lineRule="auto"/>
        <w:tabs>
          <w:tab w:leader="none" w:pos="181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(at which time such holder shall be entitled, subject to the effect of applicable abandoned property, escheat or similar Laws, to receive all such dividends and distributions, without interest).</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49" w:lineRule="auto"/>
        <w:tabs>
          <w:tab w:leader="none" w:pos="182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shall thereafter look only to Parent for satisfaction of their claims for Parent Capital Stock and any dividends or distributions with respect to shares of Parent Capital Stock.</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1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Calculation of Parent Net Cash and Company Valuation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No later than five (5) Business Days before the date of the Parent Shareholder Meeting set forth in the Proxy Statement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Calculation Date</w:t>
      </w:r>
      <w:r>
        <w:rPr>
          <w:rFonts w:ascii="Times New Roman" w:cs="Times New Roman" w:eastAsia="Times New Roman" w:hAnsi="Times New Roman"/>
          <w:sz w:val="12"/>
          <w:szCs w:val="12"/>
          <w:color w:val="auto"/>
        </w:rPr>
        <w:t>”), Parent will deliver to the Company a schedule (the “</w:t>
      </w:r>
      <w:r>
        <w:rPr>
          <w:rFonts w:ascii="Times New Roman" w:cs="Times New Roman" w:eastAsia="Times New Roman" w:hAnsi="Times New Roman"/>
          <w:sz w:val="12"/>
          <w:szCs w:val="12"/>
          <w:b w:val="1"/>
          <w:bCs w:val="1"/>
          <w:color w:val="auto"/>
        </w:rPr>
        <w:t>Parent Net Cash Schedule</w:t>
      </w:r>
      <w:r>
        <w:rPr>
          <w:rFonts w:ascii="Times New Roman" w:cs="Times New Roman" w:eastAsia="Times New Roman" w:hAnsi="Times New Roman"/>
          <w:sz w:val="12"/>
          <w:szCs w:val="12"/>
          <w:color w:val="auto"/>
        </w:rPr>
        <w:t>”) setting forth, in reasonable detail, Parent’s good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faith, estimated calculation of the components of Parent Net Cash (the “</w:t>
      </w:r>
      <w:r>
        <w:rPr>
          <w:rFonts w:ascii="Times New Roman" w:cs="Times New Roman" w:eastAsia="Times New Roman" w:hAnsi="Times New Roman"/>
          <w:sz w:val="12"/>
          <w:szCs w:val="12"/>
          <w:b w:val="1"/>
          <w:bCs w:val="1"/>
          <w:color w:val="auto"/>
        </w:rPr>
        <w:t>Parent Net Cash Calculation</w:t>
      </w:r>
      <w:r>
        <w:rPr>
          <w:rFonts w:ascii="Times New Roman" w:cs="Times New Roman" w:eastAsia="Times New Roman" w:hAnsi="Times New Roman"/>
          <w:sz w:val="12"/>
          <w:szCs w:val="12"/>
          <w:color w:val="auto"/>
        </w:rPr>
        <w:t>,” and the date of delivery of such schedule being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Parent Net Cash Schedule Delivery Date</w:t>
      </w:r>
      <w:r>
        <w:rPr>
          <w:rFonts w:ascii="Times New Roman" w:cs="Times New Roman" w:eastAsia="Times New Roman" w:hAnsi="Times New Roman"/>
          <w:sz w:val="13"/>
          <w:szCs w:val="13"/>
          <w:color w:val="auto"/>
        </w:rPr>
        <w:t>”) as of 11:59 p.m. on the Business Day prior to the Anticipated Closing Date (the “</w:t>
      </w:r>
      <w:r>
        <w:rPr>
          <w:rFonts w:ascii="Times New Roman" w:cs="Times New Roman" w:eastAsia="Times New Roman" w:hAnsi="Times New Roman"/>
          <w:sz w:val="13"/>
          <w:szCs w:val="13"/>
          <w:b w:val="1"/>
          <w:bCs w:val="1"/>
          <w:color w:val="auto"/>
        </w:rPr>
        <w:t>Cash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Determination Time</w:t>
      </w:r>
      <w:r>
        <w:rPr>
          <w:rFonts w:ascii="Times New Roman" w:cs="Times New Roman" w:eastAsia="Times New Roman" w:hAnsi="Times New Roman"/>
          <w:sz w:val="12"/>
          <w:szCs w:val="12"/>
          <w:color w:val="auto"/>
        </w:rPr>
        <w:t>”) prepared and certified, via certificate in the form reasonably acceptable to the Company, by Parent’s chief financial officer (or if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there is no chief financial officer at such time, the principal financial and accounting officer for Parent). Parent shall make available to the Company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(electronically to the greatest extent possible) as reasonably requested by the Company, the work papers and back-up materials used or useful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preparing the Parent Net Cash Schedule and, if reasonably requested by the Company, Parent’s internal finance personnel and its accountants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counsel during Parent’s normal business hours and upon reasonably advanced written notice. The Parent Net Cash Calculation shall include Parent’s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determination, as of the Cash Determination Time, of the defined terms in </w:t>
      </w:r>
      <w:r>
        <w:rPr>
          <w:rFonts w:ascii="Times New Roman" w:cs="Times New Roman" w:eastAsia="Times New Roman" w:hAnsi="Times New Roman"/>
          <w:sz w:val="12"/>
          <w:szCs w:val="12"/>
          <w:u w:val="single" w:color="auto"/>
          <w:color w:val="auto"/>
        </w:rPr>
        <w:t>Section 1.1(b)</w:t>
      </w:r>
      <w:r>
        <w:rPr>
          <w:rFonts w:ascii="Times New Roman" w:cs="Times New Roman" w:eastAsia="Times New Roman" w:hAnsi="Times New Roman"/>
          <w:sz w:val="12"/>
          <w:szCs w:val="12"/>
          <w:color w:val="auto"/>
        </w:rPr>
        <w:t xml:space="preserve"> necessary to calculate the Exchange Ratio. During the period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beginning on the Parent Net Cash Schedule Delivery Date and ending on the Calculation Date, the Company shall have an opportunity to review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Net Cash Schedule and Parent shall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42" w:name="page43"/>
    <w:bookmarkEnd w:id="42"/>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w:t>
      </w:r>
    </w:p>
    <w:p>
      <w:pPr>
        <w:spacing w:after="0" w:line="132" w:lineRule="exact"/>
        <w:rPr>
          <w:sz w:val="20"/>
          <w:szCs w:val="20"/>
          <w:color w:val="auto"/>
        </w:rPr>
      </w:pPr>
    </w:p>
    <w:p>
      <w:pPr>
        <w:ind w:left="640" w:right="679" w:firstLine="1003"/>
        <w:spacing w:after="0" w:line="268" w:lineRule="auto"/>
        <w:tabs>
          <w:tab w:leader="none" w:pos="182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the Calculation Date, the Company will deliver to Parent a schedule (the “</w:t>
      </w:r>
      <w:r>
        <w:rPr>
          <w:rFonts w:ascii="Times New Roman" w:cs="Times New Roman" w:eastAsia="Times New Roman" w:hAnsi="Times New Roman"/>
          <w:sz w:val="12"/>
          <w:szCs w:val="12"/>
          <w:b w:val="1"/>
          <w:bCs w:val="1"/>
          <w:color w:val="auto"/>
        </w:rPr>
        <w:t>Company Valuation Schedule</w:t>
      </w:r>
      <w:r>
        <w:rPr>
          <w:rFonts w:ascii="Times New Roman" w:cs="Times New Roman" w:eastAsia="Times New Roman" w:hAnsi="Times New Roman"/>
          <w:sz w:val="12"/>
          <w:szCs w:val="12"/>
          <w:color w:val="auto"/>
        </w:rPr>
        <w:t>”) setting forth, in reasonable detail, the Company’s good faith, estimated calculations of the components of the Company Valuation (the “</w:t>
      </w:r>
      <w:r>
        <w:rPr>
          <w:rFonts w:ascii="Times New Roman" w:cs="Times New Roman" w:eastAsia="Times New Roman" w:hAnsi="Times New Roman"/>
          <w:sz w:val="12"/>
          <w:szCs w:val="12"/>
          <w:b w:val="1"/>
          <w:bCs w:val="1"/>
          <w:color w:val="auto"/>
        </w:rPr>
        <w:t>Company Valuation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Calculation</w:t>
      </w:r>
      <w:r>
        <w:rPr>
          <w:rFonts w:ascii="Times New Roman" w:cs="Times New Roman" w:eastAsia="Times New Roman" w:hAnsi="Times New Roman"/>
          <w:sz w:val="12"/>
          <w:szCs w:val="12"/>
          <w:color w:val="auto"/>
        </w:rPr>
        <w:t>,” and the date of delivery of such schedule being the “</w:t>
      </w:r>
      <w:r>
        <w:rPr>
          <w:rFonts w:ascii="Times New Roman" w:cs="Times New Roman" w:eastAsia="Times New Roman" w:hAnsi="Times New Roman"/>
          <w:sz w:val="12"/>
          <w:szCs w:val="12"/>
          <w:b w:val="1"/>
          <w:bCs w:val="1"/>
          <w:color w:val="auto"/>
        </w:rPr>
        <w:t>Company Valuation Delivery Date</w:t>
      </w:r>
      <w:r>
        <w:rPr>
          <w:rFonts w:ascii="Times New Roman" w:cs="Times New Roman" w:eastAsia="Times New Roman" w:hAnsi="Times New Roman"/>
          <w:sz w:val="12"/>
          <w:szCs w:val="12"/>
          <w:color w:val="auto"/>
        </w:rPr>
        <w:t>”) as of 11:59 p.m. on the last Business Day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prior to the Anticipated Closing Date (the “</w:t>
      </w:r>
      <w:r>
        <w:rPr>
          <w:rFonts w:ascii="Times New Roman" w:cs="Times New Roman" w:eastAsia="Times New Roman" w:hAnsi="Times New Roman"/>
          <w:sz w:val="12"/>
          <w:szCs w:val="12"/>
          <w:b w:val="1"/>
          <w:bCs w:val="1"/>
          <w:color w:val="auto"/>
        </w:rPr>
        <w:t>Company Valuation Determination Time</w:t>
      </w:r>
      <w:r>
        <w:rPr>
          <w:rFonts w:ascii="Times New Roman" w:cs="Times New Roman" w:eastAsia="Times New Roman" w:hAnsi="Times New Roman"/>
          <w:sz w:val="12"/>
          <w:szCs w:val="12"/>
          <w:color w:val="auto"/>
        </w:rPr>
        <w:t>”)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w:t>
      </w:r>
    </w:p>
    <w:p>
      <w:pPr>
        <w:spacing w:after="0" w:line="124"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three (3) Business Days after the Parent Net Cash Schedule Delivery Date (the last day of such period, the</w:t>
      </w:r>
    </w:p>
    <w:p>
      <w:pPr>
        <w:spacing w:after="0" w:line="15" w:lineRule="exact"/>
        <w:rPr>
          <w:sz w:val="20"/>
          <w:szCs w:val="20"/>
          <w:color w:val="auto"/>
        </w:rPr>
      </w:pPr>
    </w:p>
    <w:p>
      <w:pPr>
        <w:jc w:val="both"/>
        <w:ind w:left="6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shall have the right to dispute any part of the Parent Net Cash Calculation by delivering a written notice to that effect to Parent (a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Any Dispute Notice shall identify in reasonable detail and to the extent known the nature and amounts of any proposed revisions to the Parent Net Cash Calculation and will be accompanied by reasonably detailed materials supporting the basis for such revisions.</w:t>
      </w:r>
    </w:p>
    <w:p>
      <w:pPr>
        <w:spacing w:after="0" w:line="117" w:lineRule="exact"/>
        <w:rPr>
          <w:sz w:val="20"/>
          <w:szCs w:val="20"/>
          <w:color w:val="auto"/>
        </w:rPr>
      </w:pPr>
    </w:p>
    <w:p>
      <w:pPr>
        <w:ind w:left="640" w:right="739" w:firstLine="1003"/>
        <w:spacing w:after="0" w:line="250" w:lineRule="auto"/>
        <w:tabs>
          <w:tab w:leader="none" w:pos="182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three (3) Business Days after the Company Valuation Delivery Date (the last day of such period,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Valuation Response Date</w:t>
      </w:r>
      <w:r>
        <w:rPr>
          <w:rFonts w:ascii="Times New Roman" w:cs="Times New Roman" w:eastAsia="Times New Roman" w:hAnsi="Times New Roman"/>
          <w:sz w:val="13"/>
          <w:szCs w:val="13"/>
          <w:color w:val="auto"/>
        </w:rPr>
        <w:t>”), Parent shall have the right to dispute any part of the Company Valuation Calculation by delivering a written notice to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 to the Company (a “</w:t>
      </w:r>
      <w:r>
        <w:rPr>
          <w:rFonts w:ascii="Times New Roman" w:cs="Times New Roman" w:eastAsia="Times New Roman" w:hAnsi="Times New Roman"/>
          <w:sz w:val="13"/>
          <w:szCs w:val="13"/>
          <w:b w:val="1"/>
          <w:bCs w:val="1"/>
          <w:color w:val="auto"/>
        </w:rPr>
        <w:t>Company Valuation Dispute Notice</w:t>
      </w:r>
      <w:r>
        <w:rPr>
          <w:rFonts w:ascii="Times New Roman" w:cs="Times New Roman" w:eastAsia="Times New Roman" w:hAnsi="Times New Roman"/>
          <w:sz w:val="13"/>
          <w:szCs w:val="13"/>
          <w:color w:val="auto"/>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spacing w:after="0" w:line="133" w:lineRule="exact"/>
        <w:rPr>
          <w:rFonts w:ascii="Times New Roman" w:cs="Times New Roman" w:eastAsia="Times New Roman" w:hAnsi="Times New Roman"/>
          <w:sz w:val="13"/>
          <w:szCs w:val="13"/>
          <w:color w:val="auto"/>
        </w:rPr>
      </w:pPr>
    </w:p>
    <w:p>
      <w:pPr>
        <w:ind w:left="640" w:right="979" w:firstLine="1003"/>
        <w:spacing w:after="0" w:line="251"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on or prior to the Response Date, the Company notifies Parent in writing that it has no objections to the Parent Net Cash Calculation or, if on the Response Date, the Company fails to deliver a Dispute Notice as provided in </w:t>
      </w:r>
      <w:r>
        <w:rPr>
          <w:rFonts w:ascii="Times New Roman" w:cs="Times New Roman" w:eastAsia="Times New Roman" w:hAnsi="Times New Roman"/>
          <w:sz w:val="13"/>
          <w:szCs w:val="13"/>
          <w:u w:val="single" w:color="auto"/>
          <w:color w:val="auto"/>
        </w:rPr>
        <w:t>Section 2.8(c)</w:t>
      </w:r>
      <w:r>
        <w:rPr>
          <w:rFonts w:ascii="Times New Roman" w:cs="Times New Roman" w:eastAsia="Times New Roman" w:hAnsi="Times New Roman"/>
          <w:sz w:val="13"/>
          <w:szCs w:val="13"/>
          <w:color w:val="auto"/>
        </w:rPr>
        <w:t>, then the Parent Net Cash Calculation as set forth in the Parent Net Cash Schedule shall be deemed to have been finally determined for purposes of this Agreement and to represent the Parent Net Cash at the Cash Determination Time for purposes of this Agreement.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0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cs="Times New Roman" w:eastAsia="Times New Roman" w:hAnsi="Times New Roman"/>
          <w:sz w:val="13"/>
          <w:szCs w:val="13"/>
          <w:u w:val="single" w:color="auto"/>
          <w:color w:val="auto"/>
        </w:rPr>
        <w:t>Section 2.8(d)</w:t>
      </w:r>
      <w:r>
        <w:rPr>
          <w:rFonts w:ascii="Times New Roman" w:cs="Times New Roman" w:eastAsia="Times New Roman" w:hAnsi="Times New Roman"/>
          <w:sz w:val="13"/>
          <w:szCs w:val="13"/>
          <w:color w:val="auto"/>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3" w:name="page44"/>
    <w:bookmarkEnd w:id="43"/>
    <w:p>
      <w:pPr>
        <w:ind w:left="640" w:right="859" w:firstLine="1003"/>
        <w:spacing w:after="0" w:line="246" w:lineRule="auto"/>
        <w:tabs>
          <w:tab w:leader="none" w:pos="182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65" w:lineRule="auto"/>
        <w:tabs>
          <w:tab w:leader="none" w:pos="182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cs="Times New Roman" w:eastAsia="Times New Roman" w:hAnsi="Times New Roman"/>
          <w:sz w:val="12"/>
          <w:szCs w:val="12"/>
          <w:u w:val="single" w:color="auto"/>
          <w:color w:val="auto"/>
        </w:rPr>
        <w:t>Section 2.8(g)</w:t>
      </w:r>
      <w:r>
        <w:rPr>
          <w:rFonts w:ascii="Times New Roman" w:cs="Times New Roman" w:eastAsia="Times New Roman" w:hAnsi="Times New Roman"/>
          <w:sz w:val="12"/>
          <w:szCs w:val="12"/>
          <w:color w:val="auto"/>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cs="Times New Roman" w:eastAsia="Times New Roman" w:hAnsi="Times New Roman"/>
          <w:sz w:val="12"/>
          <w:szCs w:val="12"/>
          <w:b w:val="1"/>
          <w:bCs w:val="1"/>
          <w:color w:val="auto"/>
        </w:rPr>
        <w:t>AAA</w:t>
      </w:r>
      <w:r>
        <w:rPr>
          <w:rFonts w:ascii="Times New Roman" w:cs="Times New Roman" w:eastAsia="Times New Roman" w:hAnsi="Times New Roman"/>
          <w:sz w:val="12"/>
          <w:szCs w:val="12"/>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2"/>
          <w:szCs w:val="12"/>
          <w:b w:val="1"/>
          <w:bCs w:val="1"/>
          <w:color w:val="auto"/>
        </w:rPr>
        <w:t>Accounting Firm</w:t>
      </w:r>
      <w:r>
        <w:rPr>
          <w:rFonts w:ascii="Times New Roman" w:cs="Times New Roman" w:eastAsia="Times New Roman" w:hAnsi="Times New Roman"/>
          <w:sz w:val="12"/>
          <w:szCs w:val="12"/>
          <w:color w:val="auto"/>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4" w:name="page45"/>
    <w:bookmarkEnd w:id="4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2.9 </w:t>
      </w:r>
      <w:r>
        <w:rPr>
          <w:rFonts w:ascii="Times New Roman" w:cs="Times New Roman" w:eastAsia="Times New Roman" w:hAnsi="Times New Roman"/>
          <w:sz w:val="13"/>
          <w:szCs w:val="13"/>
          <w:u w:val="single" w:color="auto"/>
          <w:color w:val="auto"/>
        </w:rPr>
        <w:t>Contingent Value Right</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59" w:firstLine="1003"/>
        <w:spacing w:after="0" w:line="246" w:lineRule="auto"/>
        <w:tabs>
          <w:tab w:leader="none" w:pos="181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First Effective Time, Parent shall declare a distribution (the “</w:t>
      </w:r>
      <w:r>
        <w:rPr>
          <w:rFonts w:ascii="Times New Roman" w:cs="Times New Roman" w:eastAsia="Times New Roman" w:hAnsi="Times New Roman"/>
          <w:sz w:val="13"/>
          <w:szCs w:val="13"/>
          <w:b w:val="1"/>
          <w:bCs w:val="1"/>
          <w:color w:val="auto"/>
        </w:rPr>
        <w:t>Closing Distribution</w:t>
      </w:r>
      <w:r>
        <w:rPr>
          <w:rFonts w:ascii="Times New Roman" w:cs="Times New Roman" w:eastAsia="Times New Roman" w:hAnsi="Times New Roman"/>
          <w:sz w:val="13"/>
          <w:szCs w:val="13"/>
          <w:color w:val="auto"/>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xml:space="preserve"> of the right to receive one contingent value right (each,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The record date for the Closing Distribution shall be the close of business on the Business Day prior to the date on which the First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Time occurs and the payment date for which shall be three (3) Business Days after the First Effective Time; provided that the payment of such distribution may be conditioned upon the occurrence of the First Effective Time.</w:t>
      </w:r>
    </w:p>
    <w:p>
      <w:pPr>
        <w:spacing w:after="0" w:line="139"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spacing w:after="0" w:line="128"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pay all costs and fees associated with any action contemplated by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Fees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1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spacing w:after="0" w:line="134" w:lineRule="exact"/>
        <w:rPr>
          <w:sz w:val="20"/>
          <w:szCs w:val="20"/>
          <w:color w:val="auto"/>
        </w:rPr>
      </w:pPr>
    </w:p>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t xml:space="preserve">2.11 </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cs="Times New Roman" w:eastAsia="Times New Roman" w:hAnsi="Times New Roman"/>
          <w:sz w:val="12"/>
          <w:szCs w:val="12"/>
          <w:b w:val="1"/>
          <w:bCs w:val="1"/>
          <w:color w:val="auto"/>
        </w:rPr>
        <w:t>Intended Tax Treatment</w:t>
      </w:r>
      <w:r>
        <w:rPr>
          <w:rFonts w:ascii="Times New Roman" w:cs="Times New Roman" w:eastAsia="Times New Roman" w:hAnsi="Times New Roman"/>
          <w:sz w:val="12"/>
          <w:szCs w:val="12"/>
          <w:color w:val="auto"/>
        </w:rPr>
        <w:t>”). The Parties adopt this Agreement as a “plan of reorganization” within the meaning of Treasury Regulations Sections 1.368-2(g) and 1.368-3(a).</w:t>
      </w:r>
    </w:p>
    <w:p>
      <w:pPr>
        <w:spacing w:after="0" w:line="116"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2"/>
          <w:szCs w:val="12"/>
          <w:color w:val="auto"/>
        </w:rPr>
        <w:t xml:space="preserve">2.12 </w:t>
      </w: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5" w:name="page46"/>
    <w:bookmarkEnd w:id="45"/>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2.13 </w:t>
      </w:r>
      <w:r>
        <w:rPr>
          <w:rFonts w:ascii="Times New Roman" w:cs="Times New Roman" w:eastAsia="Times New Roman" w:hAnsi="Times New Roman"/>
          <w:sz w:val="13"/>
          <w:szCs w:val="13"/>
          <w:u w:val="single" w:color="auto"/>
          <w:color w:val="auto"/>
        </w:rPr>
        <w:t>Appraisal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68" w:lineRule="auto"/>
        <w:tabs>
          <w:tab w:leader="none" w:pos="18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xml:space="preserve">”) shall not be converted into or represent the right to receive the Merger Consideration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2"/>
          <w:szCs w:val="12"/>
          <w:u w:val="single" w:color="auto"/>
          <w:color w:val="auto"/>
        </w:rPr>
        <w:t>Sections 2.5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2.7</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color w:val="auto"/>
        </w:rPr>
      </w:pPr>
    </w:p>
    <w:p>
      <w:pPr>
        <w:ind w:left="640" w:right="759" w:firstLine="1003"/>
        <w:spacing w:after="0" w:line="248" w:lineRule="auto"/>
        <w:tabs>
          <w:tab w:leader="none" w:pos="18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Parent prompt written notice of any demands by dissenting stockholders or beneficial owners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Except as set forth in the written disclosure document delivered by the Company to Parent (the “</w:t>
      </w:r>
      <w:r>
        <w:rPr>
          <w:rFonts w:ascii="Times New Roman" w:cs="Times New Roman" w:eastAsia="Times New Roman" w:hAnsi="Times New Roman"/>
          <w:sz w:val="13"/>
          <w:szCs w:val="13"/>
          <w:b w:val="1"/>
          <w:bCs w:val="1"/>
          <w:color w:val="auto"/>
        </w:rPr>
        <w:t>Company Disclosure Letter</w:t>
      </w:r>
      <w:r>
        <w:rPr>
          <w:rFonts w:ascii="Times New Roman" w:cs="Times New Roman" w:eastAsia="Times New Roman" w:hAnsi="Times New Roman"/>
          <w:sz w:val="13"/>
          <w:szCs w:val="13"/>
          <w:color w:val="auto"/>
        </w:rPr>
        <w:t>”) concurrently with the execution of this Agreement, the Company represents and warrants to Parent and Merger Subs as follows:</w:t>
      </w:r>
    </w:p>
    <w:p>
      <w:pPr>
        <w:spacing w:after="0" w:line="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1" w:lineRule="auto"/>
        <w:tabs>
          <w:tab w:leader="none" w:pos="1817"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6" w:name="page47"/>
    <w:bookmarkEnd w:id="46"/>
    <w:p>
      <w:pPr>
        <w:ind w:left="640" w:right="699" w:firstLine="1003"/>
        <w:spacing w:after="0" w:line="248" w:lineRule="auto"/>
        <w:tabs>
          <w:tab w:leader="none" w:pos="181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135"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The Company has delivered to Parent accurate and complete copies of the Organizational Documents of the Company. The Company is not in breach or violation of its Organizational Documents in any material respect.</w:t>
      </w:r>
    </w:p>
    <w:p>
      <w:pPr>
        <w:spacing w:after="0" w:line="122"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spacing w:after="0" w:line="139" w:lineRule="exact"/>
        <w:rPr>
          <w:sz w:val="20"/>
          <w:szCs w:val="20"/>
          <w:color w:val="auto"/>
        </w:rPr>
      </w:pPr>
    </w:p>
    <w:p>
      <w:pPr>
        <w:ind w:left="640" w:right="83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(or written consent) of the holders of (a) a majority of the shares of Company Capital Stock outstanding on the record date, voting as a single class on 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3"/>
          <w:szCs w:val="13"/>
          <w:b w:val="1"/>
          <w:bCs w:val="1"/>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Stockholder Vote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4" w:lineRule="auto"/>
        <w:tabs>
          <w:tab w:leader="none" w:pos="1817"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representations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hereof, except (i) as set forth in </w:t>
      </w:r>
      <w:r>
        <w:rPr>
          <w:rFonts w:ascii="Times New Roman" w:cs="Times New Roman" w:eastAsia="Times New Roman" w:hAnsi="Times New Roman"/>
          <w:sz w:val="12"/>
          <w:szCs w:val="12"/>
          <w:u w:val="single" w:color="auto"/>
          <w:color w:val="auto"/>
        </w:rPr>
        <w:t>Section 3.5(a)</w:t>
      </w:r>
      <w:r>
        <w:rPr>
          <w:rFonts w:ascii="Times New Roman" w:cs="Times New Roman" w:eastAsia="Times New Roman" w:hAnsi="Times New Roman"/>
          <w:sz w:val="12"/>
          <w:szCs w:val="12"/>
          <w:color w:val="auto"/>
        </w:rPr>
        <w:t xml:space="preserve"> of the Company Disclosure Letter, (ii) the Required Company Stockholder Vote, (iii) compliance with any applicable requirements of the HSR Act (if applicable) and</w:t>
      </w:r>
    </w:p>
    <w:p>
      <w:pPr>
        <w:spacing w:after="0" w:line="1" w:lineRule="exact"/>
        <w:rPr>
          <w:rFonts w:ascii="Times New Roman" w:cs="Times New Roman" w:eastAsia="Times New Roman" w:hAnsi="Times New Roman"/>
          <w:sz w:val="12"/>
          <w:szCs w:val="12"/>
          <w:color w:val="auto"/>
        </w:rPr>
      </w:pPr>
    </w:p>
    <w:p>
      <w:pPr>
        <w:jc w:val="both"/>
        <w:ind w:left="640" w:right="679" w:hanging="3"/>
        <w:spacing w:after="0" w:line="245" w:lineRule="auto"/>
        <w:tabs>
          <w:tab w:leader="none" w:pos="85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w:t>
      </w:r>
    </w:p>
    <w:p>
      <w:pPr>
        <w:spacing w:after="0" w:line="59"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of any of the provisions of the Company’s Organizational Documents;</w:t>
      </w:r>
    </w:p>
    <w:p>
      <w:pPr>
        <w:spacing w:after="0" w:line="77"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091"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7" w:name="page48"/>
    <w:bookmarkEnd w:id="47"/>
    <w:p>
      <w:pPr>
        <w:ind w:left="940" w:right="699" w:firstLine="972"/>
        <w:spacing w:after="0" w:line="255" w:lineRule="auto"/>
        <w:tabs>
          <w:tab w:leader="none" w:pos="2126"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54" w:lineRule="exact"/>
        <w:rPr>
          <w:rFonts w:ascii="Times New Roman" w:cs="Times New Roman" w:eastAsia="Times New Roman" w:hAnsi="Times New Roman"/>
          <w:sz w:val="13"/>
          <w:szCs w:val="13"/>
          <w:color w:val="auto"/>
        </w:rPr>
      </w:pPr>
    </w:p>
    <w:p>
      <w:pPr>
        <w:jc w:val="both"/>
        <w:ind w:left="940" w:right="739" w:firstLine="972"/>
        <w:spacing w:after="0" w:line="249" w:lineRule="auto"/>
        <w:tabs>
          <w:tab w:leader="none" w:pos="2119"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779" w:firstLine="972"/>
        <w:spacing w:after="0" w:line="267" w:lineRule="auto"/>
        <w:tabs>
          <w:tab w:leader="none" w:pos="208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the Company (except for Permitted Encumbrances).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2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cs="Times New Roman" w:eastAsia="Times New Roman" w:hAnsi="Times New Roman"/>
          <w:sz w:val="13"/>
          <w:szCs w:val="13"/>
          <w:u w:val="single" w:color="auto"/>
          <w:color w:val="auto"/>
        </w:rPr>
        <w:t>Section 3.5(b)</w:t>
      </w:r>
      <w:r>
        <w:rPr>
          <w:rFonts w:ascii="Times New Roman" w:cs="Times New Roman" w:eastAsia="Times New Roman" w:hAnsi="Times New Roman"/>
          <w:sz w:val="13"/>
          <w:szCs w:val="13"/>
          <w:color w:val="auto"/>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spacing w:after="0" w:line="136" w:lineRule="exact"/>
        <w:rPr>
          <w:rFonts w:ascii="Times New Roman" w:cs="Times New Roman" w:eastAsia="Times New Roman" w:hAnsi="Times New Roman"/>
          <w:sz w:val="13"/>
          <w:szCs w:val="13"/>
          <w:color w:val="auto"/>
        </w:rPr>
      </w:pPr>
    </w:p>
    <w:p>
      <w:pPr>
        <w:ind w:left="640" w:right="839" w:firstLine="1003"/>
        <w:spacing w:after="0" w:line="267" w:lineRule="auto"/>
        <w:tabs>
          <w:tab w:leader="none" w:pos="181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state takeover statute or similar Law applies or purports to apply to the Merger, this Agreement, the Company Stockholder Support Agreements or any of the Contemplated Transactions.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capital stock of the Company consists of (i) 122,363,552 shares of Company Common Stock of which 6,000,000 shares have been issued and are outstanding as of the date hereof, and (ii) 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spacing w:after="0" w:line="137"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82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outstanding Company Capital Stock as set out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8" w:name="page49"/>
    <w:bookmarkEnd w:id="4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3"/>
          <w:szCs w:val="13"/>
          <w:u w:val="single" w:color="auto"/>
          <w:color w:val="auto"/>
        </w:rPr>
        <w:t>Section 3.6(b)</w:t>
      </w:r>
      <w:r>
        <w:rPr>
          <w:rFonts w:ascii="Times New Roman" w:cs="Times New Roman" w:eastAsia="Times New Roman" w:hAnsi="Times New Roman"/>
          <w:sz w:val="13"/>
          <w:szCs w:val="13"/>
          <w:color w:val="auto"/>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spacing w:after="0" w:line="139" w:lineRule="exact"/>
        <w:rPr>
          <w:sz w:val="20"/>
          <w:szCs w:val="20"/>
          <w:color w:val="auto"/>
        </w:rPr>
      </w:pPr>
    </w:p>
    <w:p>
      <w:pPr>
        <w:ind w:left="640" w:right="679" w:firstLine="1003"/>
        <w:spacing w:after="0" w:line="246"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xml:space="preserve"> of the Company Disclosure Letter, the Company does not have any stock option plan or any other plan, program, agreement or arrangement providing for any equity-based compensation for any Person.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3.6(d)</w:t>
      </w:r>
      <w:r>
        <w:rPr>
          <w:rFonts w:ascii="Times New Roman" w:cs="Times New Roman" w:eastAsia="Times New Roman" w:hAnsi="Times New Roman"/>
          <w:sz w:val="13"/>
          <w:szCs w:val="13"/>
          <w:color w:val="auto"/>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38" w:lineRule="exact"/>
        <w:rPr>
          <w:rFonts w:ascii="Times New Roman" w:cs="Times New Roman" w:eastAsia="Times New Roman" w:hAnsi="Times New Roman"/>
          <w:sz w:val="13"/>
          <w:szCs w:val="13"/>
          <w:color w:val="auto"/>
        </w:rPr>
      </w:pPr>
    </w:p>
    <w:p>
      <w:pPr>
        <w:jc w:val="both"/>
        <w:ind w:left="640" w:right="899" w:firstLine="1003"/>
        <w:spacing w:after="0" w:line="255"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Capital Stock are uncertificated.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1003"/>
        <w:spacing w:after="0" w:line="267" w:lineRule="auto"/>
        <w:tabs>
          <w:tab w:leader="none" w:pos="181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Parent accurate and complete copies of its unaudited financial statements for the period ended December 31, 2025 (the “</w:t>
      </w:r>
      <w:r>
        <w:rPr>
          <w:rFonts w:ascii="Times New Roman" w:cs="Times New Roman" w:eastAsia="Times New Roman" w:hAnsi="Times New Roman"/>
          <w:sz w:val="13"/>
          <w:szCs w:val="13"/>
          <w:b w:val="1"/>
          <w:bCs w:val="1"/>
          <w:color w:val="auto"/>
        </w:rPr>
        <w:t>Balance Sheet Date</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b w:val="1"/>
          <w:bCs w:val="1"/>
          <w:color w:val="auto"/>
        </w:rPr>
        <w:t>Company Financial Statements</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firstLine="1003"/>
        <w:spacing w:after="0" w:line="247" w:lineRule="auto"/>
        <w:tabs>
          <w:tab w:leader="none" w:pos="182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spacing w:after="0" w:line="136"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3.7(c)</w:t>
      </w:r>
      <w:r>
        <w:rPr>
          <w:rFonts w:ascii="Times New Roman" w:cs="Times New Roman" w:eastAsia="Times New Roman" w:hAnsi="Times New Roman"/>
          <w:sz w:val="13"/>
          <w:szCs w:val="13"/>
          <w:color w:val="auto"/>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35"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the Balance Sheet Date, the Company does not have any liability, indebtedness, obligation,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expense, claim, deficiency, guaranty or endorsement of any kind, whether accrued, absolute, contingent, matured, unmatured or otherwise (each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Liability</w:t>
      </w:r>
      <w:r>
        <w:rPr>
          <w:rFonts w:ascii="Times New Roman" w:cs="Times New Roman" w:eastAsia="Times New Roman" w:hAnsi="Times New Roman"/>
          <w:sz w:val="12"/>
          <w:szCs w:val="12"/>
          <w:color w:val="auto"/>
        </w:rPr>
        <w:t>”), except for: (a) Liabilities disclosed, reflected or reserved against (or to be disclosed, reflected or reserved against) in Company Financial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Statements, (b) normal and recurring current Liabilities that have been incurred by the Company since the date hereof in the Ordinary Course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 (none of which relates to any breach of contract, breach of warranty, tort, infringement or violation of Law), (c) Liabilities for performance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obligations of the Company under Company Contracts, (d) Liabilities incurred in connection with the Contemplated Transactions, and (e) Liabilities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described in </w:t>
      </w: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of the Company Disclosure Letter.</w:t>
      </w:r>
    </w:p>
    <w:p>
      <w:pPr>
        <w:spacing w:after="0" w:line="141"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50" w:name="page51"/>
    <w:bookmarkEnd w:id="50"/>
    <w:p>
      <w:pPr>
        <w:ind w:left="640" w:right="719" w:firstLine="696"/>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thereunder by the Company or to the Company’s Knowledge, the other party thereto.</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Company Disclosure Letter is an accurate, true and complete listing of all Company Registered IP.</w:t>
      </w:r>
    </w:p>
    <w:p>
      <w:pPr>
        <w:spacing w:after="0" w:line="153" w:lineRule="exact"/>
        <w:rPr>
          <w:rFonts w:ascii="Times New Roman" w:cs="Times New Roman" w:eastAsia="Times New Roman" w:hAnsi="Times New Roman"/>
          <w:sz w:val="13"/>
          <w:szCs w:val="13"/>
          <w:color w:val="auto"/>
        </w:rPr>
      </w:pPr>
    </w:p>
    <w:p>
      <w:pPr>
        <w:ind w:left="640" w:right="719" w:firstLine="1003"/>
        <w:spacing w:after="0" w:line="247"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309" w:lineRule="auto"/>
        <w:tabs>
          <w:tab w:leader="none" w:pos="182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spacing w:after="0" w:line="99" w:lineRule="exact"/>
        <w:rPr>
          <w:rFonts w:ascii="Times New Roman" w:cs="Times New Roman" w:eastAsia="Times New Roman" w:hAnsi="Times New Roman"/>
          <w:sz w:val="12"/>
          <w:szCs w:val="12"/>
          <w:color w:val="auto"/>
        </w:rPr>
      </w:pPr>
    </w:p>
    <w:p>
      <w:pPr>
        <w:ind w:left="640" w:right="799" w:firstLine="1003"/>
        <w:spacing w:after="0" w:line="247" w:lineRule="auto"/>
        <w:tabs>
          <w:tab w:leader="none" w:pos="1817"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exclusively owns all right, title and interest to and in Company IP Rights (other than (i) Company IP Rights licensed to the Company, or co-owned rights each as identified in </w:t>
      </w:r>
      <w:r>
        <w:rPr>
          <w:rFonts w:ascii="Times New Roman" w:cs="Times New Roman" w:eastAsia="Times New Roman" w:hAnsi="Times New Roman"/>
          <w:sz w:val="13"/>
          <w:szCs w:val="13"/>
          <w:u w:val="single" w:color="auto"/>
          <w:color w:val="auto"/>
        </w:rPr>
        <w:t>Section 3.12(e)</w:t>
      </w:r>
      <w:r>
        <w:rPr>
          <w:rFonts w:ascii="Times New Roman" w:cs="Times New Roman" w:eastAsia="Times New Roman" w:hAnsi="Times New Roman"/>
          <w:sz w:val="13"/>
          <w:szCs w:val="13"/>
          <w:color w:val="auto"/>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60"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05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51" w:name="page52"/>
    <w:bookmarkEnd w:id="51"/>
    <w:p>
      <w:pPr>
        <w:ind w:left="940" w:right="919" w:firstLine="972"/>
        <w:spacing w:after="0" w:line="286" w:lineRule="auto"/>
        <w:tabs>
          <w:tab w:leader="none" w:pos="2091"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spacing w:after="0" w:line="37" w:lineRule="exact"/>
        <w:rPr>
          <w:rFonts w:ascii="Times New Roman" w:cs="Times New Roman" w:eastAsia="Times New Roman" w:hAnsi="Times New Roman"/>
          <w:sz w:val="12"/>
          <w:szCs w:val="12"/>
          <w:color w:val="auto"/>
        </w:rPr>
      </w:pPr>
    </w:p>
    <w:p>
      <w:pPr>
        <w:ind w:left="940" w:right="739" w:firstLine="972"/>
        <w:spacing w:after="0" w:line="248" w:lineRule="auto"/>
        <w:tabs>
          <w:tab w:leader="none" w:pos="2126"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58" w:lineRule="exact"/>
        <w:rPr>
          <w:rFonts w:ascii="Times New Roman" w:cs="Times New Roman" w:eastAsia="Times New Roman" w:hAnsi="Times New Roman"/>
          <w:sz w:val="13"/>
          <w:szCs w:val="13"/>
          <w:color w:val="auto"/>
        </w:rPr>
      </w:pPr>
    </w:p>
    <w:p>
      <w:pPr>
        <w:ind w:left="940" w:right="779" w:firstLine="972"/>
        <w:spacing w:after="0" w:line="249" w:lineRule="auto"/>
        <w:tabs>
          <w:tab w:leader="none" w:pos="2119"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taken reasonable steps to maintain the confidentiality of and otherwise protect and enforce its rights in all proprietary information that the Company holds, or purports to hold, as confidential or a trade secret.</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67" w:lineRule="auto"/>
        <w:tabs>
          <w:tab w:leader="none" w:pos="2119"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assigned or otherwise transferred ownership of, or agreed to assign or otherwise transfer ownership of, any Company IP Rights to any other Person.</w:t>
      </w:r>
    </w:p>
    <w:p>
      <w:pPr>
        <w:spacing w:after="0" w:line="122" w:lineRule="exact"/>
        <w:rPr>
          <w:rFonts w:ascii="Times New Roman" w:cs="Times New Roman" w:eastAsia="Times New Roman" w:hAnsi="Times New Roman"/>
          <w:sz w:val="13"/>
          <w:szCs w:val="13"/>
          <w:color w:val="auto"/>
        </w:rPr>
      </w:pPr>
    </w:p>
    <w:p>
      <w:pPr>
        <w:jc w:val="both"/>
        <w:ind w:left="640" w:right="779" w:firstLine="1003"/>
        <w:spacing w:after="0" w:line="274" w:lineRule="auto"/>
        <w:tabs>
          <w:tab w:leader="none" w:pos="1803"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Parent, a complete and accurate copy of all Company IP Rights Agreements. With respect to each of the Company IP Rights Agreements: (i) each such agreement is valid and binding on the Company and in full force and effect,</w:t>
      </w:r>
    </w:p>
    <w:p>
      <w:pPr>
        <w:spacing w:after="0" w:line="1" w:lineRule="exact"/>
        <w:rPr>
          <w:rFonts w:ascii="Times New Roman" w:cs="Times New Roman" w:eastAsia="Times New Roman" w:hAnsi="Times New Roman"/>
          <w:sz w:val="12"/>
          <w:szCs w:val="12"/>
          <w:color w:val="auto"/>
        </w:rPr>
      </w:pPr>
    </w:p>
    <w:p>
      <w:pPr>
        <w:ind w:left="640" w:right="719" w:hanging="3"/>
        <w:spacing w:after="0" w:line="245" w:lineRule="auto"/>
        <w:tabs>
          <w:tab w:leader="none" w:pos="82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1003"/>
        <w:spacing w:after="0" w:line="247" w:lineRule="auto"/>
        <w:tabs>
          <w:tab w:leader="none" w:pos="18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36"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32"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48" w:lineRule="auto"/>
        <w:tabs>
          <w:tab w:leader="none" w:pos="18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Sections 3.12(b)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3.12(c)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3.12(k)</w:t>
      </w:r>
      <w:r>
        <w:rPr>
          <w:rFonts w:ascii="Times New Roman" w:cs="Times New Roman" w:eastAsia="Times New Roman" w:hAnsi="Times New Roman"/>
          <w:sz w:val="13"/>
          <w:szCs w:val="13"/>
          <w:color w:val="auto"/>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1003"/>
        <w:spacing w:after="0" w:line="309" w:lineRule="auto"/>
        <w:tabs>
          <w:tab w:leader="none" w:pos="181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3.13(a)</w:t>
      </w:r>
      <w:r>
        <w:rPr>
          <w:rFonts w:ascii="Times New Roman" w:cs="Times New Roman" w:eastAsia="Times New Roman" w:hAnsi="Times New Roman"/>
          <w:sz w:val="12"/>
          <w:szCs w:val="12"/>
          <w:color w:val="auto"/>
        </w:rPr>
        <w:t xml:space="preserve"> of the Company Disclosure Letter lists the following Company Contracts in effect as of the date of this Agreement other than the Subscription Agreement (each, a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Company Material Contracts</w:t>
      </w:r>
      <w:r>
        <w:rPr>
          <w:rFonts w:ascii="Times New Roman" w:cs="Times New Roman" w:eastAsia="Times New Roman" w:hAnsi="Times New Roman"/>
          <w:sz w:val="12"/>
          <w:szCs w:val="12"/>
          <w:color w:val="auto"/>
        </w:rPr>
        <w:t>”):</w:t>
      </w:r>
    </w:p>
    <w:p>
      <w:pPr>
        <w:spacing w:after="0" w:line="23" w:lineRule="exact"/>
        <w:rPr>
          <w:rFonts w:ascii="Times New Roman" w:cs="Times New Roman" w:eastAsia="Times New Roman" w:hAnsi="Times New Roman"/>
          <w:sz w:val="12"/>
          <w:szCs w:val="12"/>
          <w:color w:val="auto"/>
        </w:rPr>
      </w:pPr>
    </w:p>
    <w:p>
      <w:pPr>
        <w:ind w:left="2060" w:hanging="148"/>
        <w:spacing w:after="0"/>
        <w:tabs>
          <w:tab w:leader="none" w:pos="20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agreement of indemnification or guaranty not entered into in the Ordinary Course of</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Business;</w:t>
      </w:r>
    </w:p>
    <w:p>
      <w:pPr>
        <w:spacing w:after="0" w:line="65" w:lineRule="exact"/>
        <w:rPr>
          <w:rFonts w:ascii="Times New Roman" w:cs="Times New Roman" w:eastAsia="Times New Roman" w:hAnsi="Times New Roman"/>
          <w:sz w:val="12"/>
          <w:szCs w:val="12"/>
          <w:color w:val="auto"/>
        </w:rPr>
      </w:pPr>
    </w:p>
    <w:p>
      <w:pPr>
        <w:ind w:left="940" w:right="659" w:firstLine="972"/>
        <w:spacing w:after="0" w:line="255" w:lineRule="auto"/>
        <w:tabs>
          <w:tab w:leader="none" w:pos="2091"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3" w:name="page54"/>
    <w:bookmarkEnd w:id="53"/>
    <w:p>
      <w:pPr>
        <w:ind w:left="940" w:right="1239" w:firstLine="972"/>
        <w:spacing w:after="0" w:line="309" w:lineRule="auto"/>
        <w:tabs>
          <w:tab w:leader="none" w:pos="2126"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Company Contract (A) pursuant to which any Person granted the Company an exclusive license under any Intellectual Property, or (B) pursuant to which the Company granted any Person an exclusive license under any Company IP Rights;</w:t>
      </w:r>
    </w:p>
    <w:p>
      <w:pPr>
        <w:spacing w:after="0" w:line="23" w:lineRule="exact"/>
        <w:rPr>
          <w:rFonts w:ascii="Times New Roman" w:cs="Times New Roman" w:eastAsia="Times New Roman" w:hAnsi="Times New Roman"/>
          <w:sz w:val="12"/>
          <w:szCs w:val="12"/>
          <w:color w:val="auto"/>
        </w:rPr>
      </w:pPr>
    </w:p>
    <w:p>
      <w:pPr>
        <w:ind w:left="940" w:right="73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relating to capital expenditures and requiring payments after the date of this Agreement in excess of $250,000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899" w:firstLine="972"/>
        <w:spacing w:after="0" w:line="267" w:lineRule="auto"/>
        <w:tabs>
          <w:tab w:leader="none" w:pos="208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containing any royalty, dividend or similar arrangement based on the revenues or profits of the Company or of a product;</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relating to the disposition or acquisition of material assets or any ownership interest in any Entity, in each case, involving payments in excess of $250,000 after the date of this Agreement;</w:t>
      </w:r>
    </w:p>
    <w:p>
      <w:pPr>
        <w:spacing w:after="0" w:line="46" w:lineRule="exact"/>
        <w:rPr>
          <w:rFonts w:ascii="Times New Roman" w:cs="Times New Roman" w:eastAsia="Times New Roman" w:hAnsi="Times New Roman"/>
          <w:sz w:val="13"/>
          <w:szCs w:val="13"/>
          <w:color w:val="auto"/>
        </w:rPr>
      </w:pPr>
    </w:p>
    <w:p>
      <w:pPr>
        <w:ind w:left="940" w:right="799" w:firstLine="972"/>
        <w:spacing w:after="0" w:line="286" w:lineRule="auto"/>
        <w:tabs>
          <w:tab w:leader="none" w:pos="215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spacing w:after="0" w:line="37" w:lineRule="exact"/>
        <w:rPr>
          <w:rFonts w:ascii="Times New Roman" w:cs="Times New Roman" w:eastAsia="Times New Roman" w:hAnsi="Times New Roman"/>
          <w:sz w:val="12"/>
          <w:szCs w:val="12"/>
          <w:color w:val="auto"/>
        </w:rPr>
      </w:pPr>
    </w:p>
    <w:p>
      <w:pPr>
        <w:ind w:left="940" w:right="659" w:firstLine="972"/>
        <w:spacing w:after="0" w:line="246" w:lineRule="auto"/>
        <w:tabs>
          <w:tab w:leader="none" w:pos="218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61"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w:t>
      </w:r>
    </w:p>
    <w:p>
      <w:pPr>
        <w:spacing w:after="0" w:line="54" w:lineRule="exact"/>
        <w:rPr>
          <w:rFonts w:ascii="Times New Roman" w:cs="Times New Roman" w:eastAsia="Times New Roman" w:hAnsi="Times New Roman"/>
          <w:sz w:val="13"/>
          <w:szCs w:val="13"/>
          <w:color w:val="auto"/>
        </w:rPr>
      </w:pPr>
    </w:p>
    <w:p>
      <w:pPr>
        <w:ind w:left="940" w:right="839" w:firstLine="972"/>
        <w:spacing w:after="0" w:line="267" w:lineRule="auto"/>
        <w:tabs>
          <w:tab w:leader="none" w:pos="208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to which the Company is a party or by which any of its assets and properties is currently bound, which involves annual obligations of payment by, or annual payments to, the Company in excess of $1,000,000;</w:t>
      </w:r>
    </w:p>
    <w:p>
      <w:pPr>
        <w:spacing w:after="0" w:line="46" w:lineRule="exact"/>
        <w:rPr>
          <w:rFonts w:ascii="Times New Roman" w:cs="Times New Roman" w:eastAsia="Times New Roman" w:hAnsi="Times New Roman"/>
          <w:sz w:val="13"/>
          <w:szCs w:val="13"/>
          <w:color w:val="auto"/>
        </w:rPr>
      </w:pPr>
    </w:p>
    <w:p>
      <w:pPr>
        <w:ind w:left="940" w:right="113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entered into in settlement of any Legal Proceeding or other dispute pursuant to which the Company has outstanding obligations to pay consideration in excess of $250,000;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4" w:name="page55"/>
    <w:bookmarkEnd w:id="54"/>
    <w:p>
      <w:pPr>
        <w:ind w:left="940" w:right="779" w:firstLine="972"/>
        <w:spacing w:after="0" w:line="251" w:lineRule="auto"/>
        <w:tabs>
          <w:tab w:leader="none" w:pos="2154"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spacing w:after="0" w:line="56" w:lineRule="exact"/>
        <w:rPr>
          <w:rFonts w:ascii="Times New Roman" w:cs="Times New Roman" w:eastAsia="Times New Roman" w:hAnsi="Times New Roman"/>
          <w:sz w:val="13"/>
          <w:szCs w:val="13"/>
          <w:color w:val="auto"/>
        </w:rPr>
      </w:pPr>
    </w:p>
    <w:p>
      <w:pPr>
        <w:ind w:left="2200" w:hanging="288"/>
        <w:spacing w:after="0"/>
        <w:tabs>
          <w:tab w:leader="none" w:pos="2200"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Real Estate Leases.</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68" w:lineRule="auto"/>
        <w:tabs>
          <w:tab w:leader="none" w:pos="182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7"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matters regarding the U.S. Food and Drug Administration (or any successor agency thereto)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cs="Times New Roman" w:eastAsia="Times New Roman" w:hAnsi="Times New Roman"/>
          <w:sz w:val="13"/>
          <w:szCs w:val="13"/>
          <w:b w:val="1"/>
          <w:bCs w:val="1"/>
          <w:color w:val="auto"/>
        </w:rPr>
        <w:t>Drug/Device Regulatory Agency</w:t>
      </w:r>
      <w:r>
        <w:rPr>
          <w:rFonts w:ascii="Times New Roman" w:cs="Times New Roman" w:eastAsia="Times New Roman" w:hAnsi="Times New Roman"/>
          <w:sz w:val="13"/>
          <w:szCs w:val="13"/>
          <w:color w:val="auto"/>
        </w:rPr>
        <w:t>”), the Company holds all required Governmental Authorizations for the operation of the business of the Company as currently conducted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3.14(b)</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Company Disclosure Letter identifies each Company Permit. The Company is in material compliance with the terms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5" w:name="page56"/>
    <w:bookmarkEnd w:id="55"/>
    <w:p>
      <w:pPr>
        <w:ind w:left="640" w:right="679" w:firstLine="1003"/>
        <w:spacing w:after="0" w:line="255" w:lineRule="auto"/>
        <w:tabs>
          <w:tab w:leader="none" w:pos="181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Legal Proceedings pending or, to the Knowledge of the Company, threatened with respect to an alleged violation by the Company of the Federal Food, Drug, and Cosmetic Act (“</w:t>
      </w:r>
      <w:r>
        <w:rPr>
          <w:rFonts w:ascii="Times New Roman" w:cs="Times New Roman" w:eastAsia="Times New Roman" w:hAnsi="Times New Roman"/>
          <w:sz w:val="13"/>
          <w:szCs w:val="13"/>
          <w:b w:val="1"/>
          <w:bCs w:val="1"/>
          <w:color w:val="auto"/>
        </w:rPr>
        <w:t>FDCA</w:t>
      </w:r>
      <w:r>
        <w:rPr>
          <w:rFonts w:ascii="Times New Roman" w:cs="Times New Roman" w:eastAsia="Times New Roman" w:hAnsi="Times New Roman"/>
          <w:sz w:val="13"/>
          <w:szCs w:val="13"/>
          <w:color w:val="auto"/>
        </w:rPr>
        <w:t>”), the Public Health Service Act (“</w:t>
      </w:r>
      <w:r>
        <w:rPr>
          <w:rFonts w:ascii="Times New Roman" w:cs="Times New Roman" w:eastAsia="Times New Roman" w:hAnsi="Times New Roman"/>
          <w:sz w:val="13"/>
          <w:szCs w:val="13"/>
          <w:b w:val="1"/>
          <w:bCs w:val="1"/>
          <w:color w:val="auto"/>
        </w:rPr>
        <w:t>PHSA</w:t>
      </w:r>
      <w:r>
        <w:rPr>
          <w:rFonts w:ascii="Times New Roman" w:cs="Times New Roman" w:eastAsia="Times New Roman" w:hAnsi="Times New Roman"/>
          <w:sz w:val="13"/>
          <w:szCs w:val="13"/>
          <w:color w:val="auto"/>
        </w:rPr>
        <w:t>”), FDA regulations adopted thereunder, the Controlled Substances Act or any other similar Law promulgated by a Drug/Device Regulatory Agency.</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2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Product Candidates</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b w:val="1"/>
          <w:bCs w:val="1"/>
          <w:color w:val="auto"/>
        </w:rPr>
        <w:t>Company Regulatory Permits</w:t>
      </w:r>
      <w:r>
        <w:rPr>
          <w:rFonts w:ascii="Times New Roman" w:cs="Times New Roman" w:eastAsia="Times New Roman" w:hAnsi="Times New Roman"/>
          <w:sz w:val="12"/>
          <w:szCs w:val="12"/>
          <w:color w:val="auto"/>
        </w:rPr>
        <w:t>”), and no such Company Regulatory Permit has been (i) revoked, withdrawn,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suspended, cancelled or terminated or (ii) modified in any adverse manner, other than immaterial adverse modifications. </w:t>
      </w:r>
      <w:r>
        <w:rPr>
          <w:rFonts w:ascii="Times New Roman" w:cs="Times New Roman" w:eastAsia="Times New Roman" w:hAnsi="Times New Roman"/>
          <w:sz w:val="12"/>
          <w:szCs w:val="12"/>
          <w:u w:val="single" w:color="auto"/>
          <w:color w:val="auto"/>
        </w:rPr>
        <w:t>Section 3.14(d)</w:t>
      </w:r>
      <w:r>
        <w:rPr>
          <w:rFonts w:ascii="Times New Roman" w:cs="Times New Roman" w:eastAsia="Times New Roman" w:hAnsi="Times New Roman"/>
          <w:sz w:val="12"/>
          <w:szCs w:val="12"/>
          <w:color w:val="auto"/>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spacing w:after="0" w:line="130" w:lineRule="exact"/>
        <w:rPr>
          <w:rFonts w:ascii="Times New Roman" w:cs="Times New Roman" w:eastAsia="Times New Roman" w:hAnsi="Times New Roman"/>
          <w:sz w:val="12"/>
          <w:szCs w:val="12"/>
          <w:color w:val="auto"/>
        </w:rPr>
      </w:pPr>
    </w:p>
    <w:p>
      <w:pPr>
        <w:ind w:left="640" w:right="759" w:firstLine="1003"/>
        <w:spacing w:after="0" w:line="267" w:lineRule="auto"/>
        <w:tabs>
          <w:tab w:leader="none" w:pos="181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29" w:lineRule="exact"/>
        <w:rPr>
          <w:rFonts w:ascii="Times New Roman" w:cs="Times New Roman" w:eastAsia="Times New Roman" w:hAnsi="Times New Roman"/>
          <w:sz w:val="12"/>
          <w:szCs w:val="12"/>
          <w:color w:val="auto"/>
        </w:rPr>
      </w:pPr>
    </w:p>
    <w:p>
      <w:pPr>
        <w:ind w:left="640" w:right="739" w:firstLine="1003"/>
        <w:spacing w:after="0" w:line="255" w:lineRule="auto"/>
        <w:tabs>
          <w:tab w:leader="none" w:pos="1803"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6" w:name="page57"/>
    <w:bookmarkEnd w:id="56"/>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w:t>
      </w:r>
    </w:p>
    <w:p>
      <w:pPr>
        <w:spacing w:after="0" w:line="140" w:lineRule="exact"/>
        <w:rPr>
          <w:sz w:val="20"/>
          <w:szCs w:val="20"/>
          <w:color w:val="auto"/>
        </w:rPr>
      </w:pPr>
    </w:p>
    <w:p>
      <w:pPr>
        <w:ind w:left="640" w:right="679" w:firstLine="1003"/>
        <w:spacing w:after="0" w:line="251" w:lineRule="auto"/>
        <w:tabs>
          <w:tab w:leader="none" w:pos="182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51" w:lineRule="auto"/>
        <w:tabs>
          <w:tab w:leader="none" w:pos="181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7" w:name="page58"/>
    <w:bookmarkEnd w:id="5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51" w:lineRule="auto"/>
        <w:tabs>
          <w:tab w:leader="none" w:pos="181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the Company (whether or not shown on any Tax Return) have been timely paid (taking into account any applicable extensions).</w:t>
      </w:r>
    </w:p>
    <w:p>
      <w:pPr>
        <w:spacing w:after="0" w:line="122" w:lineRule="exact"/>
        <w:rPr>
          <w:rFonts w:ascii="Times New Roman" w:cs="Times New Roman" w:eastAsia="Times New Roman" w:hAnsi="Times New Roman"/>
          <w:sz w:val="13"/>
          <w:szCs w:val="13"/>
          <w:color w:val="auto"/>
        </w:rPr>
      </w:pPr>
    </w:p>
    <w:p>
      <w:pPr>
        <w:ind w:left="640" w:right="899" w:firstLine="1003"/>
        <w:spacing w:after="0" w:line="309" w:lineRule="auto"/>
        <w:tabs>
          <w:tab w:leader="none" w:pos="18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99" w:lineRule="exact"/>
        <w:rPr>
          <w:rFonts w:ascii="Times New Roman" w:cs="Times New Roman" w:eastAsia="Times New Roman" w:hAnsi="Times New Roman"/>
          <w:sz w:val="12"/>
          <w:szCs w:val="12"/>
          <w:color w:val="auto"/>
        </w:rPr>
      </w:pPr>
    </w:p>
    <w:p>
      <w:pPr>
        <w:ind w:left="640" w:right="93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a material amount of Taxes (other Encumbrances described in clause (a) of the definition of “Permitted Encumbrances”) upon any of the assets of the Company.</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34"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0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been a United States real property holding corporation within the meaning of Section 897(c)(2) of the Code in the last five (5) years.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cs="Times New Roman" w:eastAsia="Times New Roman" w:hAnsi="Times New Roman"/>
          <w:sz w:val="13"/>
          <w:szCs w:val="13"/>
          <w:b w:val="1"/>
          <w:bCs w:val="1"/>
          <w:color w:val="auto"/>
        </w:rPr>
        <w:t>Ordinary Course Agreement</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51"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79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1039" w:firstLine="1003"/>
        <w:spacing w:after="0" w:line="267" w:lineRule="auto"/>
        <w:tabs>
          <w:tab w:leader="none" w:pos="179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aware of any facts or circumstances and has not taken or agreed to take any action, in each case, that would reasonably be expected to prevent or impede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8" w:name="page59"/>
    <w:bookmarkEnd w:id="5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5" w:lineRule="auto"/>
        <w:tabs>
          <w:tab w:leader="none" w:pos="1817"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67" w:lineRule="auto"/>
        <w:tabs>
          <w:tab w:leader="none" w:pos="1824"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of the Company’s employees is terminable by the Company at will. The Company has made available to Parent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824"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3.17(d)</w:t>
      </w:r>
      <w:r>
        <w:rPr>
          <w:rFonts w:ascii="Times New Roman" w:cs="Times New Roman" w:eastAsia="Times New Roman" w:hAnsi="Times New Roman"/>
          <w:sz w:val="13"/>
          <w:szCs w:val="13"/>
          <w:color w:val="auto"/>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86" w:lineRule="auto"/>
        <w:tabs>
          <w:tab w:leader="none" w:pos="1817"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75" w:lineRule="auto"/>
        <w:tabs>
          <w:tab w:leader="none" w:pos="1803"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71" w:lineRule="auto"/>
        <w:tabs>
          <w:tab w:leader="none" w:pos="1824"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w:t>
      </w:r>
    </w:p>
    <w:p>
      <w:pPr>
        <w:ind w:left="640" w:right="779" w:hanging="3"/>
        <w:spacing w:after="0" w:line="246" w:lineRule="auto"/>
        <w:tabs>
          <w:tab w:leader="none" w:pos="85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Multiple Employer Plan, or (v) any Multiple Employer Welfare Arrangement. Neither the Company nor any of its ERISA Affiliates has in the past six (6) years incurred any liability under Title IV of ERISA.</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74" w:lineRule="auto"/>
        <w:tabs>
          <w:tab w:leader="none" w:pos="1824"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Company Employee Plan provides for, and the Company has not promised to provide any, medical or other welfare benefits to any service provider beyond termination of service or retirement, other than (i) pursuant to COBRA or an analogous state law requirement or</w:t>
      </w:r>
    </w:p>
    <w:p>
      <w:pPr>
        <w:spacing w:after="0" w:line="1" w:lineRule="exact"/>
        <w:rPr>
          <w:rFonts w:ascii="Times New Roman" w:cs="Times New Roman" w:eastAsia="Times New Roman" w:hAnsi="Times New Roman"/>
          <w:sz w:val="12"/>
          <w:szCs w:val="12"/>
          <w:color w:val="auto"/>
        </w:rPr>
      </w:pPr>
    </w:p>
    <w:p>
      <w:pPr>
        <w:ind w:left="640" w:right="699" w:hanging="3"/>
        <w:spacing w:after="0" w:line="246" w:lineRule="auto"/>
        <w:tabs>
          <w:tab w:leader="none" w:pos="82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continuation coverage through the end of the month in which such termination or retirement occurs. The Company does not sponsor or maintain any self-funded medical or long-term disability benefit plan.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9" w:name="page60"/>
    <w:bookmarkEnd w:id="59"/>
    <w:p>
      <w:pPr>
        <w:ind w:left="1800" w:hanging="157"/>
        <w:spacing w:after="0"/>
        <w:tabs>
          <w:tab w:leader="none" w:pos="18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Company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59" w:firstLine="1003"/>
        <w:spacing w:after="0" w:line="249" w:lineRule="auto"/>
        <w:tabs>
          <w:tab w:leader="none" w:pos="179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3"/>
          <w:szCs w:val="13"/>
          <w:b w:val="1"/>
          <w:bCs w:val="1"/>
          <w:color w:val="auto"/>
        </w:rPr>
        <w:t>Company 409A Plan</w:t>
      </w:r>
      <w:r>
        <w:rPr>
          <w:rFonts w:ascii="Times New Roman" w:cs="Times New Roman" w:eastAsia="Times New Roman" w:hAnsi="Times New Roman"/>
          <w:sz w:val="13"/>
          <w:szCs w:val="13"/>
          <w:color w:val="auto"/>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2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cs="Times New Roman" w:eastAsia="Times New Roman" w:hAnsi="Times New Roman"/>
          <w:sz w:val="12"/>
          <w:szCs w:val="12"/>
          <w:b w:val="1"/>
          <w:bCs w:val="1"/>
          <w:color w:val="auto"/>
        </w:rPr>
        <w:t>WARN Act</w:t>
      </w:r>
      <w:r>
        <w:rPr>
          <w:rFonts w:ascii="Times New Roman" w:cs="Times New Roman" w:eastAsia="Times New Roman" w:hAnsi="Times New Roman"/>
          <w:sz w:val="12"/>
          <w:szCs w:val="12"/>
          <w:color w:val="auto"/>
        </w:rPr>
        <w:t>”), labor practices or disputes, restrictive covenants, employment agreements, workers’ compensation and long-term disability policies, leaves of absence and worker privacy (collectively, “</w:t>
      </w:r>
      <w:r>
        <w:rPr>
          <w:rFonts w:ascii="Times New Roman" w:cs="Times New Roman" w:eastAsia="Times New Roman" w:hAnsi="Times New Roman"/>
          <w:sz w:val="12"/>
          <w:szCs w:val="12"/>
          <w:b w:val="1"/>
          <w:bCs w:val="1"/>
          <w:color w:val="auto"/>
        </w:rPr>
        <w:t>Employment-Related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Laws</w:t>
      </w:r>
      <w:r>
        <w:rPr>
          <w:rFonts w:ascii="Times New Roman" w:cs="Times New Roman" w:eastAsia="Times New Roman" w:hAnsi="Times New Roman"/>
          <w:sz w:val="12"/>
          <w:szCs w:val="12"/>
          <w:color w:val="auto"/>
        </w:rPr>
        <w:t>”), and in each case, with respect to employees of the Company: (i) has withheld and reported all material amounts required by law or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spacing w:after="0" w:line="282" w:lineRule="exact"/>
        <w:rPr>
          <w:rFonts w:ascii="Times New Roman" w:cs="Times New Roman" w:eastAsia="Times New Roman" w:hAnsi="Times New Roman"/>
          <w:sz w:val="12"/>
          <w:szCs w:val="12"/>
          <w:color w:val="auto"/>
        </w:rPr>
      </w:pPr>
    </w:p>
    <w:p>
      <w:pPr>
        <w:ind w:left="640" w:right="739" w:firstLine="1003"/>
        <w:spacing w:after="0" w:line="275" w:lineRule="auto"/>
        <w:tabs>
          <w:tab w:leader="none" w:pos="179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59"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60" w:name="page61"/>
    <w:bookmarkEnd w:id="60"/>
    <w:p>
      <w:pPr>
        <w:ind w:left="640" w:right="679" w:firstLine="1003"/>
        <w:spacing w:after="0" w:line="248"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the Company is a party or by which it is bound to compensate any of its employees or other service providers for any income or excise taxes paid pursuant to Section 4999 or Section 409A of the Code.</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w:t>
      </w:r>
    </w:p>
    <w:p>
      <w:pPr>
        <w:spacing w:after="0" w:line="133"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3.18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w:t>
      </w:r>
    </w:p>
    <w:p>
      <w:pPr>
        <w:spacing w:after="0" w:line="6" w:lineRule="exact"/>
        <w:rPr>
          <w:sz w:val="20"/>
          <w:szCs w:val="20"/>
          <w:color w:val="auto"/>
        </w:rPr>
      </w:pPr>
    </w:p>
    <w:p>
      <w:pPr>
        <w:ind w:left="640" w:right="1039" w:hanging="3"/>
        <w:spacing w:after="0" w:line="245" w:lineRule="auto"/>
        <w:tabs>
          <w:tab w:leader="none" w:pos="82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spacing w:after="0" w:line="136"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61" w:name="page62"/>
    <w:bookmarkEnd w:id="61"/>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3.20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30" w:lineRule="exact"/>
        <w:rPr>
          <w:sz w:val="20"/>
          <w:szCs w:val="20"/>
          <w:color w:val="auto"/>
        </w:rPr>
      </w:pPr>
    </w:p>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35"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cs="Times New Roman" w:eastAsia="Times New Roman" w:hAnsi="Times New Roman"/>
          <w:sz w:val="13"/>
          <w:szCs w:val="13"/>
          <w:b w:val="1"/>
          <w:bCs w:val="1"/>
          <w:color w:val="auto"/>
        </w:rPr>
        <w:t>Privacy Policies</w:t>
      </w:r>
      <w:r>
        <w:rPr>
          <w:rFonts w:ascii="Times New Roman" w:cs="Times New Roman" w:eastAsia="Times New Roman" w:hAnsi="Times New Roman"/>
          <w:sz w:val="13"/>
          <w:szCs w:val="13"/>
          <w:color w:val="auto"/>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spacing w:after="0" w:line="145"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62" w:name="page63"/>
    <w:bookmarkEnd w:id="62"/>
    <w:p>
      <w:pPr>
        <w:ind w:left="640" w:right="67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t>
      </w:r>
      <w:r>
        <w:rPr>
          <w:rFonts w:ascii="Times New Roman" w:cs="Times New Roman" w:eastAsia="Times New Roman" w:hAnsi="Times New Roman"/>
          <w:sz w:val="13"/>
          <w:szCs w:val="13"/>
          <w:b w:val="1"/>
          <w:bCs w:val="1"/>
          <w:color w:val="auto"/>
        </w:rPr>
        <w:t>Trade Laws</w:t>
      </w:r>
      <w:r>
        <w:rPr>
          <w:rFonts w:ascii="Times New Roman" w:cs="Times New Roman" w:eastAsia="Times New Roman" w:hAnsi="Times New Roman"/>
          <w:sz w:val="13"/>
          <w:szCs w:val="13"/>
          <w:color w:val="auto"/>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cs="Times New Roman" w:eastAsia="Times New Roman" w:hAnsi="Times New Roman"/>
          <w:sz w:val="13"/>
          <w:szCs w:val="13"/>
          <w:b w:val="1"/>
          <w:bCs w:val="1"/>
          <w:color w:val="auto"/>
        </w:rPr>
        <w:t>Trade Approvals</w:t>
      </w:r>
      <w:r>
        <w:rPr>
          <w:rFonts w:ascii="Times New Roman" w:cs="Times New Roman" w:eastAsia="Times New Roman" w:hAnsi="Times New Roman"/>
          <w:sz w:val="13"/>
          <w:szCs w:val="13"/>
          <w:color w:val="auto"/>
        </w:rPr>
        <w:t>”). There are no pending or threatened claims against the Company, nor any actions, conditions, facts, or circumstances that would reasonably be expected to give rise to any material future claims with respect to the Trade Laws or Trade Approvals.</w:t>
      </w:r>
    </w:p>
    <w:p>
      <w:pPr>
        <w:spacing w:after="0" w:line="133" w:lineRule="exact"/>
        <w:rPr>
          <w:sz w:val="20"/>
          <w:szCs w:val="20"/>
          <w:color w:val="auto"/>
        </w:rPr>
      </w:pPr>
    </w:p>
    <w:p>
      <w:pPr>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3.24 </w:t>
      </w:r>
      <w:r>
        <w:rPr>
          <w:rFonts w:ascii="Times New Roman" w:cs="Times New Roman" w:eastAsia="Times New Roman" w:hAnsi="Times New Roman"/>
          <w:sz w:val="12"/>
          <w:szCs w:val="12"/>
          <w:u w:val="single" w:color="auto"/>
          <w:color w:val="auto"/>
        </w:rPr>
        <w:t>Ownership of Parent Capital Stock</w:t>
      </w:r>
      <w:r>
        <w:rPr>
          <w:rFonts w:ascii="Times New Roman" w:cs="Times New Roman" w:eastAsia="Times New Roman" w:hAnsi="Times New Roman"/>
          <w:sz w:val="12"/>
          <w:szCs w:val="12"/>
          <w:color w:val="auto"/>
        </w:rPr>
        <w:t>.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w:t>
      </w:r>
    </w:p>
    <w:p>
      <w:pPr>
        <w:spacing w:after="0" w:line="11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(in each case as qualified and limited by the Parent Disclosure Letter)) none of the Company, or any of its Representatives or stockholders, has relied on any such information (including the accuracy or completeness thereof).</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Representations and Warranties of Parent, First Merger Sub and Second Merger Sub</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Except (i) as set forth in the written disclosure document delivered by Parent to the Company (the “</w:t>
      </w:r>
      <w:r>
        <w:rPr>
          <w:rFonts w:ascii="Times New Roman" w:cs="Times New Roman" w:eastAsia="Times New Roman" w:hAnsi="Times New Roman"/>
          <w:sz w:val="12"/>
          <w:szCs w:val="12"/>
          <w:b w:val="1"/>
          <w:bCs w:val="1"/>
          <w:color w:val="auto"/>
        </w:rPr>
        <w:t>Parent Disclosure Letter</w:t>
      </w:r>
      <w:r>
        <w:rPr>
          <w:rFonts w:ascii="Times New Roman" w:cs="Times New Roman" w:eastAsia="Times New Roman" w:hAnsi="Times New Roman"/>
          <w:sz w:val="12"/>
          <w:szCs w:val="12"/>
          <w:color w:val="auto"/>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spacing w:after="0" w:line="1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1" w:lineRule="auto"/>
        <w:tabs>
          <w:tab w:leader="none" w:pos="1817"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w:t>
      </w:r>
    </w:p>
    <w:p>
      <w:pPr>
        <w:ind w:left="640" w:right="879" w:hanging="3"/>
        <w:spacing w:after="0" w:line="269" w:lineRule="auto"/>
        <w:tabs>
          <w:tab w:leader="none" w:pos="861"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Subs have not engaged in any activities other than in connection with or as contemplated by this Agreement.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29" w:right="1440" w:bottom="1440" w:gutter="0" w:footer="0" w:header="0"/>
        </w:sectPr>
      </w:pPr>
    </w:p>
    <w:bookmarkStart w:id="63" w:name="page64"/>
    <w:bookmarkEnd w:id="63"/>
    <w:p>
      <w:pPr>
        <w:jc w:val="both"/>
        <w:ind w:left="640" w:right="819" w:firstLine="1003"/>
        <w:spacing w:after="0" w:line="251" w:lineRule="auto"/>
        <w:tabs>
          <w:tab w:leader="none" w:pos="182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17"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Parent has delivered to the Company accurate and complete copies of Parent’s Organizational Documents.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is not in breach or violation of its Organizational Documents in any material respect.</w:t>
      </w:r>
    </w:p>
    <w:p>
      <w:pPr>
        <w:spacing w:after="0" w:line="141"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cs="Times New Roman" w:eastAsia="Times New Roman" w:hAnsi="Times New Roman"/>
          <w:sz w:val="13"/>
          <w:szCs w:val="13"/>
          <w:u w:val="single" w:color="auto"/>
          <w:color w:val="auto"/>
        </w:rPr>
        <w:t>Section 3.24</w:t>
      </w:r>
      <w:r>
        <w:rPr>
          <w:rFonts w:ascii="Times New Roman" w:cs="Times New Roman" w:eastAsia="Times New Roman" w:hAnsi="Times New Roman"/>
          <w:sz w:val="13"/>
          <w:szCs w:val="13"/>
          <w:color w:val="auto"/>
        </w:rPr>
        <w:t>, constitutes the legal, valid and binding obligation of Parent and Merger Subs, enforceable against each of Parent and Merger Subs in accordance with its terms, subject to the Enforceability Exceptions.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4" w:name="page65"/>
    <w:bookmarkEnd w:id="64"/>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xml:space="preserve">. Assuming the accuracy of the representations set forth in </w:t>
      </w:r>
      <w:r>
        <w:rPr>
          <w:rFonts w:ascii="Times New Roman" w:cs="Times New Roman" w:eastAsia="Times New Roman" w:hAnsi="Times New Roman"/>
          <w:sz w:val="13"/>
          <w:szCs w:val="13"/>
          <w:u w:val="single" w:color="auto"/>
          <w:color w:val="auto"/>
        </w:rPr>
        <w:t>Section 3.24</w:t>
      </w:r>
      <w:r>
        <w:rPr>
          <w:rFonts w:ascii="Times New Roman" w:cs="Times New Roman" w:eastAsia="Times New Roman" w:hAnsi="Times New Roman"/>
          <w:sz w:val="13"/>
          <w:szCs w:val="13"/>
          <w:color w:val="auto"/>
        </w:rPr>
        <w:t>,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(b) clauses (ii) through (vi) of the definition of “Parent Articles of Amendment” (collectively, the “</w:t>
      </w:r>
      <w:r>
        <w:rPr>
          <w:rFonts w:ascii="Times New Roman" w:cs="Times New Roman" w:eastAsia="Times New Roman" w:hAnsi="Times New Roman"/>
          <w:sz w:val="13"/>
          <w:szCs w:val="13"/>
          <w:b w:val="1"/>
          <w:bCs w:val="1"/>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Parent Shareholder Vote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49" w:lineRule="auto"/>
        <w:tabs>
          <w:tab w:leader="none" w:pos="1817"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hereof, neither (x) the execution, delivery or performance of this Agreement by Parent or Merger Subs, nor (y) the consummation of the Contemplated Transactions, will directly or indirectly (with or without notice or lapse of time):</w:t>
      </w:r>
    </w:p>
    <w:p>
      <w:pPr>
        <w:spacing w:after="0" w:line="58"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Parent or its</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Subsidiaries;</w:t>
      </w:r>
    </w:p>
    <w:p>
      <w:pPr>
        <w:spacing w:after="0" w:line="65" w:lineRule="exact"/>
        <w:rPr>
          <w:rFonts w:ascii="Times New Roman" w:cs="Times New Roman" w:eastAsia="Times New Roman" w:hAnsi="Times New Roman"/>
          <w:sz w:val="12"/>
          <w:szCs w:val="12"/>
          <w:color w:val="auto"/>
        </w:rPr>
      </w:pPr>
    </w:p>
    <w:p>
      <w:pPr>
        <w:ind w:left="940" w:right="759" w:firstLine="972"/>
        <w:spacing w:after="0" w:line="255" w:lineRule="auto"/>
        <w:tabs>
          <w:tab w:leader="none" w:pos="2091"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spacing w:after="0" w:line="54"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126"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spacing w:after="0" w:line="54" w:lineRule="exact"/>
        <w:rPr>
          <w:rFonts w:ascii="Times New Roman" w:cs="Times New Roman" w:eastAsia="Times New Roman" w:hAnsi="Times New Roman"/>
          <w:sz w:val="13"/>
          <w:szCs w:val="13"/>
          <w:color w:val="auto"/>
        </w:rPr>
      </w:pPr>
    </w:p>
    <w:p>
      <w:pPr>
        <w:jc w:val="both"/>
        <w:ind w:left="940" w:right="679" w:firstLine="972"/>
        <w:spacing w:after="0" w:line="249" w:lineRule="auto"/>
        <w:tabs>
          <w:tab w:leader="none" w:pos="2119"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859" w:firstLine="972"/>
        <w:spacing w:after="0" w:line="267" w:lineRule="auto"/>
        <w:tabs>
          <w:tab w:leader="none" w:pos="2084"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Parent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71" w:lineRule="auto"/>
        <w:tabs>
          <w:tab w:leader="none" w:pos="182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(i) any Consent set forth on </w:t>
      </w:r>
      <w:r>
        <w:rPr>
          <w:rFonts w:ascii="Times New Roman" w:cs="Times New Roman" w:eastAsia="Times New Roman" w:hAnsi="Times New Roman"/>
          <w:sz w:val="12"/>
          <w:szCs w:val="12"/>
          <w:u w:val="single" w:color="auto"/>
          <w:color w:val="auto"/>
        </w:rPr>
        <w:t>Section 4.5(a)</w:t>
      </w:r>
      <w:r>
        <w:rPr>
          <w:rFonts w:ascii="Times New Roman" w:cs="Times New Roman" w:eastAsia="Times New Roman" w:hAnsi="Times New Roman"/>
          <w:sz w:val="12"/>
          <w:szCs w:val="12"/>
          <w:color w:val="auto"/>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w:t>
      </w:r>
    </w:p>
    <w:p>
      <w:pPr>
        <w:ind w:left="640" w:right="699" w:hanging="3"/>
        <w:spacing w:after="0" w:line="244" w:lineRule="auto"/>
        <w:tabs>
          <w:tab w:leader="none" w:pos="85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5" w:name="page66"/>
    <w:bookmarkEnd w:id="65"/>
    <w:p>
      <w:pPr>
        <w:ind w:left="640" w:right="779" w:firstLine="1003"/>
        <w:spacing w:after="0" w:line="251" w:lineRule="auto"/>
        <w:tabs>
          <w:tab w:leader="none" w:pos="181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1" w:lineRule="auto"/>
        <w:tabs>
          <w:tab w:leader="none" w:pos="1817"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Parent Capital Stock consists of (i) 400,000,000 shares of Parent Common Stock, no par value per share, of which 4,330,314 shares have been issued and are outstanding as of March 30, 2026 (the “</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65" w:lineRule="auto"/>
        <w:tabs>
          <w:tab w:leader="none" w:pos="1817"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2019 Equity Incentive Plan and Amended and Restated 2010 Employee, Director and Consultant Equity Incentive Plan (as may be amended from time to time, the “</w:t>
      </w:r>
      <w:r>
        <w:rPr>
          <w:rFonts w:ascii="Times New Roman" w:cs="Times New Roman" w:eastAsia="Times New Roman" w:hAnsi="Times New Roman"/>
          <w:sz w:val="12"/>
          <w:szCs w:val="12"/>
          <w:b w:val="1"/>
          <w:bCs w:val="1"/>
          <w:color w:val="auto"/>
        </w:rPr>
        <w:t>Parent Stock Plans</w:t>
      </w:r>
      <w:r>
        <w:rPr>
          <w:rFonts w:ascii="Times New Roman" w:cs="Times New Roman" w:eastAsia="Times New Roman" w:hAnsi="Times New Roman"/>
          <w:sz w:val="12"/>
          <w:szCs w:val="12"/>
          <w:color w:val="auto"/>
        </w:rPr>
        <w:t xml:space="preserve">”), the Parent 2019 Employee Stock Purchase Plan and except as set forth on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w:t>
      </w:r>
    </w:p>
    <w:p>
      <w:pPr>
        <w:spacing w:after="0" w:line="5" w:lineRule="exact"/>
        <w:rPr>
          <w:rFonts w:ascii="Times New Roman" w:cs="Times New Roman" w:eastAsia="Times New Roman" w:hAnsi="Times New Roman"/>
          <w:sz w:val="12"/>
          <w:szCs w:val="12"/>
          <w:color w:val="auto"/>
        </w:rPr>
      </w:pPr>
    </w:p>
    <w:p>
      <w:pPr>
        <w:ind w:left="640" w:right="659" w:hanging="3"/>
        <w:spacing w:after="0" w:line="245" w:lineRule="auto"/>
        <w:tabs>
          <w:tab w:leader="none" w:pos="85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6" w:name="page67"/>
    <w:bookmarkEnd w:id="66"/>
    <w:p>
      <w:pPr>
        <w:ind w:left="640" w:right="679" w:firstLine="1003"/>
        <w:spacing w:after="0" w:line="246" w:lineRule="auto"/>
        <w:tabs>
          <w:tab w:leader="none" w:pos="182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for outstanding shares of (x) Parent Preferred Stock, (y) Parent Options or Parent Restricted Stock Awards, or (z) as set forth on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of the Parent Disclosure Letter, there are no outstanding or authorized stock appreciation, phantom stock, profit participation or other similar rights with respect to Parent.</w:t>
      </w:r>
    </w:p>
    <w:p>
      <w:pPr>
        <w:spacing w:after="0" w:line="137" w:lineRule="exact"/>
        <w:rPr>
          <w:rFonts w:ascii="Times New Roman" w:cs="Times New Roman" w:eastAsia="Times New Roman" w:hAnsi="Times New Roman"/>
          <w:sz w:val="13"/>
          <w:szCs w:val="13"/>
          <w:color w:val="auto"/>
        </w:rPr>
      </w:pPr>
    </w:p>
    <w:p>
      <w:pPr>
        <w:jc w:val="both"/>
        <w:ind w:left="640" w:right="879" w:firstLine="1003"/>
        <w:spacing w:after="0" w:line="255" w:lineRule="auto"/>
        <w:tabs>
          <w:tab w:leader="none" w:pos="181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46" w:lineRule="auto"/>
        <w:tabs>
          <w:tab w:leader="none" w:pos="1803"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cs="Times New Roman" w:eastAsia="Times New Roman" w:hAnsi="Times New Roman"/>
          <w:sz w:val="13"/>
          <w:szCs w:val="13"/>
          <w:b w:val="1"/>
          <w:bCs w:val="1"/>
          <w:color w:val="auto"/>
        </w:rPr>
        <w:t>Parent Grant Date</w:t>
      </w:r>
      <w:r>
        <w:rPr>
          <w:rFonts w:ascii="Times New Roman" w:cs="Times New Roman" w:eastAsia="Times New Roman" w:hAnsi="Times New Roman"/>
          <w:sz w:val="13"/>
          <w:szCs w:val="13"/>
          <w:color w:val="auto"/>
        </w:rPr>
        <w:t>”)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8" w:lineRule="auto"/>
        <w:tabs>
          <w:tab w:leader="none" w:pos="1817"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2"/>
          <w:szCs w:val="12"/>
          <w:b w:val="1"/>
          <w:bCs w:val="1"/>
          <w:color w:val="auto"/>
        </w:rPr>
        <w:t>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the term “file” and variations thereof shall be broadly construed to include any manner in which a document or information is furnished, supplied or otherwise made available to the SEC.</w:t>
      </w:r>
    </w:p>
    <w:p>
      <w:pPr>
        <w:spacing w:after="0" w:line="127"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contained or incorporated by reference in the Parent SEC Documents:</w:t>
      </w:r>
    </w:p>
    <w:p>
      <w:pPr>
        <w:spacing w:after="0" w:line="15" w:lineRule="exact"/>
        <w:rPr>
          <w:rFonts w:ascii="Times New Roman" w:cs="Times New Roman" w:eastAsia="Times New Roman" w:hAnsi="Times New Roman"/>
          <w:sz w:val="13"/>
          <w:szCs w:val="13"/>
          <w:color w:val="auto"/>
        </w:rPr>
      </w:pPr>
    </w:p>
    <w:p>
      <w:pPr>
        <w:ind w:left="640" w:right="819" w:hanging="3"/>
        <w:spacing w:after="0" w:line="246" w:lineRule="auto"/>
        <w:tabs>
          <w:tab w:leader="none" w:pos="79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complied as to form in all material respects with the Securities Act and the Exchange Act, as applicable, and the published rules and regulations of the SEC applicable thereto, (ii) were prepared in accordance with GAAP (except as may be indicated in the notes to</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7" w:name="page68"/>
    <w:bookmarkEnd w:id="67"/>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39" w:lineRule="exact"/>
        <w:rPr>
          <w:sz w:val="20"/>
          <w:szCs w:val="20"/>
          <w:color w:val="auto"/>
        </w:rPr>
      </w:pPr>
    </w:p>
    <w:p>
      <w:pPr>
        <w:ind w:left="640" w:right="719" w:firstLine="1003"/>
        <w:spacing w:after="0" w:line="279" w:lineRule="auto"/>
        <w:tabs>
          <w:tab w:leader="none" w:pos="18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14" w:lineRule="exact"/>
        <w:rPr>
          <w:rFonts w:ascii="Times New Roman" w:cs="Times New Roman" w:eastAsia="Times New Roman" w:hAnsi="Times New Roman"/>
          <w:sz w:val="12"/>
          <w:szCs w:val="12"/>
          <w:color w:val="auto"/>
        </w:rPr>
      </w:pPr>
    </w:p>
    <w:p>
      <w:pPr>
        <w:ind w:left="640" w:right="679" w:firstLine="1003"/>
        <w:spacing w:after="0" w:line="267" w:lineRule="auto"/>
        <w:tabs>
          <w:tab w:leader="none" w:pos="1824"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4.7(d)</w:t>
      </w:r>
      <w:r>
        <w:rPr>
          <w:rFonts w:ascii="Times New Roman" w:cs="Times New Roman" w:eastAsia="Times New Roman" w:hAnsi="Times New Roman"/>
          <w:sz w:val="12"/>
          <w:szCs w:val="12"/>
          <w:color w:val="auto"/>
        </w:rPr>
        <w:t xml:space="preserve"> of the Parent Disclosure Letter (“</w:t>
      </w:r>
      <w:r>
        <w:rPr>
          <w:rFonts w:ascii="Times New Roman" w:cs="Times New Roman" w:eastAsia="Times New Roman" w:hAnsi="Times New Roman"/>
          <w:sz w:val="12"/>
          <w:szCs w:val="12"/>
          <w:b w:val="1"/>
          <w:bCs w:val="1"/>
          <w:color w:val="auto"/>
        </w:rPr>
        <w:t>Prior Nasdaq Notice</w:t>
      </w:r>
      <w:r>
        <w:rPr>
          <w:rFonts w:ascii="Times New Roman" w:cs="Times New Roman" w:eastAsia="Times New Roman" w:hAnsi="Times New Roman"/>
          <w:sz w:val="12"/>
          <w:szCs w:val="12"/>
          <w:color w:val="auto"/>
        </w:rPr>
        <w:t>”),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spacing w:after="0" w:line="280"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817"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spacing w:after="0" w:line="132"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0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in compliance in all material respects with the applicable provisions of the Sarbanes-Oxley Act, the Exchange Act and the applicable listing and governance rules and regulations of Nasdaq.</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8" w:name="page69"/>
    <w:bookmarkEnd w:id="68"/>
    <w:p>
      <w:pPr>
        <w:ind w:left="640" w:right="699" w:firstLine="1003"/>
        <w:spacing w:after="0" w:line="245"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spacing w:after="0" w:line="135"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the Balance Sheet Date, neither Parent nor any of its Subsidiaries has any Liability except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(a) Liabilities disclosed, reflected or reserved against in the Parent Balance Sheet, (b) normal and recurring current Liabilities that have been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incurred by Parent or its Subsidiaries since the date of the Parent Balance Sheet in the Ordinary Course of Business (none of which relates to any breach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of contract, breach of warranty, tort, infringement or violation of Law), (c) Liabilities for performance of obligations of Parent or any of its Subsidiaries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under Parent Contracts, (d) Liabilities incurred in connection with the Contemplated Transactions, and (e) Liabilities described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Disclosure Letter.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9" w:name="page70"/>
    <w:bookmarkEnd w:id="69"/>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spacing w:after="0" w:line="134"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3"/>
          <w:szCs w:val="13"/>
          <w:b w:val="1"/>
          <w:bCs w:val="1"/>
          <w:color w:val="auto"/>
        </w:rPr>
        <w:t>Parent Real Estate Leases</w:t>
      </w:r>
      <w:r>
        <w:rPr>
          <w:rFonts w:ascii="Times New Roman" w:cs="Times New Roman" w:eastAsia="Times New Roman" w:hAnsi="Times New Roman"/>
          <w:sz w:val="13"/>
          <w:szCs w:val="13"/>
          <w:color w:val="auto"/>
        </w:rPr>
        <w:t>”), each of which is in full force and effect, with no existing material default thereunder by Parent or its Subsidiaries or, to Parent’s Knowledge, the other party thereto.</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Parent Disclosure Letter is an accurate, true and complete listing of all Parent Registered IP.</w:t>
      </w:r>
    </w:p>
    <w:p>
      <w:pPr>
        <w:spacing w:after="0" w:line="153" w:lineRule="exact"/>
        <w:rPr>
          <w:rFonts w:ascii="Times New Roman" w:cs="Times New Roman" w:eastAsia="Times New Roman" w:hAnsi="Times New Roman"/>
          <w:sz w:val="13"/>
          <w:szCs w:val="13"/>
          <w:color w:val="auto"/>
        </w:rPr>
      </w:pPr>
    </w:p>
    <w:p>
      <w:pPr>
        <w:ind w:left="640" w:right="759" w:firstLine="1003"/>
        <w:spacing w:after="0" w:line="247" w:lineRule="auto"/>
        <w:tabs>
          <w:tab w:leader="none" w:pos="182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17"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or one of its Subsidiaries exclusively owns all right, title, and interest to and in the Parent IP Rights (other than (i) Parent IP Rights licensed to Parent, or co-owned rights each as identified in </w:t>
      </w:r>
      <w:r>
        <w:rPr>
          <w:rFonts w:ascii="Times New Roman" w:cs="Times New Roman" w:eastAsia="Times New Roman" w:hAnsi="Times New Roman"/>
          <w:sz w:val="13"/>
          <w:szCs w:val="13"/>
          <w:u w:val="single" w:color="auto"/>
          <w:color w:val="auto"/>
        </w:rPr>
        <w:t>Section 4.12(e)</w:t>
      </w:r>
      <w:r>
        <w:rPr>
          <w:rFonts w:ascii="Times New Roman" w:cs="Times New Roman" w:eastAsia="Times New Roman" w:hAnsi="Times New Roman"/>
          <w:sz w:val="13"/>
          <w:szCs w:val="13"/>
          <w:color w:val="auto"/>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60" w:lineRule="exact"/>
        <w:rPr>
          <w:rFonts w:ascii="Times New Roman" w:cs="Times New Roman" w:eastAsia="Times New Roman" w:hAnsi="Times New Roman"/>
          <w:sz w:val="13"/>
          <w:szCs w:val="13"/>
          <w:color w:val="auto"/>
        </w:rPr>
      </w:pPr>
    </w:p>
    <w:p>
      <w:pPr>
        <w:ind w:left="940" w:right="859" w:firstLine="972"/>
        <w:spacing w:after="0" w:line="267" w:lineRule="auto"/>
        <w:tabs>
          <w:tab w:leader="none" w:pos="2056"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documents and instruments necessary to register or apply for or renew registration of Parent Registered IP have been validly executed, delivered, and filed in a timely manner with the appropriate Governmental Authority.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70" w:name="page71"/>
    <w:bookmarkEnd w:id="70"/>
    <w:p>
      <w:pPr>
        <w:ind w:left="940" w:right="699" w:firstLine="972"/>
        <w:spacing w:after="0" w:line="251" w:lineRule="auto"/>
        <w:tabs>
          <w:tab w:leader="none" w:pos="2091"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spacing w:after="0" w:line="56" w:lineRule="exact"/>
        <w:rPr>
          <w:rFonts w:ascii="Times New Roman" w:cs="Times New Roman" w:eastAsia="Times New Roman" w:hAnsi="Times New Roman"/>
          <w:sz w:val="13"/>
          <w:szCs w:val="13"/>
          <w:color w:val="auto"/>
        </w:rPr>
      </w:pPr>
    </w:p>
    <w:p>
      <w:pPr>
        <w:ind w:left="940" w:right="679" w:firstLine="972"/>
        <w:spacing w:after="0" w:line="272" w:lineRule="auto"/>
        <w:tabs>
          <w:tab w:leader="none" w:pos="2126"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spacing w:after="0" w:line="47" w:lineRule="exact"/>
        <w:rPr>
          <w:rFonts w:ascii="Times New Roman" w:cs="Times New Roman" w:eastAsia="Times New Roman" w:hAnsi="Times New Roman"/>
          <w:sz w:val="12"/>
          <w:szCs w:val="12"/>
          <w:color w:val="auto"/>
        </w:rPr>
      </w:pPr>
    </w:p>
    <w:p>
      <w:pPr>
        <w:ind w:left="940" w:right="679" w:firstLine="972"/>
        <w:spacing w:after="0" w:line="267" w:lineRule="auto"/>
        <w:tabs>
          <w:tab w:leader="none" w:pos="2119"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were used, directly or indirectly, to develop or create, in whole or in part, any Parent IP Rights in which Parent or any of its Subsidiaries has an ownership interest.</w:t>
      </w:r>
    </w:p>
    <w:p>
      <w:pPr>
        <w:spacing w:after="0" w:line="46" w:lineRule="exact"/>
        <w:rPr>
          <w:rFonts w:ascii="Times New Roman" w:cs="Times New Roman" w:eastAsia="Times New Roman" w:hAnsi="Times New Roman"/>
          <w:sz w:val="13"/>
          <w:szCs w:val="13"/>
          <w:color w:val="auto"/>
        </w:rPr>
      </w:pPr>
    </w:p>
    <w:p>
      <w:pPr>
        <w:ind w:left="940" w:right="799" w:firstLine="972"/>
        <w:spacing w:after="0" w:line="309" w:lineRule="auto"/>
        <w:tabs>
          <w:tab w:leader="none" w:pos="208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819" w:firstLine="972"/>
        <w:spacing w:after="0" w:line="267" w:lineRule="auto"/>
        <w:tabs>
          <w:tab w:leader="none" w:pos="2119"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any of its Subsidiaries has not assigned or otherwise transferred ownership of, or agreed to assign or otherwise transfer ownership of, any Parent IP Rights to any other Person.</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delivered, or made available to the Company, a complete and accurate copy of all material Parent IP Rights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Agreements.</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75" w:lineRule="auto"/>
        <w:tabs>
          <w:tab w:leader="none" w:pos="18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71" w:name="page72"/>
    <w:bookmarkEnd w:id="71"/>
    <w:p>
      <w:pPr>
        <w:ind w:left="640" w:right="679" w:firstLine="1003"/>
        <w:spacing w:after="0" w:line="248"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72" w:lineRule="auto"/>
        <w:tabs>
          <w:tab w:leader="none" w:pos="1796"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spacing w:after="0" w:line="123" w:lineRule="exact"/>
        <w:rPr>
          <w:rFonts w:ascii="Times New Roman" w:cs="Times New Roman" w:eastAsia="Times New Roman" w:hAnsi="Times New Roman"/>
          <w:sz w:val="12"/>
          <w:szCs w:val="12"/>
          <w:color w:val="auto"/>
        </w:rPr>
      </w:pPr>
    </w:p>
    <w:p>
      <w:pPr>
        <w:ind w:left="640" w:right="879" w:firstLine="1003"/>
        <w:spacing w:after="0" w:line="248" w:lineRule="auto"/>
        <w:tabs>
          <w:tab w:leader="none" w:pos="1796"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may be set forth in the Contracts listed on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4.12(c)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4.12(k)</w:t>
      </w:r>
      <w:r>
        <w:rPr>
          <w:rFonts w:ascii="Times New Roman" w:cs="Times New Roman" w:eastAsia="Times New Roman" w:hAnsi="Times New Roman"/>
          <w:sz w:val="13"/>
          <w:szCs w:val="13"/>
          <w:color w:val="auto"/>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Parent Disclosure Letter identifies each Parent Contract that is in effect as of the date of this Agreement other than a Parent Employee Plan (each, an “</w:t>
      </w:r>
      <w:r>
        <w:rPr>
          <w:rFonts w:ascii="Times New Roman" w:cs="Times New Roman" w:eastAsia="Times New Roman" w:hAnsi="Times New Roman"/>
          <w:sz w:val="13"/>
          <w:szCs w:val="13"/>
          <w:b w:val="1"/>
          <w:bCs w:val="1"/>
          <w:color w:val="auto"/>
        </w:rPr>
        <w:t>Parent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Parent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86" w:lineRule="auto"/>
        <w:tabs>
          <w:tab w:leader="none" w:pos="2056"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spacing w:after="0" w:line="37" w:lineRule="exact"/>
        <w:rPr>
          <w:rFonts w:ascii="Times New Roman" w:cs="Times New Roman" w:eastAsia="Times New Roman" w:hAnsi="Times New Roman"/>
          <w:sz w:val="12"/>
          <w:szCs w:val="12"/>
          <w:color w:val="auto"/>
        </w:rPr>
      </w:pPr>
    </w:p>
    <w:p>
      <w:pPr>
        <w:ind w:left="2100" w:hanging="188"/>
        <w:spacing w:after="0"/>
        <w:tabs>
          <w:tab w:leader="none" w:pos="2100"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Contract relating to any agreement of indemnification or guaranty not entered into in the Ordinary Course of</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Business;</w:t>
      </w:r>
    </w:p>
    <w:p>
      <w:pPr>
        <w:spacing w:after="0" w:line="65" w:lineRule="exact"/>
        <w:rPr>
          <w:rFonts w:ascii="Times New Roman" w:cs="Times New Roman" w:eastAsia="Times New Roman" w:hAnsi="Times New Roman"/>
          <w:sz w:val="12"/>
          <w:szCs w:val="12"/>
          <w:color w:val="auto"/>
        </w:rPr>
      </w:pPr>
    </w:p>
    <w:p>
      <w:pPr>
        <w:ind w:left="940" w:right="659" w:firstLine="972"/>
        <w:spacing w:after="0" w:line="255" w:lineRule="auto"/>
        <w:tabs>
          <w:tab w:leader="none" w:pos="2126"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72" w:name="page73"/>
    <w:bookmarkEnd w:id="72"/>
    <w:p>
      <w:pPr>
        <w:ind w:left="940" w:right="679" w:firstLine="972"/>
        <w:spacing w:after="0" w:line="267"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Parent Contract (A) pursuant to which any Person granted Parent an exclusive license under any Intellectual Property, or (B) pursuant to which Parent granted any Person an exclusive license under any Parent IP Rights;</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containing any royalty, dividend or similar arrangement based on the revenues or profits of Parent, any of its Subsidiaries, or of a product;</w:t>
      </w:r>
    </w:p>
    <w:p>
      <w:pPr>
        <w:spacing w:after="0" w:line="46" w:lineRule="exact"/>
        <w:rPr>
          <w:rFonts w:ascii="Times New Roman" w:cs="Times New Roman" w:eastAsia="Times New Roman" w:hAnsi="Times New Roman"/>
          <w:sz w:val="13"/>
          <w:szCs w:val="13"/>
          <w:color w:val="auto"/>
        </w:rPr>
      </w:pPr>
    </w:p>
    <w:p>
      <w:pPr>
        <w:ind w:left="940" w:right="759" w:firstLine="972"/>
        <w:spacing w:after="0" w:line="267"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capital expenditures and requiring payments after the date of this Agreement in excess of $100,000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5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the disposition or acquisition of material assets or any ownership interest in any Entity, in each case, involving payments in excess of $100,000 after the date of this Agreement;</w:t>
      </w:r>
    </w:p>
    <w:p>
      <w:pPr>
        <w:spacing w:after="0" w:line="46" w:lineRule="exact"/>
        <w:rPr>
          <w:rFonts w:ascii="Times New Roman" w:cs="Times New Roman" w:eastAsia="Times New Roman" w:hAnsi="Times New Roman"/>
          <w:sz w:val="13"/>
          <w:szCs w:val="13"/>
          <w:color w:val="auto"/>
        </w:rPr>
      </w:pPr>
    </w:p>
    <w:p>
      <w:pPr>
        <w:ind w:left="940" w:right="719" w:firstLine="972"/>
        <w:spacing w:after="0" w:line="267" w:lineRule="auto"/>
        <w:tabs>
          <w:tab w:leader="none" w:pos="218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entered into in settlement of any Legal Proceeding or other dispute pursuant to which Parent or any of its Subsidiaries has outstanding obligations to pay consideration in excess of $100,000;</w:t>
      </w:r>
    </w:p>
    <w:p>
      <w:pPr>
        <w:spacing w:after="0" w:line="46" w:lineRule="exact"/>
        <w:rPr>
          <w:rFonts w:ascii="Times New Roman" w:cs="Times New Roman" w:eastAsia="Times New Roman" w:hAnsi="Times New Roman"/>
          <w:sz w:val="13"/>
          <w:szCs w:val="13"/>
          <w:color w:val="auto"/>
        </w:rPr>
      </w:pPr>
    </w:p>
    <w:p>
      <w:pPr>
        <w:jc w:val="both"/>
        <w:ind w:left="940" w:right="679" w:firstLine="972"/>
        <w:spacing w:after="0" w:line="255"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spacing w:after="0" w:line="54" w:lineRule="exact"/>
        <w:rPr>
          <w:rFonts w:ascii="Times New Roman" w:cs="Times New Roman" w:eastAsia="Times New Roman" w:hAnsi="Times New Roman"/>
          <w:sz w:val="13"/>
          <w:szCs w:val="13"/>
          <w:color w:val="auto"/>
        </w:rPr>
      </w:pPr>
    </w:p>
    <w:p>
      <w:pPr>
        <w:ind w:left="940" w:right="779" w:firstLine="972"/>
        <w:spacing w:after="0" w:line="246" w:lineRule="auto"/>
        <w:tabs>
          <w:tab w:leader="none" w:pos="208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spacing w:after="0" w:line="59" w:lineRule="exact"/>
        <w:rPr>
          <w:rFonts w:ascii="Times New Roman" w:cs="Times New Roman" w:eastAsia="Times New Roman" w:hAnsi="Times New Roman"/>
          <w:sz w:val="13"/>
          <w:szCs w:val="13"/>
          <w:color w:val="auto"/>
        </w:rPr>
      </w:pPr>
    </w:p>
    <w:p>
      <w:pPr>
        <w:ind w:left="940" w:right="799" w:firstLine="972"/>
        <w:spacing w:after="0" w:line="255"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w:t>
      </w:r>
    </w:p>
    <w:p>
      <w:pPr>
        <w:spacing w:after="0" w:line="54" w:lineRule="exact"/>
        <w:rPr>
          <w:rFonts w:ascii="Times New Roman" w:cs="Times New Roman" w:eastAsia="Times New Roman" w:hAnsi="Times New Roman"/>
          <w:sz w:val="13"/>
          <w:szCs w:val="13"/>
          <w:color w:val="auto"/>
        </w:rPr>
      </w:pPr>
    </w:p>
    <w:p>
      <w:pPr>
        <w:jc w:val="both"/>
        <w:ind w:left="940" w:right="759" w:firstLine="972"/>
        <w:spacing w:after="0" w:line="255" w:lineRule="auto"/>
        <w:tabs>
          <w:tab w:leader="none" w:pos="215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3" w:name="page74"/>
    <w:bookmarkEnd w:id="73"/>
    <w:p>
      <w:pPr>
        <w:ind w:left="2200" w:hanging="288"/>
        <w:spacing w:after="0"/>
        <w:tabs>
          <w:tab w:leader="none" w:pos="22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Parent Real Estate Lease;</w:t>
      </w:r>
    </w:p>
    <w:p>
      <w:pPr>
        <w:spacing w:after="0" w:line="77"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Contract disclosed in or required to be disclosed in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4.12(c)</w:t>
      </w:r>
      <w:r>
        <w:rPr>
          <w:rFonts w:ascii="Times New Roman" w:cs="Times New Roman" w:eastAsia="Times New Roman" w:hAnsi="Times New Roman"/>
          <w:sz w:val="12"/>
          <w:szCs w:val="12"/>
          <w:color w:val="auto"/>
        </w:rPr>
        <w:t xml:space="preserve"> of the Parent Disclosure Letter; or</w:t>
      </w:r>
    </w:p>
    <w:p>
      <w:pPr>
        <w:spacing w:after="0" w:line="89" w:lineRule="exact"/>
        <w:rPr>
          <w:rFonts w:ascii="Times New Roman" w:cs="Times New Roman" w:eastAsia="Times New Roman" w:hAnsi="Times New Roman"/>
          <w:sz w:val="12"/>
          <w:szCs w:val="12"/>
          <w:color w:val="auto"/>
        </w:rPr>
      </w:pPr>
    </w:p>
    <w:p>
      <w:pPr>
        <w:ind w:left="940" w:right="659" w:firstLine="972"/>
        <w:spacing w:after="0" w:line="279" w:lineRule="auto"/>
        <w:tabs>
          <w:tab w:leader="none" w:pos="2147"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46" w:lineRule="auto"/>
        <w:tabs>
          <w:tab w:leader="none" w:pos="1824"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1" w:lineRule="auto"/>
        <w:tabs>
          <w:tab w:leader="none" w:pos="1817"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22"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2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4.14(b)</w:t>
      </w:r>
      <w:r>
        <w:rPr>
          <w:rFonts w:ascii="Times New Roman" w:cs="Times New Roman" w:eastAsia="Times New Roman" w:hAnsi="Times New Roman"/>
          <w:sz w:val="13"/>
          <w:szCs w:val="13"/>
          <w:color w:val="auto"/>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4" w:name="page75"/>
    <w:bookmarkEnd w:id="74"/>
    <w:p>
      <w:pPr>
        <w:ind w:left="640" w:right="679" w:firstLine="1003"/>
        <w:spacing w:after="0" w:line="255" w:lineRule="auto"/>
        <w:tabs>
          <w:tab w:leader="none" w:pos="1817"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69" w:lineRule="auto"/>
        <w:tabs>
          <w:tab w:leader="none" w:pos="1824"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2"/>
          <w:szCs w:val="12"/>
          <w:b w:val="1"/>
          <w:bCs w:val="1"/>
          <w:color w:val="auto"/>
        </w:rPr>
        <w:t>Parent Product Candidates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Parent Regulatory Permits</w:t>
      </w:r>
      <w:r>
        <w:rPr>
          <w:rFonts w:ascii="Times New Roman" w:cs="Times New Roman" w:eastAsia="Times New Roman" w:hAnsi="Times New Roman"/>
          <w:sz w:val="12"/>
          <w:szCs w:val="12"/>
          <w:color w:val="auto"/>
        </w:rPr>
        <w:t>”), and no such Parent Regulatory Permit has been</w:t>
      </w:r>
    </w:p>
    <w:p>
      <w:pPr>
        <w:ind w:left="780" w:hanging="143"/>
        <w:spacing w:after="0"/>
        <w:tabs>
          <w:tab w:leader="none" w:pos="7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revoked, withdrawn, suspended, cancelled or terminated or (ii) modified in any adverse manner other than immaterial adverse modifications.</w:t>
      </w:r>
    </w:p>
    <w:p>
      <w:pPr>
        <w:spacing w:after="0" w:line="2"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2"/>
          <w:szCs w:val="12"/>
          <w:u w:val="single" w:color="auto"/>
          <w:color w:val="auto"/>
        </w:rPr>
        <w:t>Section 4.14(d)</w:t>
      </w:r>
      <w:r>
        <w:rPr>
          <w:rFonts w:ascii="Times New Roman" w:cs="Times New Roman" w:eastAsia="Times New Roman" w:hAnsi="Times New Roman"/>
          <w:sz w:val="12"/>
          <w:szCs w:val="12"/>
          <w:color w:val="auto"/>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w:t>
      </w:r>
    </w:p>
    <w:p>
      <w:pPr>
        <w:spacing w:after="0" w:line="4" w:lineRule="exact"/>
        <w:rPr>
          <w:sz w:val="20"/>
          <w:szCs w:val="20"/>
          <w:color w:val="auto"/>
        </w:rPr>
      </w:pPr>
    </w:p>
    <w:p>
      <w:pPr>
        <w:ind w:left="640" w:right="819" w:hanging="3"/>
        <w:spacing w:after="0" w:line="246" w:lineRule="auto"/>
        <w:tabs>
          <w:tab w:leader="none" w:pos="81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similar reports, material study data, notices, letters, filings, correspondence and meeting minutes with any other Governmental Authority. All such information is accurate and complete in all material respects.</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68" w:lineRule="auto"/>
        <w:tabs>
          <w:tab w:leader="none" w:pos="1817"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firstLine="1003"/>
        <w:spacing w:after="0" w:line="245" w:lineRule="auto"/>
        <w:tabs>
          <w:tab w:leader="none" w:pos="1803"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contract manufacturer with respect to any Parent Product Candidate, or any of its officers, employees or agents.</w:t>
      </w:r>
    </w:p>
    <w:p>
      <w:pPr>
        <w:spacing w:after="0" w:line="138" w:lineRule="exact"/>
        <w:rPr>
          <w:rFonts w:ascii="Times New Roman" w:cs="Times New Roman" w:eastAsia="Times New Roman" w:hAnsi="Times New Roman"/>
          <w:sz w:val="13"/>
          <w:szCs w:val="13"/>
          <w:color w:val="auto"/>
        </w:rPr>
      </w:pPr>
    </w:p>
    <w:p>
      <w:pPr>
        <w:ind w:left="640" w:right="879" w:firstLine="1003"/>
        <w:spacing w:after="0" w:line="279" w:lineRule="auto"/>
        <w:tabs>
          <w:tab w:leader="none" w:pos="1824"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spacing w:after="0" w:line="116" w:lineRule="exact"/>
        <w:rPr>
          <w:rFonts w:ascii="Times New Roman" w:cs="Times New Roman" w:eastAsia="Times New Roman" w:hAnsi="Times New Roman"/>
          <w:sz w:val="12"/>
          <w:szCs w:val="12"/>
          <w:color w:val="auto"/>
        </w:rPr>
      </w:pPr>
    </w:p>
    <w:p>
      <w:pPr>
        <w:ind w:left="640" w:right="679" w:firstLine="1003"/>
        <w:spacing w:after="0" w:line="274" w:lineRule="auto"/>
        <w:tabs>
          <w:tab w:leader="none" w:pos="1824"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Parent, any of its Subsidiaries, and to the Knowledge of Parent, any manufacturing site of a contract manufacturer or laboratory, with respect to any Parent Product Candidate, (i) is subject to a Drug/Device Regulatory Agency shutdown or import or export prohibition or</w:t>
      </w:r>
    </w:p>
    <w:p>
      <w:pPr>
        <w:spacing w:after="0" w:line="1" w:lineRule="exact"/>
        <w:rPr>
          <w:rFonts w:ascii="Times New Roman" w:cs="Times New Roman" w:eastAsia="Times New Roman" w:hAnsi="Times New Roman"/>
          <w:sz w:val="12"/>
          <w:szCs w:val="12"/>
          <w:color w:val="auto"/>
        </w:rPr>
      </w:pPr>
    </w:p>
    <w:p>
      <w:pPr>
        <w:ind w:left="640" w:right="739" w:hanging="3"/>
        <w:spacing w:after="0" w:line="244" w:lineRule="auto"/>
        <w:tabs>
          <w:tab w:leader="none" w:pos="826"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2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6" w:name="page77"/>
    <w:bookmarkEnd w:id="7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9"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spacing w:after="0" w:line="134"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Parent or any of its Subsidiaries (whether or not shown on any Tax Return) have been timely paid (taking into account any applicable extensions).</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a material amount of Taxes (other Encumbrances described in clause (a) of the definition of “Permitted Encumbrances”) upon any of the assets of Parent or any of its Subsidiaries.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0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any Tax allocation, Tax sharing or similar agreement (including indemnity arrangements), other than Ordinary Course Agreements.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959" w:firstLine="1003"/>
        <w:spacing w:after="0" w:line="309" w:lineRule="auto"/>
        <w:tabs>
          <w:tab w:leader="none" w:pos="182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99" w:lineRule="exact"/>
        <w:rPr>
          <w:rFonts w:ascii="Times New Roman" w:cs="Times New Roman" w:eastAsia="Times New Roman" w:hAnsi="Times New Roman"/>
          <w:sz w:val="12"/>
          <w:szCs w:val="12"/>
          <w:color w:val="auto"/>
        </w:rPr>
      </w:pPr>
    </w:p>
    <w:p>
      <w:pPr>
        <w:ind w:left="640" w:right="979" w:firstLine="1003"/>
        <w:spacing w:after="0" w:line="267" w:lineRule="auto"/>
        <w:tabs>
          <w:tab w:leader="none" w:pos="1796"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796"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aware of any facts or circumstances or has taken or agreed to take any action, in each case, that would reasonably be expected to prevent or impede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7" w:name="page78"/>
    <w:bookmarkEnd w:id="7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5" w:lineRule="auto"/>
        <w:tabs>
          <w:tab w:leader="none" w:pos="181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spacing w:after="0" w:line="119" w:lineRule="exact"/>
        <w:rPr>
          <w:rFonts w:ascii="Times New Roman" w:cs="Times New Roman" w:eastAsia="Times New Roman" w:hAnsi="Times New Roman"/>
          <w:sz w:val="12"/>
          <w:szCs w:val="12"/>
          <w:color w:val="auto"/>
        </w:rPr>
      </w:pPr>
    </w:p>
    <w:p>
      <w:pPr>
        <w:ind w:left="640" w:right="759" w:firstLine="1003"/>
        <w:spacing w:after="0" w:line="267" w:lineRule="auto"/>
        <w:tabs>
          <w:tab w:leader="none" w:pos="1824"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of Parent’s employees is terminable by Parent at will. Parent has made available to the Company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817"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86" w:lineRule="auto"/>
        <w:tabs>
          <w:tab w:leader="none" w:pos="1824"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4.17(d)</w:t>
      </w:r>
      <w:r>
        <w:rPr>
          <w:rFonts w:ascii="Times New Roman" w:cs="Times New Roman" w:eastAsia="Times New Roman" w:hAnsi="Times New Roman"/>
          <w:sz w:val="12"/>
          <w:szCs w:val="12"/>
          <w:color w:val="auto"/>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spacing w:after="0" w:line="113" w:lineRule="exact"/>
        <w:rPr>
          <w:rFonts w:ascii="Times New Roman" w:cs="Times New Roman" w:eastAsia="Times New Roman" w:hAnsi="Times New Roman"/>
          <w:sz w:val="12"/>
          <w:szCs w:val="12"/>
          <w:color w:val="auto"/>
        </w:rPr>
      </w:pPr>
    </w:p>
    <w:p>
      <w:pPr>
        <w:ind w:left="640" w:right="1139" w:firstLine="1003"/>
        <w:spacing w:after="0" w:line="286" w:lineRule="auto"/>
        <w:tabs>
          <w:tab w:leader="none" w:pos="181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spacing w:after="0" w:line="113" w:lineRule="exact"/>
        <w:rPr>
          <w:rFonts w:ascii="Times New Roman" w:cs="Times New Roman" w:eastAsia="Times New Roman" w:hAnsi="Times New Roman"/>
          <w:sz w:val="12"/>
          <w:szCs w:val="12"/>
          <w:color w:val="auto"/>
        </w:rPr>
      </w:pPr>
    </w:p>
    <w:p>
      <w:pPr>
        <w:ind w:left="640" w:right="719" w:firstLine="1003"/>
        <w:spacing w:after="0" w:line="249" w:lineRule="auto"/>
        <w:tabs>
          <w:tab w:leader="none" w:pos="1803"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ERISA Affiliates maintains, contributes to or is required to contribute to, or has, in the past six</w:t>
      </w:r>
    </w:p>
    <w:p>
      <w:pPr>
        <w:spacing w:after="0" w:line="15" w:lineRule="exact"/>
        <w:rPr>
          <w:rFonts w:ascii="Times New Roman" w:cs="Times New Roman" w:eastAsia="Times New Roman" w:hAnsi="Times New Roman"/>
          <w:sz w:val="13"/>
          <w:szCs w:val="13"/>
          <w:color w:val="auto"/>
        </w:rPr>
      </w:pPr>
    </w:p>
    <w:p>
      <w:pPr>
        <w:ind w:left="640" w:right="699" w:hanging="3"/>
        <w:spacing w:after="0" w:line="263" w:lineRule="auto"/>
        <w:tabs>
          <w:tab w:leader="none" w:pos="819"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w:t>
      </w:r>
    </w:p>
    <w:p>
      <w:pPr>
        <w:spacing w:after="0" w:line="1"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incurred any liability under Title IV of ERISA.</w:t>
      </w:r>
    </w:p>
    <w:p>
      <w:pPr>
        <w:spacing w:after="0" w:line="140" w:lineRule="exact"/>
        <w:rPr>
          <w:rFonts w:ascii="Times New Roman" w:cs="Times New Roman" w:eastAsia="Times New Roman" w:hAnsi="Times New Roman"/>
          <w:sz w:val="13"/>
          <w:szCs w:val="13"/>
          <w:color w:val="auto"/>
        </w:rPr>
      </w:pPr>
    </w:p>
    <w:p>
      <w:pPr>
        <w:ind w:left="640" w:right="759" w:firstLine="1003"/>
        <w:spacing w:after="0" w:line="251" w:lineRule="auto"/>
        <w:tabs>
          <w:tab w:leader="none" w:pos="1824"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8" w:name="page79"/>
    <w:bookmarkEnd w:id="78"/>
    <w:p>
      <w:pPr>
        <w:ind w:left="1800" w:hanging="157"/>
        <w:spacing w:after="0"/>
        <w:tabs>
          <w:tab w:leader="none" w:pos="180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Parent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796"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3"/>
          <w:szCs w:val="13"/>
          <w:b w:val="1"/>
          <w:bCs w:val="1"/>
          <w:color w:val="auto"/>
        </w:rPr>
        <w:t>Parent 409A Plan</w:t>
      </w:r>
      <w:r>
        <w:rPr>
          <w:rFonts w:ascii="Times New Roman" w:cs="Times New Roman" w:eastAsia="Times New Roman" w:hAnsi="Times New Roman"/>
          <w:sz w:val="13"/>
          <w:szCs w:val="13"/>
          <w:color w:val="auto"/>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is in material compliance with all Employment-Related Laws and in each case, with respect to the employees of Parent:</w:t>
      </w:r>
    </w:p>
    <w:p>
      <w:pPr>
        <w:spacing w:after="0" w:line="26" w:lineRule="exact"/>
        <w:rPr>
          <w:rFonts w:ascii="Times New Roman" w:cs="Times New Roman" w:eastAsia="Times New Roman" w:hAnsi="Times New Roman"/>
          <w:sz w:val="12"/>
          <w:szCs w:val="12"/>
          <w:color w:val="auto"/>
        </w:rPr>
      </w:pPr>
    </w:p>
    <w:p>
      <w:pPr>
        <w:ind w:left="640" w:right="659" w:hanging="3"/>
        <w:spacing w:after="0" w:line="243" w:lineRule="auto"/>
        <w:tabs>
          <w:tab w:leader="none" w:pos="791"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spacing w:after="0" w:line="141" w:lineRule="exact"/>
        <w:rPr>
          <w:rFonts w:ascii="Times New Roman" w:cs="Times New Roman" w:eastAsia="Times New Roman" w:hAnsi="Times New Roman"/>
          <w:sz w:val="13"/>
          <w:szCs w:val="13"/>
          <w:color w:val="auto"/>
        </w:rPr>
      </w:pPr>
    </w:p>
    <w:p>
      <w:pPr>
        <w:ind w:left="640" w:right="679" w:firstLine="1003"/>
        <w:spacing w:after="0" w:line="275" w:lineRule="auto"/>
        <w:tabs>
          <w:tab w:leader="none" w:pos="1796"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859"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9" w:name="page80"/>
    <w:bookmarkEnd w:id="79"/>
    <w:p>
      <w:pPr>
        <w:ind w:left="640" w:right="799" w:firstLine="1003"/>
        <w:spacing w:after="0" w:line="275" w:lineRule="auto"/>
        <w:tabs>
          <w:tab w:leader="none" w:pos="182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spacing w:after="0" w:line="119" w:lineRule="exact"/>
        <w:rPr>
          <w:rFonts w:ascii="Times New Roman" w:cs="Times New Roman" w:eastAsia="Times New Roman" w:hAnsi="Times New Roman"/>
          <w:sz w:val="12"/>
          <w:szCs w:val="12"/>
          <w:color w:val="auto"/>
        </w:rPr>
      </w:pPr>
    </w:p>
    <w:p>
      <w:pPr>
        <w:ind w:left="640" w:right="719" w:firstLine="1003"/>
        <w:spacing w:after="0" w:line="255" w:lineRule="auto"/>
        <w:tabs>
          <w:tab w:leader="none" w:pos="1824"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spacing w:after="0" w:line="125" w:lineRule="exact"/>
        <w:rPr>
          <w:sz w:val="20"/>
          <w:szCs w:val="20"/>
          <w:color w:val="auto"/>
        </w:rPr>
      </w:pPr>
    </w:p>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4.19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80" w:name="page81"/>
    <w:bookmarkEnd w:id="80"/>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4.20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w:t>
      </w:r>
    </w:p>
    <w:p>
      <w:pPr>
        <w:spacing w:after="0" w:line="130"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30" w:lineRule="exact"/>
        <w:rPr>
          <w:sz w:val="20"/>
          <w:szCs w:val="20"/>
          <w:color w:val="auto"/>
        </w:rPr>
      </w:pPr>
    </w:p>
    <w:p>
      <w:pPr>
        <w:ind w:left="640" w:right="679" w:firstLine="696"/>
        <w:spacing w:after="0" w:line="279" w:lineRule="auto"/>
        <w:rPr>
          <w:sz w:val="20"/>
          <w:szCs w:val="20"/>
          <w:color w:val="auto"/>
        </w:rPr>
      </w:pPr>
      <w:r>
        <w:rPr>
          <w:rFonts w:ascii="Times New Roman" w:cs="Times New Roman" w:eastAsia="Times New Roman" w:hAnsi="Times New Roman"/>
          <w:sz w:val="12"/>
          <w:szCs w:val="12"/>
          <w:color w:val="auto"/>
        </w:rPr>
        <w:t xml:space="preserve">4.22 </w:t>
      </w:r>
      <w:r>
        <w:rPr>
          <w:rFonts w:ascii="Times New Roman" w:cs="Times New Roman" w:eastAsia="Times New Roman" w:hAnsi="Times New Roman"/>
          <w:sz w:val="12"/>
          <w:szCs w:val="12"/>
          <w:u w:val="single" w:color="auto"/>
          <w:color w:val="auto"/>
        </w:rPr>
        <w:t>Valid Issuance</w:t>
      </w:r>
      <w:r>
        <w:rPr>
          <w:rFonts w:ascii="Times New Roman" w:cs="Times New Roman" w:eastAsia="Times New Roman" w:hAnsi="Times New Roman"/>
          <w:sz w:val="12"/>
          <w:szCs w:val="12"/>
          <w:color w:val="auto"/>
        </w:rPr>
        <w:t>.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w:t>
      </w:r>
    </w:p>
    <w:p>
      <w:pPr>
        <w:spacing w:after="0" w:line="116" w:lineRule="exact"/>
        <w:rPr>
          <w:sz w:val="20"/>
          <w:szCs w:val="20"/>
          <w:color w:val="auto"/>
        </w:rPr>
      </w:pPr>
    </w:p>
    <w:p>
      <w:pPr>
        <w:ind w:left="640" w:right="67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4.23 </w:t>
      </w:r>
      <w:r>
        <w:rPr>
          <w:rFonts w:ascii="Times New Roman" w:cs="Times New Roman" w:eastAsia="Times New Roman" w:hAnsi="Times New Roman"/>
          <w:sz w:val="12"/>
          <w:szCs w:val="12"/>
          <w:u w:val="single" w:color="auto"/>
          <w:color w:val="auto"/>
        </w:rPr>
        <w:t>Privacy and Data Security</w:t>
      </w:r>
      <w:r>
        <w:rPr>
          <w:rFonts w:ascii="Times New Roman" w:cs="Times New Roman" w:eastAsia="Times New Roman" w:hAnsi="Times New Roman"/>
          <w:sz w:val="12"/>
          <w:szCs w:val="12"/>
          <w:color w:val="auto"/>
        </w:rPr>
        <w:t>.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spacing w:after="0" w:line="280"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81" w:name="page82"/>
    <w:bookmarkEnd w:id="81"/>
    <w:p>
      <w:pPr>
        <w:ind w:left="640" w:right="679" w:firstLine="696"/>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4.25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(in each case as qualified and limited by the Company Disclosure Letter)) none of Parent, Merger Subs nor any of their respective Representatives or stockholders, has relied on any such information (including the accuracy or completeness thereof).</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Certain Covenants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Operation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47" w:lineRule="auto"/>
        <w:tabs>
          <w:tab w:leader="none" w:pos="1817"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5.1(a)</w:t>
      </w:r>
      <w:r>
        <w:rPr>
          <w:rFonts w:ascii="Times New Roman" w:cs="Times New Roman" w:eastAsia="Times New Roman" w:hAnsi="Times New Roman"/>
          <w:sz w:val="13"/>
          <w:szCs w:val="13"/>
          <w:color w:val="auto"/>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the First Effective Time (the “</w:t>
      </w:r>
      <w:r>
        <w:rPr>
          <w:rFonts w:ascii="Times New Roman" w:cs="Times New Roman" w:eastAsia="Times New Roman" w:hAnsi="Times New Roman"/>
          <w:sz w:val="13"/>
          <w:szCs w:val="13"/>
          <w:b w:val="1"/>
          <w:bCs w:val="1"/>
          <w:color w:val="auto"/>
        </w:rPr>
        <w:t>Pre-Closing Period</w:t>
      </w:r>
      <w:r>
        <w:rPr>
          <w:rFonts w:ascii="Times New Roman" w:cs="Times New Roman" w:eastAsia="Times New Roman" w:hAnsi="Times New Roman"/>
          <w:sz w:val="13"/>
          <w:szCs w:val="13"/>
          <w:color w:val="auto"/>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spacing w:after="0" w:line="136"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24"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75" w:lineRule="auto"/>
        <w:tabs>
          <w:tab w:leader="none" w:pos="2056"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spacing w:after="0" w:line="43" w:lineRule="exact"/>
        <w:rPr>
          <w:rFonts w:ascii="Times New Roman" w:cs="Times New Roman" w:eastAsia="Times New Roman" w:hAnsi="Times New Roman"/>
          <w:sz w:val="12"/>
          <w:szCs w:val="12"/>
          <w:color w:val="auto"/>
        </w:rPr>
      </w:pPr>
    </w:p>
    <w:p>
      <w:pPr>
        <w:jc w:val="both"/>
        <w:ind w:left="940" w:right="759" w:firstLine="972"/>
        <w:spacing w:after="0" w:line="255" w:lineRule="auto"/>
        <w:tabs>
          <w:tab w:leader="none" w:pos="2091" w:val="left"/>
        </w:tabs>
        <w:numPr>
          <w:ilvl w:val="1"/>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82" w:name="page83"/>
    <w:bookmarkEnd w:id="82"/>
    <w:p>
      <w:pPr>
        <w:ind w:left="940" w:right="699" w:firstLine="972"/>
        <w:spacing w:after="0" w:line="251" w:lineRule="auto"/>
        <w:tabs>
          <w:tab w:leader="none" w:pos="2126"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w:t>
      </w:r>
    </w:p>
    <w:p>
      <w:pPr>
        <w:spacing w:after="0" w:line="5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65" w:lineRule="exact"/>
        <w:rPr>
          <w:rFonts w:ascii="Times New Roman" w:cs="Times New Roman" w:eastAsia="Times New Roman" w:hAnsi="Times New Roman"/>
          <w:sz w:val="12"/>
          <w:szCs w:val="12"/>
          <w:color w:val="auto"/>
        </w:rPr>
      </w:pPr>
    </w:p>
    <w:p>
      <w:pPr>
        <w:ind w:left="940" w:right="679" w:firstLine="972"/>
        <w:spacing w:after="0" w:line="251" w:lineRule="auto"/>
        <w:tabs>
          <w:tab w:leader="none" w:pos="208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w:t>
      </w:r>
    </w:p>
    <w:p>
      <w:pPr>
        <w:spacing w:after="0" w:line="56" w:lineRule="exact"/>
        <w:rPr>
          <w:rFonts w:ascii="Times New Roman" w:cs="Times New Roman" w:eastAsia="Times New Roman" w:hAnsi="Times New Roman"/>
          <w:sz w:val="13"/>
          <w:szCs w:val="13"/>
          <w:color w:val="auto"/>
        </w:rPr>
      </w:pPr>
    </w:p>
    <w:p>
      <w:pPr>
        <w:ind w:left="940" w:right="719" w:firstLine="972"/>
        <w:spacing w:after="0" w:line="247" w:lineRule="auto"/>
        <w:tabs>
          <w:tab w:leader="none" w:pos="2119"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w:t>
      </w:r>
    </w:p>
    <w:p>
      <w:pPr>
        <w:spacing w:after="0" w:line="60"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5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license or otherwise irrevocably dispose of any of its assets or properties, or grant any Encumbrance with respect to such assets or properties;</w:t>
      </w:r>
    </w:p>
    <w:p>
      <w:pPr>
        <w:spacing w:after="0" w:line="46" w:lineRule="exact"/>
        <w:rPr>
          <w:rFonts w:ascii="Times New Roman" w:cs="Times New Roman" w:eastAsia="Times New Roman" w:hAnsi="Times New Roman"/>
          <w:sz w:val="13"/>
          <w:szCs w:val="13"/>
          <w:color w:val="auto"/>
        </w:rPr>
      </w:pPr>
    </w:p>
    <w:p>
      <w:pPr>
        <w:ind w:left="940" w:right="919" w:firstLine="972"/>
        <w:spacing w:after="0" w:line="309" w:lineRule="auto"/>
        <w:tabs>
          <w:tab w:leader="none" w:pos="2189"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assign, transfer, license, sublicense or otherwise dispose of any material Parent IP Rights (other than pursuant to non-exclusive licenses in the Ordinary Course of Business or pursuant to the consummation of any Parent Legacy Transaction);</w:t>
      </w:r>
    </w:p>
    <w:p>
      <w:pPr>
        <w:spacing w:after="0" w:line="23" w:lineRule="exact"/>
        <w:rPr>
          <w:rFonts w:ascii="Times New Roman" w:cs="Times New Roman" w:eastAsia="Times New Roman" w:hAnsi="Times New Roman"/>
          <w:sz w:val="12"/>
          <w:szCs w:val="12"/>
          <w:color w:val="auto"/>
        </w:rPr>
      </w:pPr>
    </w:p>
    <w:p>
      <w:pPr>
        <w:ind w:left="940" w:right="639" w:firstLine="972"/>
        <w:spacing w:after="0" w:line="251" w:lineRule="auto"/>
        <w:tabs>
          <w:tab w:leader="none" w:pos="2119"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51" w:lineRule="auto"/>
        <w:tabs>
          <w:tab w:leader="none" w:pos="208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w:t>
      </w:r>
    </w:p>
    <w:p>
      <w:pPr>
        <w:spacing w:after="0" w:line="5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forgive any loans to any Person, including its employees, officers, directors or Affiliate;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83" w:name="page84"/>
    <w:bookmarkEnd w:id="83"/>
    <w:p>
      <w:pPr>
        <w:ind w:left="1860" w:hanging="245"/>
        <w:spacing w:after="0"/>
        <w:tabs>
          <w:tab w:leader="none" w:pos="18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terminate or modify in any material respect, or fail to exercise renewal rights with respect to, any material insurance policy;</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92"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w:t>
      </w:r>
    </w:p>
    <w:p>
      <w:pPr>
        <w:spacing w:after="0" w:line="54"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fail to repay when due any material obligation, including accounts payable and accrued expenses;</w:t>
      </w:r>
    </w:p>
    <w:p>
      <w:pPr>
        <w:spacing w:after="0" w:line="77" w:lineRule="exact"/>
        <w:rPr>
          <w:rFonts w:ascii="Times New Roman" w:cs="Times New Roman" w:eastAsia="Times New Roman" w:hAnsi="Times New Roman"/>
          <w:sz w:val="13"/>
          <w:szCs w:val="13"/>
          <w:color w:val="auto"/>
        </w:rPr>
      </w:pPr>
    </w:p>
    <w:p>
      <w:pPr>
        <w:ind w:left="1860" w:hanging="245"/>
        <w:spacing w:after="0"/>
        <w:tabs>
          <w:tab w:leader="none" w:pos="18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in a manner adverse to Parent or terminate any Parent Material Contract outside of the Ordinary Course of</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or</w:t>
      </w:r>
    </w:p>
    <w:p>
      <w:pPr>
        <w:spacing w:after="0" w:line="65"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89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820" w:hanging="177"/>
        <w:spacing w:after="0"/>
        <w:tabs>
          <w:tab w:leader="none" w:pos="18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provision herein to the contrary (including the foregoing provisions of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Parent:</w:t>
      </w:r>
    </w:p>
    <w:p>
      <w:pPr>
        <w:spacing w:after="0" w:line="77" w:lineRule="exact"/>
        <w:rPr>
          <w:rFonts w:ascii="Times New Roman" w:cs="Times New Roman" w:eastAsia="Times New Roman" w:hAnsi="Times New Roman"/>
          <w:sz w:val="13"/>
          <w:szCs w:val="13"/>
          <w:color w:val="auto"/>
        </w:rPr>
      </w:pPr>
    </w:p>
    <w:p>
      <w:pPr>
        <w:ind w:left="940" w:right="659" w:firstLine="972"/>
        <w:spacing w:after="0" w:line="246" w:lineRule="auto"/>
        <w:tabs>
          <w:tab w:leader="none" w:pos="2056"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Legacy Transaction</w:t>
      </w:r>
      <w:r>
        <w:rPr>
          <w:rFonts w:ascii="Times New Roman" w:cs="Times New Roman" w:eastAsia="Times New Roman" w:hAnsi="Times New Roman"/>
          <w:sz w:val="13"/>
          <w:szCs w:val="13"/>
          <w:color w:val="auto"/>
        </w:rPr>
        <w:t>”) and, in connection with any Parent Legacy Transaction, (A) establish one or more Subsidiaries to hold assets of the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spacing w:after="0" w:line="63" w:lineRule="exact"/>
        <w:rPr>
          <w:rFonts w:ascii="Times New Roman" w:cs="Times New Roman" w:eastAsia="Times New Roman" w:hAnsi="Times New Roman"/>
          <w:sz w:val="13"/>
          <w:szCs w:val="13"/>
          <w:color w:val="auto"/>
        </w:rPr>
      </w:pPr>
    </w:p>
    <w:p>
      <w:pPr>
        <w:ind w:left="940" w:right="659" w:firstLine="972"/>
        <w:spacing w:after="0" w:line="248" w:lineRule="auto"/>
        <w:tabs>
          <w:tab w:leader="none" w:pos="2091"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equal to the aggregate of Parent’s reasonable, good faith approximation of the amount by which Parent Net Cash will exceed $0 (such dividend, the “</w:t>
      </w:r>
      <w:r>
        <w:rPr>
          <w:rFonts w:ascii="Times New Roman" w:cs="Times New Roman" w:eastAsia="Times New Roman" w:hAnsi="Times New Roman"/>
          <w:sz w:val="13"/>
          <w:szCs w:val="13"/>
          <w:b w:val="1"/>
          <w:bCs w:val="1"/>
          <w:color w:val="auto"/>
        </w:rPr>
        <w:t>Parent Pre-Closing Dividend</w:t>
      </w:r>
      <w:r>
        <w:rPr>
          <w:rFonts w:ascii="Times New Roman" w:cs="Times New Roman" w:eastAsia="Times New Roman" w:hAnsi="Times New Roman"/>
          <w:sz w:val="13"/>
          <w:szCs w:val="13"/>
          <w:color w:val="auto"/>
        </w:rPr>
        <w:t>” and such amount, the “</w:t>
      </w:r>
      <w:r>
        <w:rPr>
          <w:rFonts w:ascii="Times New Roman" w:cs="Times New Roman" w:eastAsia="Times New Roman" w:hAnsi="Times New Roman"/>
          <w:sz w:val="13"/>
          <w:szCs w:val="13"/>
          <w:b w:val="1"/>
          <w:bCs w:val="1"/>
          <w:color w:val="auto"/>
        </w:rPr>
        <w:t>Parent Pre-Closing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Dividend Amount</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4" w:name="page85"/>
    <w:bookmarkEnd w:id="8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5.2 </w:t>
      </w:r>
      <w:r>
        <w:rPr>
          <w:rFonts w:ascii="Times New Roman" w:cs="Times New Roman" w:eastAsia="Times New Roman" w:hAnsi="Times New Roman"/>
          <w:sz w:val="13"/>
          <w:szCs w:val="13"/>
          <w:u w:val="single" w:color="auto"/>
          <w:color w:val="auto"/>
        </w:rPr>
        <w:t>Operation of the Company’s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Except (i) as expressly contemplated or permitted by this Agreement or the Subscription Agreement, (ii) as set forth 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of the Company Disclosure Letter, (iii) as required by applicable Law, (iv) with respect to any Company Pre-Closing Financing, which 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expressly permitted, or (v) unless Parent shall otherwise consent in writing (which consent shall not be unreasonably withheld, delayed or conditioned),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during the Pre-Closing Period the Company shall use commercially reasonable efforts to conduct its business and operations in the Ordinary Course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 and in material compliance with all applicable Law and the requirements of all Contracts that constitute Company Material Contracts. For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avoidance of doubt, during the Pre-Closing Period, Ordinary Course of Business, with respect to the Company, shall also include such build-out,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expansion, and development activities as are customary and reasonable for biotechnology companies at a stage of development substantially similar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that of the Company as of the date hereof, including, without limitation, activities relating to personnel hiring and retention, laboratory and office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expansion, clinical and regulatory infrastructure development, manufacturing scale-up (including engagement of contract development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manufacturing organizations), implementation of quality and compliance systems, and other operational capability enhancements;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that nothing in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shall be construed to permit the Company to take any action that is expressly prohibited or restricted by the terms of this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w:t>
      </w:r>
    </w:p>
    <w:p>
      <w:pPr>
        <w:spacing w:after="0" w:line="141" w:lineRule="exact"/>
        <w:rPr>
          <w:sz w:val="20"/>
          <w:szCs w:val="20"/>
          <w:color w:val="auto"/>
        </w:rPr>
      </w:pPr>
    </w:p>
    <w:p>
      <w:pPr>
        <w:ind w:left="640" w:right="819" w:firstLine="1003"/>
        <w:spacing w:after="0" w:line="279" w:lineRule="auto"/>
        <w:tabs>
          <w:tab w:leader="none" w:pos="1824"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contemplated or permitted by this Agreement or the Subscription Agreement, (ii) as set forth in </w:t>
      </w:r>
      <w:r>
        <w:rPr>
          <w:rFonts w:ascii="Times New Roman" w:cs="Times New Roman" w:eastAsia="Times New Roman" w:hAnsi="Times New Roman"/>
          <w:sz w:val="12"/>
          <w:szCs w:val="12"/>
          <w:u w:val="single" w:color="auto"/>
          <w:color w:val="auto"/>
        </w:rPr>
        <w:t>Section 5.2(b)</w:t>
      </w:r>
      <w:r>
        <w:rPr>
          <w:rFonts w:ascii="Times New Roman" w:cs="Times New Roman" w:eastAsia="Times New Roman" w:hAnsi="Times New Roman"/>
          <w:sz w:val="12"/>
          <w:szCs w:val="12"/>
          <w:color w:val="auto"/>
        </w:rPr>
        <w:t xml:space="preserve"> of the Company Disclosure Letter, (iii) as required by applicable 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w:t>
      </w:r>
    </w:p>
    <w:p>
      <w:pPr>
        <w:spacing w:after="0" w:line="40" w:lineRule="exact"/>
        <w:rPr>
          <w:rFonts w:ascii="Times New Roman" w:cs="Times New Roman" w:eastAsia="Times New Roman" w:hAnsi="Times New Roman"/>
          <w:sz w:val="12"/>
          <w:szCs w:val="12"/>
          <w:color w:val="auto"/>
        </w:rPr>
      </w:pPr>
    </w:p>
    <w:p>
      <w:pPr>
        <w:ind w:left="940" w:right="759" w:firstLine="972"/>
        <w:spacing w:after="0" w:line="255" w:lineRule="auto"/>
        <w:tabs>
          <w:tab w:leader="none" w:pos="2056"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spacing w:after="0" w:line="54" w:lineRule="exact"/>
        <w:rPr>
          <w:rFonts w:ascii="Times New Roman" w:cs="Times New Roman" w:eastAsia="Times New Roman" w:hAnsi="Times New Roman"/>
          <w:sz w:val="13"/>
          <w:szCs w:val="13"/>
          <w:color w:val="auto"/>
        </w:rPr>
      </w:pPr>
    </w:p>
    <w:p>
      <w:pPr>
        <w:jc w:val="both"/>
        <w:ind w:left="940" w:right="759" w:firstLine="972"/>
        <w:spacing w:after="0" w:line="255" w:lineRule="auto"/>
        <w:tabs>
          <w:tab w:leader="none" w:pos="2091"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54" w:lineRule="exact"/>
        <w:rPr>
          <w:rFonts w:ascii="Times New Roman" w:cs="Times New Roman" w:eastAsia="Times New Roman" w:hAnsi="Times New Roman"/>
          <w:sz w:val="13"/>
          <w:szCs w:val="13"/>
          <w:color w:val="auto"/>
        </w:rPr>
      </w:pPr>
    </w:p>
    <w:p>
      <w:pPr>
        <w:ind w:left="940" w:right="699" w:firstLine="972"/>
        <w:spacing w:after="0" w:line="249" w:lineRule="auto"/>
        <w:tabs>
          <w:tab w:leader="none" w:pos="2126"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spacing w:after="0" w:line="58" w:lineRule="exact"/>
        <w:rPr>
          <w:rFonts w:ascii="Times New Roman" w:cs="Times New Roman" w:eastAsia="Times New Roman" w:hAnsi="Times New Roman"/>
          <w:sz w:val="13"/>
          <w:szCs w:val="13"/>
          <w:color w:val="auto"/>
        </w:rPr>
      </w:pPr>
    </w:p>
    <w:p>
      <w:pPr>
        <w:ind w:left="940" w:right="719" w:firstLine="972"/>
        <w:spacing w:after="0" w:line="267" w:lineRule="auto"/>
        <w:tabs>
          <w:tab w:leader="none" w:pos="2119"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acquire any equity interest or other interest in any other Entity or enter into a joint venture with any other Entity;</w:t>
      </w:r>
    </w:p>
    <w:p>
      <w:pPr>
        <w:spacing w:after="0" w:line="46" w:lineRule="exact"/>
        <w:rPr>
          <w:rFonts w:ascii="Times New Roman" w:cs="Times New Roman" w:eastAsia="Times New Roman" w:hAnsi="Times New Roman"/>
          <w:sz w:val="13"/>
          <w:szCs w:val="13"/>
          <w:color w:val="auto"/>
        </w:rPr>
      </w:pPr>
    </w:p>
    <w:p>
      <w:pPr>
        <w:ind w:left="2100" w:hanging="188"/>
        <w:spacing w:after="0"/>
        <w:tabs>
          <w:tab w:leader="none" w:pos="2100"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(B) incur or guarantee any indebtedness for borrowed money, or (C) guarantee any debt</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others;</w:t>
      </w:r>
    </w:p>
    <w:p>
      <w:pPr>
        <w:spacing w:after="0" w:line="65" w:lineRule="exact"/>
        <w:rPr>
          <w:rFonts w:ascii="Times New Roman" w:cs="Times New Roman" w:eastAsia="Times New Roman" w:hAnsi="Times New Roman"/>
          <w:sz w:val="13"/>
          <w:szCs w:val="13"/>
          <w:color w:val="auto"/>
        </w:rPr>
      </w:pPr>
    </w:p>
    <w:p>
      <w:pPr>
        <w:ind w:left="940" w:right="1019" w:firstLine="972"/>
        <w:spacing w:after="0" w:line="267" w:lineRule="auto"/>
        <w:tabs>
          <w:tab w:leader="none" w:pos="2119"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irrevocably dispose of any of its assets or properties, or grant any Encumbrance with respect to such assets or properties, except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5" w:name="page86"/>
    <w:bookmarkEnd w:id="85"/>
    <w:p>
      <w:pPr>
        <w:ind w:left="940" w:right="779" w:firstLine="972"/>
        <w:spacing w:after="0" w:line="267" w:lineRule="auto"/>
        <w:tabs>
          <w:tab w:leader="none" w:pos="215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assign, transfer, license, sublicense or otherwise dispose of any material Company IP Rights (other than pursuant to non-exclusive licenses);</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51" w:lineRule="auto"/>
        <w:tabs>
          <w:tab w:leader="none" w:pos="218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spacing w:after="0" w:line="56" w:lineRule="exact"/>
        <w:rPr>
          <w:rFonts w:ascii="Times New Roman" w:cs="Times New Roman" w:eastAsia="Times New Roman" w:hAnsi="Times New Roman"/>
          <w:sz w:val="13"/>
          <w:szCs w:val="13"/>
          <w:color w:val="auto"/>
        </w:rPr>
      </w:pPr>
    </w:p>
    <w:p>
      <w:pPr>
        <w:ind w:left="940" w:right="639" w:firstLine="972"/>
        <w:spacing w:after="0" w:line="251" w:lineRule="auto"/>
        <w:tabs>
          <w:tab w:leader="none" w:pos="211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in a manner adverse to the Company or terminate any Company Material Contract outside of the Ordinary Course of Business; or</w:t>
      </w:r>
    </w:p>
    <w:p>
      <w:pPr>
        <w:spacing w:after="0" w:line="4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6" w:name="page87"/>
    <w:bookmarkEnd w:id="86"/>
    <w:p>
      <w:pPr>
        <w:ind w:left="640" w:right="659" w:firstLine="1003"/>
        <w:spacing w:after="0" w:line="247" w:lineRule="auto"/>
        <w:tabs>
          <w:tab w:leader="none" w:pos="182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herein to the contrary in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no access or examination contemplated by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67" w:lineRule="auto"/>
        <w:tabs>
          <w:tab w:leader="none" w:pos="1817"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640" w:right="699" w:hanging="3"/>
        <w:spacing w:after="0" w:line="265" w:lineRule="auto"/>
        <w:tabs>
          <w:tab w:leader="none" w:pos="85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2"/>
          <w:szCs w:val="12"/>
          <w:u w:val="single" w:color="auto"/>
          <w:color w:val="auto"/>
        </w:rPr>
        <w:t>provided, however</w:t>
      </w:r>
      <w:r>
        <w:rPr>
          <w:rFonts w:ascii="Times New Roman" w:cs="Times New Roman" w:eastAsia="Times New Roman" w:hAnsi="Times New Roman"/>
          <w:sz w:val="12"/>
          <w:szCs w:val="12"/>
          <w:color w:val="auto"/>
        </w:rPr>
        <w:t xml:space="preserve">, that, (x) any public disclosures made in compliance with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(e) shall not constitute a violation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(y) notwithstanding anything contained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for purposes of this Agreement.</w:t>
      </w:r>
    </w:p>
    <w:p>
      <w:pPr>
        <w:spacing w:after="0" w:line="277" w:lineRule="exact"/>
        <w:rPr>
          <w:rFonts w:ascii="Times New Roman" w:cs="Times New Roman" w:eastAsia="Times New Roman" w:hAnsi="Times New Roman"/>
          <w:sz w:val="12"/>
          <w:szCs w:val="12"/>
          <w:color w:val="auto"/>
        </w:rPr>
      </w:pPr>
    </w:p>
    <w:p>
      <w:pPr>
        <w:ind w:left="640" w:right="679" w:firstLine="1003"/>
        <w:spacing w:after="0" w:line="248" w:lineRule="auto"/>
        <w:tabs>
          <w:tab w:leader="none" w:pos="1824"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7" w:name="page88"/>
    <w:bookmarkEnd w:id="87"/>
    <w:p>
      <w:pPr>
        <w:ind w:left="640" w:right="759" w:firstLine="1003"/>
        <w:spacing w:after="0" w:line="286" w:lineRule="auto"/>
        <w:tabs>
          <w:tab w:leader="none" w:pos="1817"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spacing w:after="0" w:line="113"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has been satisfied. Any failure by either Party to provide notice pursuant to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shall not be deemed to be a breach for purposes of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as applicable, unless such failure to provide such notice was made with such Party’s Knowledge that such failure to provide notice would reasonably be expected to constitute a breach of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Additional Agreements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Registration Statement, Proxy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8" w:lineRule="auto"/>
        <w:tabs>
          <w:tab w:leader="none" w:pos="1817"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after the date of this Agreement, Parent, in cooperation with the Company, shall prepare and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in which a proxy statement relating to the Parent Shareholder Meeting to be held in connection with the Merger (together with any amendments thereof or supplements thereto, the “</w:t>
      </w:r>
      <w:r>
        <w:rPr>
          <w:rFonts w:ascii="Times New Roman" w:cs="Times New Roman" w:eastAsia="Times New Roman" w:hAnsi="Times New Roman"/>
          <w:sz w:val="12"/>
          <w:szCs w:val="12"/>
          <w:b w:val="1"/>
          <w:bCs w:val="1"/>
          <w:color w:val="auto"/>
        </w:rPr>
        <w:t>Proxy Statement</w:t>
      </w:r>
      <w:r>
        <w:rPr>
          <w:rFonts w:ascii="Times New Roman" w:cs="Times New Roman" w:eastAsia="Times New Roman" w:hAnsi="Times New Roman"/>
          <w:sz w:val="12"/>
          <w:szCs w:val="12"/>
          <w:color w:val="auto"/>
        </w:rPr>
        <w:t>”) shall be included as a part (the Proxy Statement and the Form S-4, collectively,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connection with the registration under the Securities Act of the shares of Parent Common Stock (including any Parent Common Stock issuable upon (I) conversion of the Parent Convertible Preferred Stock or</w:t>
      </w:r>
    </w:p>
    <w:p>
      <w:pPr>
        <w:ind w:left="640" w:right="659" w:hanging="3"/>
        <w:spacing w:after="0" w:line="243" w:lineRule="auto"/>
        <w:tabs>
          <w:tab w:leader="none" w:pos="84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firstLine="1003"/>
        <w:spacing w:after="0" w:line="268" w:lineRule="auto"/>
        <w:tabs>
          <w:tab w:leader="none" w:pos="1824"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27" w:lineRule="exact"/>
        <w:rPr>
          <w:rFonts w:ascii="Times New Roman" w:cs="Times New Roman" w:eastAsia="Times New Roman" w:hAnsi="Times New Roman"/>
          <w:sz w:val="12"/>
          <w:szCs w:val="12"/>
          <w:color w:val="auto"/>
        </w:rPr>
      </w:pPr>
    </w:p>
    <w:p>
      <w:pPr>
        <w:ind w:left="640" w:right="659" w:firstLine="1003"/>
        <w:spacing w:after="0" w:line="244" w:lineRule="auto"/>
        <w:tabs>
          <w:tab w:leader="none" w:pos="1817"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45" w:lineRule="exact"/>
        <w:rPr>
          <w:rFonts w:ascii="Times New Roman" w:cs="Times New Roman" w:eastAsia="Times New Roman" w:hAnsi="Times New Roman"/>
          <w:sz w:val="13"/>
          <w:szCs w:val="13"/>
          <w:color w:val="auto"/>
        </w:rPr>
      </w:pPr>
    </w:p>
    <w:p>
      <w:pPr>
        <w:ind w:left="640" w:right="839" w:firstLine="1003"/>
        <w:spacing w:after="0" w:line="249" w:lineRule="auto"/>
        <w:tabs>
          <w:tab w:leader="none" w:pos="1824"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cs="Times New Roman" w:eastAsia="Times New Roman" w:hAnsi="Times New Roman"/>
          <w:sz w:val="13"/>
          <w:szCs w:val="13"/>
          <w:b w:val="1"/>
          <w:bCs w:val="1"/>
          <w:color w:val="auto"/>
        </w:rPr>
        <w:t>Company Required S-4 Information</w:t>
      </w:r>
      <w:r>
        <w:rPr>
          <w:rFonts w:ascii="Times New Roman" w:cs="Times New Roman" w:eastAsia="Times New Roman" w:hAnsi="Times New Roman"/>
          <w:sz w:val="13"/>
          <w:szCs w:val="13"/>
          <w:color w:val="auto"/>
        </w:rPr>
        <w:t>”). Without limiting the foregoing, the Company will use commercially reasonable efforts to cause to be delivered to Parent a consent letter of the Company’s independent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9" w:name="page90"/>
    <w:bookmarkEnd w:id="8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has been declared effective under the Securities Act, and in any event no later than two</w:t>
      </w:r>
    </w:p>
    <w:p>
      <w:pPr>
        <w:spacing w:after="0" w:line="26" w:lineRule="exact"/>
        <w:rPr>
          <w:rFonts w:ascii="Times New Roman" w:cs="Times New Roman" w:eastAsia="Times New Roman" w:hAnsi="Times New Roman"/>
          <w:sz w:val="12"/>
          <w:szCs w:val="12"/>
          <w:color w:val="auto"/>
        </w:rPr>
      </w:pPr>
    </w:p>
    <w:p>
      <w:pPr>
        <w:ind w:left="640" w:right="819" w:hanging="3"/>
        <w:spacing w:after="0" w:line="243" w:lineRule="auto"/>
        <w:tabs>
          <w:tab w:leader="none" w:pos="819"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3"/>
          <w:szCs w:val="13"/>
          <w:b w:val="1"/>
          <w:bCs w:val="1"/>
          <w:color w:val="auto"/>
        </w:rPr>
        <w:t>Company Stockholder Written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Consents</w:t>
      </w:r>
      <w:r>
        <w:rPr>
          <w:rFonts w:ascii="Times New Roman" w:cs="Times New Roman" w:eastAsia="Times New Roman" w:hAnsi="Times New Roman"/>
          <w:sz w:val="13"/>
          <w:szCs w:val="13"/>
          <w:color w:val="auto"/>
        </w:rPr>
        <w:t>”). Under no circumstances shall the Company assert that any other approval or consent is necessary by its stockholders to approve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and the Contemplated Transactions.</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50" w:lineRule="auto"/>
        <w:tabs>
          <w:tab w:leader="none" w:pos="1824"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Reasonably promptly following receipt of the Required Company Stockholder Vote, the Company shall prepare and mail a notice (the “</w:t>
      </w:r>
      <w:r>
        <w:rPr>
          <w:rFonts w:ascii="Times New Roman" w:cs="Times New Roman" w:eastAsia="Times New Roman" w:hAnsi="Times New Roman"/>
          <w:sz w:val="13"/>
          <w:szCs w:val="13"/>
          <w:b w:val="1"/>
          <w:bCs w:val="1"/>
          <w:color w:val="auto"/>
        </w:rPr>
        <w:t>Stockholder Notice</w:t>
      </w:r>
      <w:r>
        <w:rPr>
          <w:rFonts w:ascii="Times New Roman" w:cs="Times New Roman" w:eastAsia="Times New Roman" w:hAnsi="Times New Roman"/>
          <w:sz w:val="13"/>
          <w:szCs w:val="13"/>
          <w:color w:val="auto"/>
        </w:rPr>
        <w:t>”) to every stockholder of the Company that did not execute the Company Stockholder Written Consent, if any. The Stockholder Notice shall (i) be a statement to the effect that the Company Board determined that the Merger is advisable in accordance with</w:t>
      </w:r>
    </w:p>
    <w:p>
      <w:pPr>
        <w:ind w:left="640" w:right="69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shall be subject to Parent’s advance review (the period of time starting upon delivery of any such materials to Parent and ending upon resolution of any good faith comments raised by Parent, the “</w:t>
      </w:r>
      <w:r>
        <w:rPr>
          <w:rFonts w:ascii="Times New Roman" w:cs="Times New Roman" w:eastAsia="Times New Roman" w:hAnsi="Times New Roman"/>
          <w:sz w:val="13"/>
          <w:szCs w:val="13"/>
          <w:b w:val="1"/>
          <w:bCs w:val="1"/>
          <w:color w:val="auto"/>
        </w:rPr>
        <w:t>Company Stockholder Consent Review Period</w:t>
      </w:r>
      <w:r>
        <w:rPr>
          <w:rFonts w:ascii="Times New Roman" w:cs="Times New Roman" w:eastAsia="Times New Roman" w:hAnsi="Times New Roman"/>
          <w:sz w:val="13"/>
          <w:szCs w:val="13"/>
          <w:color w:val="auto"/>
        </w:rPr>
        <w:t>”), and the Company shall consider in good faith any comments raised by Parent in connection with Parent’s review.</w:t>
      </w:r>
    </w:p>
    <w:p>
      <w:pPr>
        <w:spacing w:after="0" w:line="141"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17"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subject to </w:t>
      </w:r>
      <w:r>
        <w:rPr>
          <w:rFonts w:ascii="Times New Roman" w:cs="Times New Roman" w:eastAsia="Times New Roman" w:hAnsi="Times New Roman"/>
          <w:sz w:val="13"/>
          <w:szCs w:val="13"/>
          <w:u w:val="single" w:color="auto"/>
          <w:color w:val="auto"/>
        </w:rPr>
        <w:t>Section 6.2(d)</w:t>
      </w:r>
      <w:r>
        <w:rPr>
          <w:rFonts w:ascii="Times New Roman" w:cs="Times New Roman" w:eastAsia="Times New Roman" w:hAnsi="Times New Roman"/>
          <w:sz w:val="13"/>
          <w:szCs w:val="13"/>
          <w:color w:val="auto"/>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(the recommendation of the Company Board that the Company’s stockholders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90" w:name="page91"/>
    <w:bookmarkEnd w:id="90"/>
    <w:p>
      <w:pPr>
        <w:ind w:left="640" w:right="81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vote to adopt and approve this Agreement being referred to as the “</w:t>
      </w:r>
      <w:r>
        <w:rPr>
          <w:rFonts w:ascii="Times New Roman" w:cs="Times New Roman" w:eastAsia="Times New Roman" w:hAnsi="Times New Roman"/>
          <w:sz w:val="13"/>
          <w:szCs w:val="13"/>
          <w:b w:val="1"/>
          <w:bCs w:val="1"/>
          <w:color w:val="auto"/>
        </w:rPr>
        <w:t>Company Board Recommendation</w:t>
      </w:r>
      <w:r>
        <w:rPr>
          <w:rFonts w:ascii="Times New Roman" w:cs="Times New Roman" w:eastAsia="Times New Roman" w:hAnsi="Times New Roman"/>
          <w:sz w:val="13"/>
          <w:szCs w:val="13"/>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spacing w:after="0" w:line="133" w:lineRule="exact"/>
        <w:rPr>
          <w:sz w:val="20"/>
          <w:szCs w:val="20"/>
          <w:color w:val="auto"/>
        </w:rPr>
      </w:pPr>
    </w:p>
    <w:p>
      <w:pPr>
        <w:ind w:left="640" w:right="679" w:firstLine="1003"/>
        <w:spacing w:after="0" w:line="266" w:lineRule="auto"/>
        <w:tabs>
          <w:tab w:leader="none" w:pos="1824"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contained in </w:t>
      </w:r>
      <w:r>
        <w:rPr>
          <w:rFonts w:ascii="Times New Roman" w:cs="Times New Roman" w:eastAsia="Times New Roman" w:hAnsi="Times New Roman"/>
          <w:sz w:val="12"/>
          <w:szCs w:val="12"/>
          <w:u w:val="single" w:color="auto"/>
          <w:color w:val="auto"/>
        </w:rPr>
        <w:t>Section 6.2(c)</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w:t>
      </w:r>
    </w:p>
    <w:p>
      <w:pPr>
        <w:spacing w:after="0" w:line="3" w:lineRule="exact"/>
        <w:rPr>
          <w:rFonts w:ascii="Times New Roman" w:cs="Times New Roman" w:eastAsia="Times New Roman" w:hAnsi="Times New Roman"/>
          <w:sz w:val="12"/>
          <w:szCs w:val="12"/>
          <w:color w:val="auto"/>
        </w:rPr>
      </w:pPr>
    </w:p>
    <w:p>
      <w:pPr>
        <w:ind w:left="640" w:right="659" w:hanging="3"/>
        <w:spacing w:after="0" w:line="264" w:lineRule="auto"/>
        <w:tabs>
          <w:tab w:leader="none" w:pos="819"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cs="Times New Roman" w:eastAsia="Times New Roman" w:hAnsi="Times New Roman"/>
          <w:sz w:val="12"/>
          <w:szCs w:val="12"/>
          <w:b w:val="1"/>
          <w:bCs w:val="1"/>
          <w:color w:val="auto"/>
        </w:rPr>
        <w:t>Company Intervening Event</w:t>
      </w:r>
      <w:r>
        <w:rPr>
          <w:rFonts w:ascii="Times New Roman" w:cs="Times New Roman" w:eastAsia="Times New Roman" w:hAnsi="Times New Roman"/>
          <w:sz w:val="12"/>
          <w:szCs w:val="12"/>
          <w:color w:val="auto"/>
        </w:rPr>
        <w:t>”), the Company Board may withhold, amend, withdraw or modify the Company Board Recommendation (or publicly propose to withhold, amend, withdraw or modify the Company Board Recommendation) in a manner adverse to Parent (collectively, a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Board Adverse Recommendation Change</w:t>
      </w:r>
      <w:r>
        <w:rPr>
          <w:rFonts w:ascii="Times New Roman" w:cs="Times New Roman" w:eastAsia="Times New Roman" w:hAnsi="Times New Roman"/>
          <w:sz w:val="12"/>
          <w:szCs w:val="12"/>
          <w:color w:val="auto"/>
        </w:rPr>
        <w:t>”) if, but only if, (x) in the case of a Superior Offer, following the receipt of and on account of such Superior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Period</w:t>
      </w:r>
      <w:r>
        <w:rPr>
          <w:rFonts w:ascii="Times New Roman" w:cs="Times New Roman" w:eastAsia="Times New Roman" w:hAnsi="Times New Roman"/>
          <w:sz w:val="12"/>
          <w:szCs w:val="12"/>
          <w:color w:val="auto"/>
        </w:rPr>
        <w:t>”), which notice shall include a description in reasonable detail of the reasons for such Company Board Adverse Recommendation Change,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6.2(d)</w:t>
      </w:r>
      <w:r>
        <w:rPr>
          <w:rFonts w:ascii="Times New Roman" w:cs="Times New Roman" w:eastAsia="Times New Roman" w:hAnsi="Times New Roman"/>
          <w:sz w:val="12"/>
          <w:szCs w:val="12"/>
          <w:color w:val="auto"/>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29" w:right="1440" w:bottom="1440" w:gutter="0" w:footer="0" w:header="0"/>
        </w:sectPr>
      </w:pPr>
    </w:p>
    <w:bookmarkStart w:id="91" w:name="page92"/>
    <w:bookmarkEnd w:id="91"/>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spacing w:after="0" w:line="134" w:lineRule="exact"/>
        <w:rPr>
          <w:sz w:val="20"/>
          <w:szCs w:val="20"/>
          <w:color w:val="auto"/>
        </w:rPr>
      </w:pPr>
    </w:p>
    <w:p>
      <w:pPr>
        <w:jc w:val="both"/>
        <w:ind w:left="640" w:right="1079" w:firstLine="1003"/>
        <w:spacing w:after="0" w:line="251" w:lineRule="auto"/>
        <w:tabs>
          <w:tab w:leader="none" w:pos="1817"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Parent Shareholder Meeting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cs="Times New Roman" w:eastAsia="Times New Roman" w:hAnsi="Times New Roman"/>
          <w:sz w:val="13"/>
          <w:szCs w:val="13"/>
          <w:b w:val="1"/>
          <w:bCs w:val="1"/>
          <w:color w:val="auto"/>
        </w:rPr>
        <w:t>Parent Shareholder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Matters</w:t>
      </w:r>
      <w:r>
        <w:rPr>
          <w:rFonts w:ascii="Times New Roman" w:cs="Times New Roman" w:eastAsia="Times New Roman" w:hAnsi="Times New Roman"/>
          <w:sz w:val="13"/>
          <w:szCs w:val="13"/>
          <w:color w:val="auto"/>
        </w:rPr>
        <w:t>” and such meeting, the “</w:t>
      </w:r>
      <w:r>
        <w:rPr>
          <w:rFonts w:ascii="Times New Roman" w:cs="Times New Roman" w:eastAsia="Times New Roman" w:hAnsi="Times New Roman"/>
          <w:sz w:val="13"/>
          <w:szCs w:val="13"/>
          <w:b w:val="1"/>
          <w:bCs w:val="1"/>
          <w:color w:val="auto"/>
        </w:rPr>
        <w:t>Parent Shareholder Meeting</w:t>
      </w:r>
      <w:r>
        <w:rPr>
          <w:rFonts w:ascii="Times New Roman" w:cs="Times New Roman" w:eastAsia="Times New Roman" w:hAnsi="Times New Roman"/>
          <w:sz w:val="13"/>
          <w:szCs w:val="13"/>
          <w:color w:val="auto"/>
        </w:rPr>
        <w:t>”). The Parent Shareholder Meeting shall be held as promptly as practicable after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w:t>
      </w:r>
    </w:p>
    <w:p>
      <w:pPr>
        <w:spacing w:after="0" w:line="136" w:lineRule="exact"/>
        <w:rPr>
          <w:rFonts w:ascii="Times New Roman" w:cs="Times New Roman" w:eastAsia="Times New Roman" w:hAnsi="Times New Roman"/>
          <w:sz w:val="13"/>
          <w:szCs w:val="13"/>
          <w:color w:val="auto"/>
        </w:rPr>
      </w:pPr>
    </w:p>
    <w:p>
      <w:pPr>
        <w:jc w:val="both"/>
        <w:ind w:left="640" w:right="859" w:firstLine="1003"/>
        <w:spacing w:after="0" w:line="274" w:lineRule="auto"/>
        <w:tabs>
          <w:tab w:leader="none" w:pos="1824"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above and</w:t>
      </w:r>
    </w:p>
    <w:p>
      <w:pPr>
        <w:spacing w:after="0" w:line="1"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26"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Proxy Statement shall include a statement to the effect that the Parent Board recommends that Parent’s shareholders vote to approve the Parent Shareholder Matters (the recommendation of the Parent Board being referred to as the “</w:t>
      </w:r>
      <w:r>
        <w:rPr>
          <w:rFonts w:ascii="Times New Roman" w:cs="Times New Roman" w:eastAsia="Times New Roman" w:hAnsi="Times New Roman"/>
          <w:sz w:val="13"/>
          <w:szCs w:val="13"/>
          <w:b w:val="1"/>
          <w:bCs w:val="1"/>
          <w:color w:val="auto"/>
        </w:rPr>
        <w:t>Parent Board Recommendation</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Section 6.3(b), and subject to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w:t>
      </w:r>
    </w:p>
    <w:p>
      <w:pPr>
        <w:spacing w:after="0" w:line="15" w:lineRule="exact"/>
        <w:rPr>
          <w:sz w:val="20"/>
          <w:szCs w:val="20"/>
          <w:color w:val="auto"/>
        </w:rPr>
      </w:pPr>
    </w:p>
    <w:p>
      <w:pPr>
        <w:ind w:left="640" w:right="69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the Parent Board may withhold, amend, withdraw or modify the Parent Board Recommendation (or publicly propose to withhold, amend, withdraw or modify the Parent Board Recommendation) in a manner adverse to the Company (a “</w:t>
      </w:r>
      <w:r>
        <w:rPr>
          <w:rFonts w:ascii="Times New Roman" w:cs="Times New Roman" w:eastAsia="Times New Roman" w:hAnsi="Times New Roman"/>
          <w:sz w:val="13"/>
          <w:szCs w:val="13"/>
          <w:b w:val="1"/>
          <w:bCs w:val="1"/>
          <w:color w:val="auto"/>
        </w:rPr>
        <w:t>Parent Board Adverse Recommendation Change</w:t>
      </w:r>
      <w:r>
        <w:rPr>
          <w:rFonts w:ascii="Times New Roman" w:cs="Times New Roman" w:eastAsia="Times New Roman" w:hAnsi="Times New Roman"/>
          <w:sz w:val="13"/>
          <w:szCs w:val="13"/>
          <w:color w:val="auto"/>
        </w:rPr>
        <w:t>”) if, at any time prior to approval and adoption of this Agreement by the Required Parent Shareholder Vote, (i) Parent receives a bona fide written Acquisition Proposal that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92" w:name="page93"/>
    <w:bookmarkEnd w:id="92"/>
    <w:p>
      <w:pPr>
        <w:ind w:left="640" w:right="73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if, but only if,</w:t>
      </w:r>
    </w:p>
    <w:p>
      <w:pPr>
        <w:spacing w:after="0" w:line="1" w:lineRule="exact"/>
        <w:rPr>
          <w:sz w:val="20"/>
          <w:szCs w:val="20"/>
          <w:color w:val="auto"/>
        </w:rPr>
      </w:pPr>
    </w:p>
    <w:p>
      <w:pPr>
        <w:ind w:left="640" w:right="679" w:hanging="3"/>
        <w:spacing w:after="0" w:line="263" w:lineRule="auto"/>
        <w:tabs>
          <w:tab w:leader="none" w:pos="819"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cs="Times New Roman" w:eastAsia="Times New Roman" w:hAnsi="Times New Roman"/>
          <w:sz w:val="12"/>
          <w:szCs w:val="12"/>
          <w:b w:val="1"/>
          <w:bCs w:val="1"/>
          <w:color w:val="auto"/>
        </w:rPr>
        <w:t>Parent Notice Period</w:t>
      </w:r>
      <w:r>
        <w:rPr>
          <w:rFonts w:ascii="Times New Roman" w:cs="Times New Roman" w:eastAsia="Times New Roman" w:hAnsi="Times New Roman"/>
          <w:sz w:val="12"/>
          <w:szCs w:val="12"/>
          <w:color w:val="auto"/>
        </w:rPr>
        <w:t>”), which notice shall include a description in reasonable detail of the reasons for such Parent Board Adverse Recommendation Change, and written copies of any relevant proposed transaction agreements with any party making a potential Superior Offer,</w:t>
      </w:r>
    </w:p>
    <w:p>
      <w:pPr>
        <w:spacing w:after="0" w:line="4" w:lineRule="exact"/>
        <w:rPr>
          <w:rFonts w:ascii="Times New Roman" w:cs="Times New Roman" w:eastAsia="Times New Roman" w:hAnsi="Times New Roman"/>
          <w:sz w:val="12"/>
          <w:szCs w:val="12"/>
          <w:color w:val="auto"/>
        </w:rPr>
      </w:pPr>
    </w:p>
    <w:p>
      <w:pPr>
        <w:ind w:left="640" w:right="659"/>
        <w:spacing w:after="0" w:line="26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spacing w:after="0" w:line="124" w:lineRule="exact"/>
        <w:rPr>
          <w:rFonts w:ascii="Times New Roman" w:cs="Times New Roman" w:eastAsia="Times New Roman" w:hAnsi="Times New Roman"/>
          <w:sz w:val="12"/>
          <w:szCs w:val="12"/>
          <w:color w:val="auto"/>
        </w:rPr>
      </w:pPr>
    </w:p>
    <w:p>
      <w:pPr>
        <w:ind w:left="640" w:right="699" w:firstLine="1003"/>
        <w:spacing w:after="0" w:line="255" w:lineRule="auto"/>
        <w:tabs>
          <w:tab w:leader="none" w:pos="1824" w:val="left"/>
        </w:tabs>
        <w:numPr>
          <w:ilvl w:val="1"/>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Parent’s obligation to call, give notice of and hold the Parent Shareholder Meeting in accordance with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Acquisition Proposal or Acquisition Inquiry, or by any Parent Board Adverse Recommendation Change.</w:t>
      </w:r>
    </w:p>
    <w:p>
      <w:pPr>
        <w:spacing w:after="0" w:line="130" w:lineRule="exact"/>
        <w:rPr>
          <w:rFonts w:ascii="Times New Roman" w:cs="Times New Roman" w:eastAsia="Times New Roman" w:hAnsi="Times New Roman"/>
          <w:sz w:val="13"/>
          <w:szCs w:val="13"/>
          <w:color w:val="auto"/>
        </w:rPr>
      </w:pPr>
    </w:p>
    <w:p>
      <w:pPr>
        <w:jc w:val="both"/>
        <w:ind w:left="640" w:right="659" w:firstLine="1003"/>
        <w:spacing w:after="0" w:line="251" w:lineRule="auto"/>
        <w:tabs>
          <w:tab w:leader="none" w:pos="1817" w:val="left"/>
        </w:tabs>
        <w:numPr>
          <w:ilvl w:val="1"/>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Parent or the Parent Board from (i) complying with Rules 14d-9 and 14e-2(a) promulgated under the Exchange 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93" w:name="page94"/>
    <w:bookmarkEnd w:id="93"/>
    <w:p>
      <w:pPr>
        <w:ind w:left="640" w:right="111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or</w:t>
      </w:r>
    </w:p>
    <w:p>
      <w:pPr>
        <w:spacing w:after="0" w:line="1" w:lineRule="exact"/>
        <w:rPr>
          <w:sz w:val="20"/>
          <w:szCs w:val="20"/>
          <w:color w:val="auto"/>
        </w:rPr>
      </w:pPr>
    </w:p>
    <w:p>
      <w:pPr>
        <w:ind w:left="640" w:right="719" w:hanging="3"/>
        <w:spacing w:after="0" w:line="244" w:lineRule="auto"/>
        <w:tabs>
          <w:tab w:leader="none" w:pos="854"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u w:val="single" w:color="auto"/>
          <w:color w:val="auto"/>
        </w:rPr>
        <w:t>Efforts; Regulatory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1003"/>
        <w:spacing w:after="0" w:line="271" w:lineRule="auto"/>
        <w:tabs>
          <w:tab w:leader="none" w:pos="1817"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w:t>
      </w:r>
    </w:p>
    <w:p>
      <w:pPr>
        <w:ind w:left="640" w:right="679" w:hanging="3"/>
        <w:spacing w:after="0" w:line="244" w:lineRule="auto"/>
        <w:tabs>
          <w:tab w:leader="none" w:pos="826"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37"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cs="Times New Roman" w:eastAsia="Times New Roman" w:hAnsi="Times New Roman"/>
          <w:sz w:val="13"/>
          <w:szCs w:val="13"/>
          <w:b w:val="1"/>
          <w:bCs w:val="1"/>
          <w:color w:val="auto"/>
        </w:rPr>
        <w:t>Antitrust Fees</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679" w:firstLine="1003"/>
        <w:spacing w:after="0" w:line="269" w:lineRule="auto"/>
        <w:tabs>
          <w:tab w:leader="none" w:pos="1817"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4" w:name="page95"/>
    <w:bookmarkEnd w:id="9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Company Options; Company RSUs; Company Warrants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cs="Times New Roman" w:eastAsia="Times New Roman" w:hAnsi="Times New Roman"/>
          <w:sz w:val="12"/>
          <w:szCs w:val="12"/>
          <w:b w:val="1"/>
          <w:bCs w:val="1"/>
          <w:color w:val="auto"/>
        </w:rPr>
        <w:t>Assumed Option</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280" w:lineRule="exact"/>
        <w:rPr>
          <w:rFonts w:ascii="Times New Roman" w:cs="Times New Roman" w:eastAsia="Times New Roman" w:hAnsi="Times New Roman"/>
          <w:sz w:val="12"/>
          <w:szCs w:val="12"/>
          <w:color w:val="auto"/>
        </w:rPr>
      </w:pPr>
    </w:p>
    <w:p>
      <w:pPr>
        <w:ind w:left="640" w:right="659" w:firstLine="1003"/>
        <w:spacing w:after="0" w:line="266" w:lineRule="auto"/>
        <w:tabs>
          <w:tab w:leader="none" w:pos="1824"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cs="Times New Roman" w:eastAsia="Times New Roman" w:hAnsi="Times New Roman"/>
          <w:sz w:val="12"/>
          <w:szCs w:val="12"/>
          <w:b w:val="1"/>
          <w:bCs w:val="1"/>
          <w:color w:val="auto"/>
        </w:rPr>
        <w:t>Assumed RSU Award</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w:t>
      </w:r>
    </w:p>
    <w:p>
      <w:pPr>
        <w:spacing w:after="0" w:line="2"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26"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Exchange Ratio, rounded down, if necessary, to the nearest whole share of Parent Common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5" w:name="page96"/>
    <w:bookmarkEnd w:id="95"/>
    <w:p>
      <w:pPr>
        <w:ind w:left="640" w:right="719" w:firstLine="1003"/>
        <w:spacing w:after="0" w:line="267" w:lineRule="auto"/>
        <w:tabs>
          <w:tab w:leader="none" w:pos="1817"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cs="Times New Roman" w:eastAsia="Times New Roman" w:hAnsi="Times New Roman"/>
          <w:sz w:val="12"/>
          <w:szCs w:val="12"/>
          <w:b w:val="1"/>
          <w:bCs w:val="1"/>
          <w:color w:val="auto"/>
        </w:rPr>
        <w:t>Assumed Warrant</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 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86" w:lineRule="auto"/>
        <w:tabs>
          <w:tab w:leader="none" w:pos="181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shall comply with the terms of any employment, severance, retention, change of control, or similar agreement specified on </w:t>
      </w:r>
      <w:r>
        <w:rPr>
          <w:rFonts w:ascii="Times New Roman" w:cs="Times New Roman" w:eastAsia="Times New Roman" w:hAnsi="Times New Roman"/>
          <w:sz w:val="12"/>
          <w:szCs w:val="12"/>
          <w:u w:val="single" w:color="auto"/>
          <w:color w:val="auto"/>
        </w:rPr>
        <w:t>Section 4.17(d)</w:t>
      </w:r>
      <w:r>
        <w:rPr>
          <w:rFonts w:ascii="Times New Roman" w:cs="Times New Roman" w:eastAsia="Times New Roman" w:hAnsi="Times New Roman"/>
          <w:sz w:val="12"/>
          <w:szCs w:val="12"/>
          <w:color w:val="auto"/>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67" w:lineRule="auto"/>
        <w:tabs>
          <w:tab w:leader="none" w:pos="182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First Effective Time, with respect to each benefit plan maintained by Parent or the Surviving Entity that is an “employee welfare benefit plan” as defined in Section 3(1) of ERISA (each, a “</w:t>
      </w:r>
      <w:r>
        <w:rPr>
          <w:rFonts w:ascii="Times New Roman" w:cs="Times New Roman" w:eastAsia="Times New Roman" w:hAnsi="Times New Roman"/>
          <w:sz w:val="12"/>
          <w:szCs w:val="12"/>
          <w:b w:val="1"/>
          <w:bCs w:val="1"/>
          <w:color w:val="auto"/>
        </w:rPr>
        <w:t>Post-Closing Welfare Plan</w:t>
      </w:r>
      <w:r>
        <w:rPr>
          <w:rFonts w:ascii="Times New Roman" w:cs="Times New Roman" w:eastAsia="Times New Roman" w:hAnsi="Times New Roman"/>
          <w:sz w:val="12"/>
          <w:szCs w:val="12"/>
          <w:color w:val="auto"/>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spacing w:after="0" w:line="129" w:lineRule="exact"/>
        <w:rPr>
          <w:rFonts w:ascii="Times New Roman" w:cs="Times New Roman" w:eastAsia="Times New Roman" w:hAnsi="Times New Roman"/>
          <w:sz w:val="12"/>
          <w:szCs w:val="12"/>
          <w:color w:val="auto"/>
        </w:rPr>
      </w:pPr>
    </w:p>
    <w:p>
      <w:pPr>
        <w:ind w:left="640" w:right="679" w:firstLine="1003"/>
        <w:spacing w:after="0" w:line="275" w:lineRule="auto"/>
        <w:tabs>
          <w:tab w:leader="none" w:pos="181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Parent 401(k) Plan</w:t>
      </w:r>
      <w:r>
        <w:rPr>
          <w:rFonts w:ascii="Times New Roman" w:cs="Times New Roman" w:eastAsia="Times New Roman" w:hAnsi="Times New Roman"/>
          <w:sz w:val="12"/>
          <w:szCs w:val="12"/>
          <w:color w:val="auto"/>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cs="Times New Roman" w:eastAsia="Times New Roman" w:hAnsi="Times New Roman"/>
          <w:sz w:val="12"/>
          <w:szCs w:val="12"/>
          <w:b w:val="1"/>
          <w:bCs w:val="1"/>
          <w:color w:val="auto"/>
        </w:rPr>
        <w:t>401(k) Plans</w:t>
      </w:r>
      <w:r>
        <w:rPr>
          <w:rFonts w:ascii="Times New Roman" w:cs="Times New Roman" w:eastAsia="Times New Roman" w:hAnsi="Times New Roman"/>
          <w:sz w:val="12"/>
          <w:szCs w:val="12"/>
          <w:color w:val="auto"/>
        </w:rPr>
        <w:t>”) in compliance with such 401(k) Plan’s terms and the requirements of applicable Law, (ii) made all employee and employer contributions to the 401(k) Plans for all periods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6" w:name="page97"/>
    <w:bookmarkEnd w:id="96"/>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spacing w:after="0" w:line="134" w:lineRule="exact"/>
        <w:rPr>
          <w:sz w:val="20"/>
          <w:szCs w:val="20"/>
          <w:color w:val="auto"/>
        </w:rPr>
      </w:pPr>
    </w:p>
    <w:p>
      <w:pPr>
        <w:ind w:left="640" w:right="679" w:firstLine="1003"/>
        <w:spacing w:after="0" w:line="268" w:lineRule="auto"/>
        <w:tabs>
          <w:tab w:leader="none" w:pos="1824"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Parent Options</w:t>
      </w:r>
      <w:r>
        <w:rPr>
          <w:rFonts w:ascii="Times New Roman" w:cs="Times New Roman" w:eastAsia="Times New Roman" w:hAnsi="Times New Roman"/>
          <w:sz w:val="12"/>
          <w:szCs w:val="12"/>
          <w:color w:val="auto"/>
        </w:rPr>
        <w:t>.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Parent Common Stock underlying such Parent Option by</w:t>
      </w:r>
    </w:p>
    <w:p>
      <w:pPr>
        <w:ind w:left="640" w:right="699" w:hanging="3"/>
        <w:spacing w:after="0" w:line="244" w:lineRule="auto"/>
        <w:tabs>
          <w:tab w:leader="none" w:pos="8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the Parent Common Stock underlying such Parent Option (such amount, the “</w:t>
      </w:r>
      <w:r>
        <w:rPr>
          <w:rFonts w:ascii="Times New Roman" w:cs="Times New Roman" w:eastAsia="Times New Roman" w:hAnsi="Times New Roman"/>
          <w:sz w:val="13"/>
          <w:szCs w:val="13"/>
          <w:b w:val="1"/>
          <w:bCs w:val="1"/>
          <w:color w:val="auto"/>
        </w:rPr>
        <w:t>Parent Stock Option Cash Consideration</w:t>
      </w:r>
      <w:r>
        <w:rPr>
          <w:rFonts w:ascii="Times New Roman" w:cs="Times New Roman" w:eastAsia="Times New Roman" w:hAnsi="Times New Roman"/>
          <w:sz w:val="13"/>
          <w:szCs w:val="13"/>
          <w:color w:val="auto"/>
        </w:rPr>
        <w:t>”).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spacing w:after="0" w:line="136" w:lineRule="exact"/>
        <w:rPr>
          <w:rFonts w:ascii="Times New Roman" w:cs="Times New Roman" w:eastAsia="Times New Roman" w:hAnsi="Times New Roman"/>
          <w:sz w:val="13"/>
          <w:szCs w:val="13"/>
          <w:color w:val="auto"/>
        </w:rPr>
      </w:pPr>
    </w:p>
    <w:p>
      <w:pPr>
        <w:ind w:left="640" w:right="779" w:firstLine="1003"/>
        <w:spacing w:after="0" w:line="246" w:lineRule="auto"/>
        <w:tabs>
          <w:tab w:leader="none" w:pos="1817"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Parent Restricted Stock Awards</w:t>
      </w:r>
      <w:r>
        <w:rPr>
          <w:rFonts w:ascii="Times New Roman" w:cs="Times New Roman" w:eastAsia="Times New Roman" w:hAnsi="Times New Roman"/>
          <w:sz w:val="13"/>
          <w:szCs w:val="13"/>
          <w:color w:val="auto"/>
        </w:rPr>
        <w:t>.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8" w:lineRule="auto"/>
        <w:tabs>
          <w:tab w:leader="none" w:pos="1817"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cs="Times New Roman" w:eastAsia="Times New Roman" w:hAnsi="Times New Roman"/>
          <w:sz w:val="12"/>
          <w:szCs w:val="12"/>
          <w:b w:val="1"/>
          <w:bCs w:val="1"/>
          <w:color w:val="auto"/>
        </w:rPr>
        <w:t>D&amp;O Indemnified Parties</w:t>
      </w:r>
      <w:r>
        <w:rPr>
          <w:rFonts w:ascii="Times New Roman" w:cs="Times New Roman" w:eastAsia="Times New Roman" w:hAnsi="Times New Roman"/>
          <w:sz w:val="12"/>
          <w:szCs w:val="12"/>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2"/>
          <w:szCs w:val="12"/>
          <w:b w:val="1"/>
          <w:bCs w:val="1"/>
          <w:color w:val="auto"/>
        </w:rPr>
        <w:t>Costs</w:t>
      </w:r>
      <w:r>
        <w:rPr>
          <w:rFonts w:ascii="Times New Roman" w:cs="Times New Roman" w:eastAsia="Times New Roman" w:hAnsi="Times New Roman"/>
          <w:sz w:val="12"/>
          <w:szCs w:val="12"/>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person to whom expenses are advanced provides an undertaking to Parent, to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7" w:name="page98"/>
    <w:bookmarkEnd w:id="97"/>
    <w:p>
      <w:pPr>
        <w:jc w:val="both"/>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w:t>
      </w:r>
    </w:p>
    <w:p>
      <w:pPr>
        <w:spacing w:after="0" w:line="113" w:lineRule="exact"/>
        <w:rPr>
          <w:sz w:val="20"/>
          <w:szCs w:val="20"/>
          <w:color w:val="auto"/>
        </w:rPr>
      </w:pPr>
    </w:p>
    <w:p>
      <w:pPr>
        <w:ind w:left="640" w:right="679" w:firstLine="1003"/>
        <w:spacing w:after="0" w:line="255" w:lineRule="auto"/>
        <w:tabs>
          <w:tab w:leader="none" w:pos="182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47" w:lineRule="auto"/>
        <w:tabs>
          <w:tab w:leader="none" w:pos="1817"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w:t>
      </w:r>
    </w:p>
    <w:p>
      <w:pPr>
        <w:spacing w:after="0" w:line="129"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17"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First Effective Time, Parent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55" w:lineRule="auto"/>
        <w:tabs>
          <w:tab w:leader="none" w:pos="1803"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Parent shall cause the Surviving Entity to perform all of the obligations of the Surviving Entity under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8" w:name="page99"/>
    <w:bookmarkEnd w:id="98"/>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6.8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6.2(d)</w:t>
      </w:r>
      <w:r>
        <w:rPr>
          <w:rFonts w:ascii="Times New Roman" w:cs="Times New Roman" w:eastAsia="Times New Roman" w:hAnsi="Times New Roman"/>
          <w:sz w:val="12"/>
          <w:szCs w:val="12"/>
          <w:color w:val="auto"/>
        </w:rPr>
        <w:t xml:space="preserve"> or pursuant to</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6.9 </w:t>
      </w: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w:t>
      </w:r>
    </w:p>
    <w:p>
      <w:pPr>
        <w:spacing w:after="0" w:line="2" w:lineRule="exact"/>
        <w:rPr>
          <w:sz w:val="20"/>
          <w:szCs w:val="20"/>
          <w:color w:val="auto"/>
        </w:rPr>
      </w:pPr>
    </w:p>
    <w:p>
      <w:pPr>
        <w:ind w:left="640" w:right="679" w:hanging="3"/>
        <w:spacing w:after="0" w:line="243" w:lineRule="auto"/>
        <w:tabs>
          <w:tab w:leader="none" w:pos="819"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cs="Times New Roman" w:eastAsia="Times New Roman" w:hAnsi="Times New Roman"/>
          <w:sz w:val="13"/>
          <w:szCs w:val="13"/>
          <w:b w:val="1"/>
          <w:bCs w:val="1"/>
          <w:color w:val="auto"/>
        </w:rPr>
        <w:t>Nasdaq Listing Application</w:t>
      </w:r>
      <w:r>
        <w:rPr>
          <w:rFonts w:ascii="Times New Roman" w:cs="Times New Roman" w:eastAsia="Times New Roman" w:hAnsi="Times New Roman"/>
          <w:sz w:val="13"/>
          <w:szCs w:val="13"/>
          <w:color w:val="auto"/>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The Company and Parent shall each pay 50% of Nasdaq fees associated with any action contemplated by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including any fees related to the engagement of a consultant (the “</w:t>
      </w:r>
      <w:r>
        <w:rPr>
          <w:rFonts w:ascii="Times New Roman" w:cs="Times New Roman" w:eastAsia="Times New Roman" w:hAnsi="Times New Roman"/>
          <w:sz w:val="13"/>
          <w:szCs w:val="13"/>
          <w:b w:val="1"/>
          <w:bCs w:val="1"/>
          <w:color w:val="auto"/>
        </w:rPr>
        <w:t>Nasdaq Fees</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1003"/>
        <w:spacing w:after="0" w:line="255" w:lineRule="auto"/>
        <w:tabs>
          <w:tab w:leader="none" w:pos="1815"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w:t>
      </w:r>
    </w:p>
    <w:p>
      <w:pPr>
        <w:spacing w:after="0" w:line="116" w:lineRule="exact"/>
        <w:rPr>
          <w:sz w:val="20"/>
          <w:szCs w:val="20"/>
          <w:color w:val="auto"/>
        </w:rPr>
      </w:pPr>
    </w:p>
    <w:p>
      <w:pPr>
        <w:ind w:left="640" w:right="699" w:firstLine="1003"/>
        <w:spacing w:after="0" w:line="251"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5"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 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Each of Parent and the Company shall use its reasonable best efforts not to take or cause to be taken any action that would cause to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untrue (or fail to take or cause not to be taken any action which would cause to be untrue) any of the Tax certifications, covenants or representations included in the Tax Certificates.</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35"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6.11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6.12 </w:t>
      </w:r>
      <w:r>
        <w:rPr>
          <w:rFonts w:ascii="Times New Roman" w:cs="Times New Roman" w:eastAsia="Times New Roman" w:hAnsi="Times New Roman"/>
          <w:sz w:val="13"/>
          <w:szCs w:val="13"/>
          <w:u w:val="single" w:color="auto"/>
          <w:color w:val="auto"/>
        </w:rPr>
        <w:t>Officers and Directors</w:t>
      </w:r>
      <w:r>
        <w:rPr>
          <w:rFonts w:ascii="Times New Roman" w:cs="Times New Roman" w:eastAsia="Times New Roman" w:hAnsi="Times New Roman"/>
          <w:sz w:val="13"/>
          <w:szCs w:val="13"/>
          <w:color w:val="auto"/>
        </w:rPr>
        <w:t xml:space="preserve">. Until successors are duly elected or appointed and qualified in accordance with applicable Law, the Parties shall take all necessary action so that the Persons listed on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spacing w:after="0" w:line="139"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6.13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cs="Times New Roman" w:eastAsia="Times New Roman" w:hAnsi="Times New Roman"/>
          <w:sz w:val="13"/>
          <w:szCs w:val="13"/>
          <w:b w:val="1"/>
          <w:bCs w:val="1"/>
          <w:color w:val="auto"/>
        </w:rPr>
        <w:t>Investor Agreements</w:t>
      </w:r>
      <w:r>
        <w:rPr>
          <w:rFonts w:ascii="Times New Roman" w:cs="Times New Roman" w:eastAsia="Times New Roman" w:hAnsi="Times New Roman"/>
          <w:sz w:val="13"/>
          <w:szCs w:val="13"/>
          <w:color w:val="auto"/>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spacing w:after="0" w:line="134"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6.14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33" w:lineRule="exact"/>
        <w:rPr>
          <w:sz w:val="20"/>
          <w:szCs w:val="20"/>
          <w:color w:val="auto"/>
        </w:rPr>
      </w:pPr>
    </w:p>
    <w:p>
      <w:pPr>
        <w:ind w:left="640" w:right="1079" w:firstLine="696"/>
        <w:spacing w:after="0" w:line="274" w:lineRule="auto"/>
        <w:rPr>
          <w:sz w:val="20"/>
          <w:szCs w:val="20"/>
          <w:color w:val="auto"/>
        </w:rPr>
      </w:pPr>
      <w:r>
        <w:rPr>
          <w:rFonts w:ascii="Times New Roman" w:cs="Times New Roman" w:eastAsia="Times New Roman" w:hAnsi="Times New Roman"/>
          <w:sz w:val="12"/>
          <w:szCs w:val="12"/>
          <w:color w:val="auto"/>
        </w:rPr>
        <w:t xml:space="preserve">6.15 </w:t>
      </w:r>
      <w:r>
        <w:rPr>
          <w:rFonts w:ascii="Times New Roman" w:cs="Times New Roman" w:eastAsia="Times New Roman" w:hAnsi="Times New Roman"/>
          <w:sz w:val="12"/>
          <w:szCs w:val="12"/>
          <w:u w:val="single" w:color="auto"/>
          <w:color w:val="auto"/>
        </w:rPr>
        <w:t>Allocation Information</w:t>
      </w:r>
      <w:r>
        <w:rPr>
          <w:rFonts w:ascii="Times New Roman" w:cs="Times New Roman" w:eastAsia="Times New Roman" w:hAnsi="Times New Roman"/>
          <w:sz w:val="12"/>
          <w:szCs w:val="12"/>
          <w:color w:val="auto"/>
        </w:rPr>
        <w:t>. The Company will prepare and deliver to Parent prior to the Closing a spreadsheet setting forth (as of immediately prior to the First Effective Time) (a) each holder of (i) Company Capital Stock, (ii) Company Options, (iii) Company RSUs, and</w:t>
      </w:r>
    </w:p>
    <w:p>
      <w:pPr>
        <w:spacing w:after="0" w:line="1" w:lineRule="exact"/>
        <w:rPr>
          <w:sz w:val="20"/>
          <w:szCs w:val="20"/>
          <w:color w:val="auto"/>
        </w:rPr>
      </w:pPr>
    </w:p>
    <w:p>
      <w:pPr>
        <w:ind w:left="640" w:right="779" w:hanging="3"/>
        <w:spacing w:after="0" w:line="244" w:lineRule="auto"/>
        <w:tabs>
          <w:tab w:leader="none" w:pos="85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cs="Times New Roman" w:eastAsia="Times New Roman" w:hAnsi="Times New Roman"/>
          <w:sz w:val="13"/>
          <w:szCs w:val="13"/>
          <w:b w:val="1"/>
          <w:bCs w:val="1"/>
          <w:color w:val="auto"/>
        </w:rPr>
        <w:t>Allocation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 xml:space="preserve">6.16 </w:t>
      </w:r>
      <w:r>
        <w:rPr>
          <w:rFonts w:ascii="Times New Roman" w:cs="Times New Roman" w:eastAsia="Times New Roman" w:hAnsi="Times New Roman"/>
          <w:sz w:val="13"/>
          <w:szCs w:val="13"/>
          <w:u w:val="single" w:color="auto"/>
          <w:color w:val="auto"/>
        </w:rPr>
        <w:t>Parent SEC Documents</w:t>
      </w:r>
      <w:r>
        <w:rPr>
          <w:rFonts w:ascii="Times New Roman" w:cs="Times New Roman" w:eastAsia="Times New Roman" w:hAnsi="Times New Roman"/>
          <w:sz w:val="13"/>
          <w:szCs w:val="13"/>
          <w:color w:val="auto"/>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cs="Times New Roman" w:eastAsia="Times New Roman" w:hAnsi="Times New Roman"/>
          <w:sz w:val="13"/>
          <w:szCs w:val="13"/>
          <w:b w:val="1"/>
          <w:bCs w:val="1"/>
          <w:color w:val="auto"/>
        </w:rPr>
        <w:t>SEC Documents</w:t>
      </w:r>
      <w:r>
        <w:rPr>
          <w:rFonts w:ascii="Times New Roman" w:cs="Times New Roman" w:eastAsia="Times New Roman" w:hAnsi="Times New Roman"/>
          <w:sz w:val="13"/>
          <w:szCs w:val="13"/>
          <w:color w:val="auto"/>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36"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6.17 </w:t>
      </w:r>
      <w:r>
        <w:rPr>
          <w:rFonts w:ascii="Times New Roman" w:cs="Times New Roman" w:eastAsia="Times New Roman" w:hAnsi="Times New Roman"/>
          <w:sz w:val="13"/>
          <w:szCs w:val="13"/>
          <w:u w:val="single" w:color="auto"/>
          <w:color w:val="auto"/>
        </w:rPr>
        <w:t>Obligations of Merger Subs</w:t>
      </w:r>
      <w:r>
        <w:rPr>
          <w:rFonts w:ascii="Times New Roman" w:cs="Times New Roman" w:eastAsia="Times New Roman" w:hAnsi="Times New Roman"/>
          <w:sz w:val="13"/>
          <w:szCs w:val="13"/>
          <w:color w:val="auto"/>
        </w:rPr>
        <w:t>. Parent will take all action necessary to cause each Merger Sub to perform its obligations under this Agreement and to consummate the Merger on the terms and conditions set forth in this Agreement.</w:t>
      </w:r>
    </w:p>
    <w:p>
      <w:pPr>
        <w:spacing w:after="0" w:line="122" w:lineRule="exact"/>
        <w:rPr>
          <w:sz w:val="20"/>
          <w:szCs w:val="20"/>
          <w:color w:val="auto"/>
        </w:rPr>
      </w:pPr>
    </w:p>
    <w:p>
      <w:pPr>
        <w:ind w:left="640" w:right="739" w:firstLine="696"/>
        <w:spacing w:after="0" w:line="286" w:lineRule="auto"/>
        <w:rPr>
          <w:sz w:val="20"/>
          <w:szCs w:val="20"/>
          <w:color w:val="auto"/>
        </w:rPr>
      </w:pPr>
      <w:r>
        <w:rPr>
          <w:rFonts w:ascii="Times New Roman" w:cs="Times New Roman" w:eastAsia="Times New Roman" w:hAnsi="Times New Roman"/>
          <w:sz w:val="12"/>
          <w:szCs w:val="12"/>
          <w:color w:val="auto"/>
        </w:rPr>
        <w:t xml:space="preserve">6.18 </w:t>
      </w:r>
      <w:r>
        <w:rPr>
          <w:rFonts w:ascii="Times New Roman" w:cs="Times New Roman" w:eastAsia="Times New Roman" w:hAnsi="Times New Roman"/>
          <w:sz w:val="12"/>
          <w:szCs w:val="12"/>
          <w:u w:val="single" w:color="auto"/>
          <w:color w:val="auto"/>
        </w:rPr>
        <w:t>Parent Pre-Closing Dividend</w:t>
      </w:r>
      <w:r>
        <w:rPr>
          <w:rFonts w:ascii="Times New Roman" w:cs="Times New Roman" w:eastAsia="Times New Roman" w:hAnsi="Times New Roman"/>
          <w:sz w:val="12"/>
          <w:szCs w:val="12"/>
          <w:color w:val="auto"/>
        </w:rPr>
        <w:t>.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739" w:firstLine="696"/>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6.19 </w:t>
      </w:r>
      <w:r>
        <w:rPr>
          <w:rFonts w:ascii="Times New Roman" w:cs="Times New Roman" w:eastAsia="Times New Roman" w:hAnsi="Times New Roman"/>
          <w:sz w:val="12"/>
          <w:szCs w:val="12"/>
          <w:u w:val="single" w:color="auto"/>
          <w:color w:val="auto"/>
        </w:rPr>
        <w:t>Company Pre-Closing Financing</w:t>
      </w:r>
      <w:r>
        <w:rPr>
          <w:rFonts w:ascii="Times New Roman" w:cs="Times New Roman" w:eastAsia="Times New Roman" w:hAnsi="Times New Roman"/>
          <w:sz w:val="12"/>
          <w:szCs w:val="12"/>
          <w:color w:val="auto"/>
        </w:rPr>
        <w:t>.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spacing w:after="0" w:line="125"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6.20 </w:t>
      </w:r>
      <w:r>
        <w:rPr>
          <w:rFonts w:ascii="Times New Roman" w:cs="Times New Roman" w:eastAsia="Times New Roman" w:hAnsi="Times New Roman"/>
          <w:sz w:val="13"/>
          <w:szCs w:val="13"/>
          <w:u w:val="single" w:color="auto"/>
          <w:color w:val="auto"/>
        </w:rPr>
        <w:t>Termination of Certain Agreements</w:t>
      </w:r>
      <w:r>
        <w:rPr>
          <w:rFonts w:ascii="Times New Roman" w:cs="Times New Roman" w:eastAsia="Times New Roman" w:hAnsi="Times New Roman"/>
          <w:sz w:val="13"/>
          <w:szCs w:val="13"/>
          <w:color w:val="auto"/>
        </w:rPr>
        <w:t xml:space="preserve">. Promptly following the date hereof, Parent will take all action necessary to terminate each of those agreements listed on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 xml:space="preserve"> of the Parent Disclosure Letter.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Conditions Precedent to Obligations of Each Party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54"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 Any applicable waiting periods (or any extensions thereof) under the HSR Act and any applicable foreign Law relating to antitrust or competition matters shall have expired or otherwise been terminated.</w:t>
      </w:r>
    </w:p>
    <w:p>
      <w:pPr>
        <w:spacing w:after="0" w:line="122"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 Restraints</w:t>
      </w:r>
      <w:r>
        <w:rPr>
          <w:rFonts w:ascii="Times New Roman" w:cs="Times New Roman" w:eastAsia="Times New Roman" w:hAnsi="Times New Roman"/>
          <w:sz w:val="13"/>
          <w:szCs w:val="13"/>
          <w:color w:val="auto"/>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spacing w:after="0" w:line="130" w:lineRule="exact"/>
        <w:rPr>
          <w:sz w:val="20"/>
          <w:szCs w:val="20"/>
          <w:color w:val="auto"/>
        </w:rPr>
      </w:pPr>
    </w:p>
    <w:p>
      <w:pPr>
        <w:ind w:left="640" w:right="8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(a) Parent shall have obtained the Required Parent Shareholder Vote (but solely with respect to such items as are necessary to consummate the transactions contemplated by this Agreement) and (b) the Company shall have obtained the Required Company Stockholder Vote.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Nasdaq Listing Application shall have been approved by Nasdaq.</w:t>
      </w:r>
    </w:p>
    <w:p>
      <w:pPr>
        <w:spacing w:after="0" w:line="154" w:lineRule="exact"/>
        <w:rPr>
          <w:sz w:val="20"/>
          <w:szCs w:val="20"/>
          <w:color w:val="auto"/>
        </w:rPr>
      </w:pPr>
    </w:p>
    <w:p>
      <w:pPr>
        <w:jc w:val="both"/>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102" w:name="page103"/>
    <w:bookmarkEnd w:id="10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 </w:t>
      </w:r>
      <w:r>
        <w:rPr>
          <w:rFonts w:ascii="Times New Roman" w:cs="Times New Roman" w:eastAsia="Times New Roman" w:hAnsi="Times New Roman"/>
          <w:sz w:val="13"/>
          <w:szCs w:val="13"/>
          <w:u w:val="single" w:color="auto"/>
          <w:color w:val="auto"/>
        </w:rPr>
        <w:t>Additional Conditions Precedent to Obligations of Parent and Merger Subs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spacing w:after="0" w:line="4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spacing w:after="0" w:line="13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have performed or complied with in all material respects all agreements and covenants required to be performed or complied with by it under this Agreement at or prior to the First Effective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Parent shall have received the following documents, each of which shall be in full force and effect:</w:t>
      </w:r>
    </w:p>
    <w:p>
      <w:pPr>
        <w:spacing w:after="0" w:line="78" w:lineRule="exact"/>
        <w:rPr>
          <w:sz w:val="20"/>
          <w:szCs w:val="20"/>
          <w:color w:val="auto"/>
        </w:rPr>
      </w:pPr>
    </w:p>
    <w:p>
      <w:pPr>
        <w:ind w:left="640" w:right="719" w:firstLine="1003"/>
        <w:spacing w:after="0" w:line="286" w:lineRule="auto"/>
        <w:tabs>
          <w:tab w:leader="none" w:pos="1817"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2"/>
          <w:szCs w:val="12"/>
          <w:u w:val="single" w:color="auto"/>
          <w:color w:val="auto"/>
        </w:rPr>
        <w:t>Sections 8.1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8.5</w:t>
      </w:r>
      <w:r>
        <w:rPr>
          <w:rFonts w:ascii="Times New Roman" w:cs="Times New Roman" w:eastAsia="Times New Roman" w:hAnsi="Times New Roman"/>
          <w:sz w:val="12"/>
          <w:szCs w:val="12"/>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2"/>
          <w:szCs w:val="12"/>
          <w:u w:val="single" w:color="auto"/>
          <w:color w:val="auto"/>
        </w:rPr>
        <w:t>Section 6.15</w:t>
      </w:r>
      <w:r>
        <w:rPr>
          <w:rFonts w:ascii="Times New Roman" w:cs="Times New Roman" w:eastAsia="Times New Roman" w:hAnsi="Times New Roman"/>
          <w:sz w:val="12"/>
          <w:szCs w:val="12"/>
          <w:color w:val="auto"/>
        </w:rPr>
        <w:t xml:space="preserve"> is true and accurate in all respects as of the Closing Date;</w:t>
      </w:r>
    </w:p>
    <w:p>
      <w:pPr>
        <w:spacing w:after="0" w:line="113"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2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spacing w:after="0" w:line="99"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Valuation Schedule;</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3" w:name="page104"/>
    <w:bookmarkEnd w:id="103"/>
    <w:p>
      <w:pPr>
        <w:ind w:left="1820" w:hanging="177"/>
        <w:spacing w:after="0"/>
        <w:tabs>
          <w:tab w:leader="none" w:pos="18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Lock-Up Agreements, duly executed by the Persons listed on Section B of the Company Disclosure Letter, which shall be in</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full force and effect.</w:t>
      </w:r>
    </w:p>
    <w:p>
      <w:pPr>
        <w:spacing w:after="0" w:line="141"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Company Material Adverse Effect that is continuing.</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 The Company Stockholder Written Consent executed by the stockholders of the Company collectively constituting the Required Company Stockholder Vote shall have been obtained and remain in full force and effect.</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Company Pre-Closing Financing</w:t>
      </w:r>
      <w:r>
        <w:rPr>
          <w:rFonts w:ascii="Times New Roman" w:cs="Times New Roman" w:eastAsia="Times New Roman" w:hAnsi="Times New Roman"/>
          <w:sz w:val="13"/>
          <w:szCs w:val="13"/>
          <w:color w:val="auto"/>
        </w:rPr>
        <w:t>.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Additional Conditions Precedent to Obligation of the Company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46"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spacing w:after="0" w:line="136" w:lineRule="exact"/>
        <w:rPr>
          <w:sz w:val="20"/>
          <w:szCs w:val="20"/>
          <w:color w:val="auto"/>
        </w:rPr>
      </w:pPr>
    </w:p>
    <w:p>
      <w:pPr>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Parent and Merger Subs shall have performed or complied with in all material respects all of their agreements and covenants required to be performed or complied with by each of them under this Agreement at or prior to the First Effective Time.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4" w:name="page105"/>
    <w:bookmarkEnd w:id="104"/>
    <w:p>
      <w:pPr>
        <w:jc w:val="center"/>
        <w:ind w:right="13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9.3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The Company shall have received the following documents, each of which shall be in full force and effect:</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 xml:space="preserve">(a) a certificate executed by an executive officer of Parent certifying that the conditions set forth in </w:t>
      </w:r>
      <w:r>
        <w:rPr>
          <w:rFonts w:ascii="Times New Roman" w:cs="Times New Roman" w:eastAsia="Times New Roman" w:hAnsi="Times New Roman"/>
          <w:sz w:val="12"/>
          <w:szCs w:val="12"/>
          <w:u w:val="single" w:color="auto"/>
          <w:color w:val="auto"/>
        </w:rPr>
        <w:t>Sections 9.1, 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9.4</w:t>
      </w:r>
      <w:r>
        <w:rPr>
          <w:rFonts w:ascii="Times New Roman" w:cs="Times New Roman" w:eastAsia="Times New Roman" w:hAnsi="Times New Roman"/>
          <w:sz w:val="12"/>
          <w:szCs w:val="12"/>
          <w:color w:val="auto"/>
        </w:rPr>
        <w:t xml:space="preserve"> have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been duly satisfied;</w:t>
      </w:r>
    </w:p>
    <w:p>
      <w:pPr>
        <w:spacing w:after="0" w:line="141" w:lineRule="exact"/>
        <w:rPr>
          <w:sz w:val="20"/>
          <w:szCs w:val="20"/>
          <w:color w:val="auto"/>
        </w:rPr>
      </w:pPr>
    </w:p>
    <w:p>
      <w:pPr>
        <w:ind w:left="640" w:right="759" w:firstLine="1003"/>
        <w:spacing w:after="0" w:line="267" w:lineRule="auto"/>
        <w:tabs>
          <w:tab w:leader="none" w:pos="1824"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hereof; and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Net Cash Schedule.</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No Parent Material Adverse Effect</w:t>
      </w:r>
      <w:r>
        <w:rPr>
          <w:rFonts w:ascii="Times New Roman" w:cs="Times New Roman" w:eastAsia="Times New Roman" w:hAnsi="Times New Roman"/>
          <w:sz w:val="13"/>
          <w:szCs w:val="13"/>
          <w:color w:val="auto"/>
        </w:rPr>
        <w:t>. Since the date of this Agreement, there shall not have occurred any Parent Material Adverse Effect that is continuing.</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u w:val="single" w:color="auto"/>
          <w:color w:val="auto"/>
        </w:rPr>
        <w:t>Parent Pre-Closing Dividend</w:t>
      </w:r>
      <w:r>
        <w:rPr>
          <w:rFonts w:ascii="Times New Roman" w:cs="Times New Roman" w:eastAsia="Times New Roman" w:hAnsi="Times New Roman"/>
          <w:sz w:val="13"/>
          <w:szCs w:val="13"/>
          <w:color w:val="auto"/>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spacing w:after="0" w:line="130" w:lineRule="exact"/>
        <w:rPr>
          <w:sz w:val="20"/>
          <w:szCs w:val="20"/>
          <w:color w:val="auto"/>
        </w:rPr>
      </w:pPr>
    </w:p>
    <w:p>
      <w:pPr>
        <w:ind w:left="640" w:right="6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Parent Articles of Amendment</w:t>
      </w:r>
      <w:r>
        <w:rPr>
          <w:rFonts w:ascii="Times New Roman" w:cs="Times New Roman" w:eastAsia="Times New Roman" w:hAnsi="Times New Roman"/>
          <w:sz w:val="12"/>
          <w:szCs w:val="12"/>
          <w:color w:val="auto"/>
        </w:rPr>
        <w:t>. The Parent Articles of Amendment shall have been duly filed with the Secretary of the Commonwealth of Massachusetts, containing at least such amendments as are necessary to consummate the transactions contemplated by this Agreement.</w:t>
      </w:r>
    </w:p>
    <w:p>
      <w:pPr>
        <w:spacing w:after="0" w:line="1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u w:val="single" w:color="auto"/>
          <w:color w:val="auto"/>
        </w:rPr>
        <w:t>Termination of Agreements</w:t>
      </w:r>
      <w:r>
        <w:rPr>
          <w:rFonts w:ascii="Times New Roman" w:cs="Times New Roman" w:eastAsia="Times New Roman" w:hAnsi="Times New Roman"/>
          <w:sz w:val="13"/>
          <w:szCs w:val="13"/>
          <w:color w:val="auto"/>
        </w:rPr>
        <w:t xml:space="preserve">. Parent shall have terminated each of those agreements listed on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 xml:space="preserve"> of the Parent Disclosure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Letter.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prior to the First Effective Time (whether before or after adoption of this Agreement by the Company’s stockholders and whether before or after approval of the Parent Shareholder Matters by Parent’s shareholders, unless otherwise specified below):</w:t>
      </w:r>
    </w:p>
    <w:p>
      <w:pPr>
        <w:spacing w:after="0" w:line="54" w:lineRule="exact"/>
        <w:rPr>
          <w:sz w:val="20"/>
          <w:szCs w:val="20"/>
          <w:color w:val="auto"/>
        </w:rPr>
      </w:pPr>
    </w:p>
    <w:p>
      <w:pPr>
        <w:ind w:left="1820" w:hanging="177"/>
        <w:spacing w:after="0"/>
        <w:tabs>
          <w:tab w:leader="none" w:pos="182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w:t>
      </w:r>
      <w:r>
        <w:rPr>
          <w:rFonts w:ascii="Times New Roman" w:cs="Times New Roman" w:eastAsia="Times New Roman" w:hAnsi="Times New Roman"/>
          <w:sz w:val="13"/>
          <w:szCs w:val="13"/>
          <w:u w:val="single" w:color="auto"/>
          <w:color w:val="auto"/>
        </w:rPr>
        <w:t>;</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the Merger shall not have been consummated by October 1, 2026 (subject to possible extension as provided in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spacing w:after="0" w:line="138"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17"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 a court of competent jurisdiction or other Governmental Authority shall have issued a final and nonappealable Order having the effect of permanently restraining, enjoining or otherwise prohibiting the Contemplated Transactions;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79" w:firstLine="1003"/>
        <w:spacing w:after="0" w:line="275" w:lineRule="auto"/>
        <w:tabs>
          <w:tab w:leader="none" w:pos="18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if the Required Company Stockholder Vote shall not have been obtained within two (2) Business Days of the Registration Statement becoming effective in accordance with the provisions of the Securities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once the Required Company Stockholder Vote has been obtained (whether timely or not), Parent may not terminate this Agreement pursuant to this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48" w:lineRule="auto"/>
        <w:tabs>
          <w:tab w:leader="none" w:pos="1817"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03"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(at any time prior to the approval of the Parent Shareholder Matters by the Required Parent Shareholder Vote) if a Parent Triggering Event shall have occurred;</w:t>
      </w:r>
    </w:p>
    <w:p>
      <w:pPr>
        <w:spacing w:after="0" w:line="122" w:lineRule="exact"/>
        <w:rPr>
          <w:rFonts w:ascii="Times New Roman" w:cs="Times New Roman" w:eastAsia="Times New Roman" w:hAnsi="Times New Roman"/>
          <w:sz w:val="13"/>
          <w:szCs w:val="13"/>
          <w:color w:val="auto"/>
        </w:rPr>
      </w:pPr>
    </w:p>
    <w:p>
      <w:pPr>
        <w:ind w:left="640" w:right="1119" w:firstLine="1003"/>
        <w:spacing w:after="0" w:line="267"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(at any time prior to the adoption of this Agreement and the approval of the Contemplated Transactions by the Required Company Stockholder Vote) if a Company Triggering Event shall have occurred;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 a Delisting Event occurs;</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79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w:t>
      </w:r>
    </w:p>
    <w:p>
      <w:pPr>
        <w:spacing w:after="0" w:line="139"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79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is not then in material breach of any representation, warranty, covenant or agreement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if such inaccuracy in the Company’s representations and warranties or breach by the Company is curable by the Company then Parent shall not be permitted to terminate this Agreement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as a result of such particular breach or inaccuracy until the earlier of (i) the expiration of a thirty (30) day period commencing upon delivery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written notice from Parent to the Company of such breach or inaccuracy and its intention to terminate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(it being understood that Parent shall not be permitted to terminate this Agreement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as a result of such particular breach or inaccuracy if such breach by the Company is cured prior to such termination becoming effective); or</w:t>
      </w:r>
    </w:p>
    <w:p>
      <w:pPr>
        <w:spacing w:after="0" w:line="134" w:lineRule="exact"/>
        <w:rPr>
          <w:sz w:val="20"/>
          <w:szCs w:val="20"/>
          <w:color w:val="auto"/>
        </w:rPr>
      </w:pPr>
    </w:p>
    <w:p>
      <w:pPr>
        <w:ind w:left="640" w:right="659" w:firstLine="1003"/>
        <w:spacing w:after="0" w:line="247"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(at any time prior to the approval of the Parent Shareholder Matters by the Required Parent Shareholder Vote) and following compliance with all of the requirements set forth in the proviso to this </w:t>
      </w:r>
      <w:r>
        <w:rPr>
          <w:rFonts w:ascii="Times New Roman" w:cs="Times New Roman" w:eastAsia="Times New Roman" w:hAnsi="Times New Roman"/>
          <w:sz w:val="13"/>
          <w:szCs w:val="13"/>
          <w:u w:val="single" w:color="auto"/>
          <w:color w:val="auto"/>
        </w:rPr>
        <w:t>Section 10.1(k)</w:t>
      </w:r>
      <w:r>
        <w:rPr>
          <w:rFonts w:ascii="Times New Roman" w:cs="Times New Roman" w:eastAsia="Times New Roman" w:hAnsi="Times New Roman"/>
          <w:sz w:val="13"/>
          <w:szCs w:val="13"/>
          <w:color w:val="auto"/>
        </w:rPr>
        <w:t xml:space="preserve">, upon the Parent Board authorizing Parent to enter into a Permitted Alternative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Parent shall not enter into any Permitted Alternative Agreement unless: (i) Parent shall have complied in all material respects with its obligations under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cs="Times New Roman" w:eastAsia="Times New Roman" w:hAnsi="Times New Roman"/>
          <w:sz w:val="13"/>
          <w:szCs w:val="13"/>
          <w:u w:val="single" w:color="auto"/>
          <w:color w:val="auto"/>
        </w:rPr>
        <w:t>Section 10.3(b)</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10.1(a)</w:t>
      </w:r>
      <w:r>
        <w:rPr>
          <w:rFonts w:ascii="Times New Roman" w:cs="Times New Roman" w:eastAsia="Times New Roman" w:hAnsi="Times New Roman"/>
          <w:sz w:val="13"/>
          <w:szCs w:val="13"/>
          <w:color w:val="auto"/>
        </w:rPr>
        <w:t xml:space="preserve"> shall give a notice of such termination to the other Party specifying the provisions hereof pursuant to which such termination is made and the basis therefor described in reasonable detail.</w:t>
      </w:r>
    </w:p>
    <w:p>
      <w:pPr>
        <w:spacing w:after="0" w:line="130"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this Agreement shall be of no further force or effect; provided, however, that (a) this </w:t>
      </w:r>
      <w:r>
        <w:rPr>
          <w:rFonts w:ascii="Times New Roman" w:cs="Times New Roman" w:eastAsia="Times New Roman" w:hAnsi="Times New Roman"/>
          <w:sz w:val="13"/>
          <w:szCs w:val="13"/>
          <w:u w:val="single" w:color="auto"/>
          <w:color w:val="auto"/>
        </w:rPr>
        <w:t>Section 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(other than </w:t>
      </w:r>
      <w:r>
        <w:rPr>
          <w:rFonts w:ascii="Times New Roman" w:cs="Times New Roman" w:eastAsia="Times New Roman" w:hAnsi="Times New Roman"/>
          <w:sz w:val="13"/>
          <w:szCs w:val="13"/>
          <w:u w:val="single" w:color="auto"/>
          <w:color w:val="auto"/>
        </w:rPr>
        <w:t>Section 11.8</w:t>
      </w:r>
      <w:r>
        <w:rPr>
          <w:rFonts w:ascii="Times New Roman" w:cs="Times New Roman" w:eastAsia="Times New Roman" w:hAnsi="Times New Roman"/>
          <w:sz w:val="13"/>
          <w:szCs w:val="13"/>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shall not relieve any Party of any liability for fraud or for any willful and material breach of any representation, warranty, covenant, obligation or other provision contained in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10.3 Expenses; Termination Fees.</w:t>
      </w:r>
    </w:p>
    <w:p>
      <w:pPr>
        <w:spacing w:after="0" w:line="154" w:lineRule="exact"/>
        <w:rPr>
          <w:sz w:val="20"/>
          <w:szCs w:val="20"/>
          <w:color w:val="auto"/>
        </w:rPr>
      </w:pPr>
    </w:p>
    <w:p>
      <w:pPr>
        <w:ind w:left="640" w:right="699" w:firstLine="1003"/>
        <w:spacing w:after="0" w:line="249"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this Agreement is terminated by Parent or the Company pursuant to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or by the Company pursuant to </w:t>
      </w:r>
      <w:r>
        <w:rPr>
          <w:rFonts w:ascii="Times New Roman" w:cs="Times New Roman" w:eastAsia="Times New Roman" w:hAnsi="Times New Roman"/>
          <w:sz w:val="13"/>
          <w:szCs w:val="13"/>
          <w:u w:val="single" w:color="auto"/>
          <w:color w:val="auto"/>
        </w:rPr>
        <w:t>Section 10.1(f)</w:t>
      </w:r>
      <w:r>
        <w:rPr>
          <w:rFonts w:ascii="Times New Roman" w:cs="Times New Roman" w:eastAsia="Times New Roman" w:hAnsi="Times New Roman"/>
          <w:sz w:val="13"/>
          <w:szCs w:val="13"/>
          <w:color w:val="auto"/>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cs="Times New Roman" w:eastAsia="Times New Roman" w:hAnsi="Times New Roman"/>
          <w:sz w:val="13"/>
          <w:szCs w:val="13"/>
          <w:b w:val="1"/>
          <w:bCs w:val="1"/>
          <w:color w:val="auto"/>
        </w:rPr>
        <w:t>Company Termination Fee</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7" w:name="page108"/>
    <w:bookmarkEnd w:id="107"/>
    <w:p>
      <w:pPr>
        <w:jc w:val="both"/>
        <w:ind w:left="640" w:right="759" w:firstLine="1003"/>
        <w:spacing w:after="0" w:line="271" w:lineRule="auto"/>
        <w:tabs>
          <w:tab w:leader="none" w:pos="1817"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(i) this Agreement is terminated by Parent pursuant to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 xml:space="preserve"> or to </w:t>
      </w:r>
      <w:r>
        <w:rPr>
          <w:rFonts w:ascii="Times New Roman" w:cs="Times New Roman" w:eastAsia="Times New Roman" w:hAnsi="Times New Roman"/>
          <w:sz w:val="12"/>
          <w:szCs w:val="12"/>
          <w:u w:val="single" w:color="auto"/>
          <w:color w:val="auto"/>
        </w:rPr>
        <w:t>Section 10.1(g)</w:t>
      </w:r>
      <w:r>
        <w:rPr>
          <w:rFonts w:ascii="Times New Roman" w:cs="Times New Roman" w:eastAsia="Times New Roman" w:hAnsi="Times New Roman"/>
          <w:sz w:val="12"/>
          <w:szCs w:val="12"/>
          <w:color w:val="auto"/>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w:t>
      </w:r>
    </w:p>
    <w:p>
      <w:pPr>
        <w:ind w:left="640" w:right="759" w:hanging="3"/>
        <w:spacing w:after="0" w:line="244" w:lineRule="auto"/>
        <w:tabs>
          <w:tab w:leader="none" w:pos="88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cs="Times New Roman" w:eastAsia="Times New Roman" w:hAnsi="Times New Roman"/>
          <w:sz w:val="13"/>
          <w:szCs w:val="13"/>
          <w:b w:val="1"/>
          <w:bCs w:val="1"/>
          <w:color w:val="auto"/>
        </w:rPr>
        <w:t>Parent Termination Fee</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19" w:firstLine="1003"/>
        <w:spacing w:after="0" w:line="248" w:lineRule="auto"/>
        <w:tabs>
          <w:tab w:leader="none" w:pos="1824"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17"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it being understood that in no event shall either Parent or the Company be required to pay the individual fees or damages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on more than one occasion.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following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10.3(e)</w:t>
      </w:r>
      <w:r>
        <w:rPr>
          <w:rFonts w:ascii="Times New Roman" w:cs="Times New Roman" w:eastAsia="Times New Roman" w:hAnsi="Times New Roman"/>
          <w:sz w:val="12"/>
          <w:szCs w:val="12"/>
          <w:color w:val="auto"/>
        </w:rPr>
        <w:t xml:space="preserve"> shall limit the rights of the Parties under </w:t>
      </w:r>
      <w:r>
        <w:rPr>
          <w:rFonts w:ascii="Times New Roman" w:cs="Times New Roman" w:eastAsia="Times New Roman" w:hAnsi="Times New Roman"/>
          <w:sz w:val="12"/>
          <w:szCs w:val="12"/>
          <w:u w:val="single" w:color="auto"/>
          <w:color w:val="auto"/>
        </w:rPr>
        <w:t>Section 11.10</w:t>
      </w:r>
      <w:r>
        <w:rPr>
          <w:rFonts w:ascii="Times New Roman" w:cs="Times New Roman" w:eastAsia="Times New Roman" w:hAnsi="Times New Roman"/>
          <w:sz w:val="12"/>
          <w:szCs w:val="12"/>
          <w:color w:val="auto"/>
        </w:rPr>
        <w:t>.</w:t>
      </w:r>
    </w:p>
    <w:p>
      <w:pPr>
        <w:spacing w:after="0" w:line="2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Non-Survival of Representations and Warranties</w:t>
      </w:r>
      <w:r>
        <w:rPr>
          <w:rFonts w:ascii="Times New Roman" w:cs="Times New Roman" w:eastAsia="Times New Roman" w:hAnsi="Times New Roman"/>
          <w:sz w:val="13"/>
          <w:szCs w:val="13"/>
          <w:color w:val="auto"/>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survive the First Effective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8" w:name="page109"/>
    <w:bookmarkEnd w:id="108"/>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49" w:lineRule="auto"/>
        <w:tabs>
          <w:tab w:leader="none" w:pos="1817"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86" w:lineRule="auto"/>
        <w:tabs>
          <w:tab w:leader="none" w:pos="182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39"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Applicable Law; Jurisdiction; WAIVER OF RIGHT TO TRIAL BY JURY</w:t>
      </w:r>
      <w:r>
        <w:rPr>
          <w:rFonts w:ascii="Times New Roman" w:cs="Times New Roman" w:eastAsia="Times New Roman" w:hAnsi="Times New Roman"/>
          <w:sz w:val="12"/>
          <w:szCs w:val="12"/>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11.7</w:t>
      </w:r>
      <w:r>
        <w:rPr>
          <w:rFonts w:ascii="Times New Roman" w:cs="Times New Roman" w:eastAsia="Times New Roman" w:hAnsi="Times New Roman"/>
          <w:sz w:val="12"/>
          <w:szCs w:val="12"/>
          <w:color w:val="auto"/>
        </w:rPr>
        <w:t xml:space="preserve"> of this Agreement and (f) irrevocably and unconditionally waives the right to trial by jury.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11.6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6"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11.7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Parent or Merger Subs:</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245 First Street, 18th Floor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Cambridge, MA 02142</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Regina Graul, Ph.D.</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Ropes &amp; Gray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Prudential Tower, 800 Boylston Street</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Boston, MA 02199</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Zachary R. Blume; William J. Michener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11.8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10" w:name="page111"/>
    <w:bookmarkEnd w:id="110"/>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0"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11.11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11" w:name="page112"/>
    <w:bookmarkEnd w:id="11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r>
        <w:trPr>
          <w:trHeight w:val="303"/>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CARIBOOS MERGER SUB CORP.</w:t>
            </w: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w:t>
            </w:r>
          </w:p>
        </w:tc>
      </w:tr>
      <w:tr>
        <w:trPr>
          <w:trHeight w:val="303"/>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CARIBOOS MERGER SUB II, LLC</w:t>
            </w: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bl>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Merger and Reorganization]</w:t>
      </w:r>
    </w:p>
    <w:p>
      <w:pPr>
        <w:sectPr>
          <w:pgSz w:w="11900" w:h="16838" w:orient="portrait"/>
          <w:cols w:equalWidth="0" w:num="1">
            <w:col w:w="9019"/>
          </w:cols>
          <w:pgMar w:left="1440" w:top="229" w:right="1440" w:bottom="1440" w:gutter="0" w:footer="0" w:header="0"/>
        </w:sectPr>
      </w:pPr>
    </w:p>
    <w:bookmarkStart w:id="112" w:name="page113"/>
    <w:bookmarkEnd w:id="112"/>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Jonathan Violin</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Jonathan Violin</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Merger and Reorganization]</w:t>
      </w:r>
    </w:p>
    <w:p>
      <w:pPr>
        <w:sectPr>
          <w:pgSz w:w="11900" w:h="16838" w:orient="portrait"/>
          <w:cols w:equalWidth="0" w:num="1">
            <w:col w:w="9019"/>
          </w:cols>
          <w:pgMar w:left="1440" w:top="229"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Parent Shareholder Support Agreement</w:t>
      </w:r>
    </w:p>
    <w:p>
      <w:pPr>
        <w:sectPr>
          <w:pgSz w:w="11900" w:h="16838" w:orient="portrait"/>
          <w:cols w:equalWidth="0" w:num="1">
            <w:col w:w="9019"/>
          </w:cols>
          <w:pgMar w:left="1440" w:top="229"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Company Stockholder Support Agreement</w:t>
      </w:r>
    </w:p>
    <w:p>
      <w:pPr>
        <w:sectPr>
          <w:pgSz w:w="11900" w:h="16838" w:orient="portrait"/>
          <w:cols w:equalWidth="0" w:num="1">
            <w:col w:w="9019"/>
          </w:cols>
          <w:pgMar w:left="1440" w:top="229"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ectPr>
          <w:pgSz w:w="11900" w:h="16838" w:orient="portrait"/>
          <w:cols w:equalWidth="0" w:num="1">
            <w:col w:w="9019"/>
          </w:cols>
          <w:pgMar w:left="1440" w:top="229"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Subscription Agreement</w:t>
      </w:r>
    </w:p>
    <w:p>
      <w:pPr>
        <w:sectPr>
          <w:pgSz w:w="11900" w:h="16838" w:orient="portrait"/>
          <w:cols w:equalWidth="0" w:num="1">
            <w:col w:w="9019"/>
          </w:cols>
          <w:pgMar w:left="1440" w:top="229"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D-1</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First Certificate of Merger</w:t>
      </w:r>
    </w:p>
    <w:p>
      <w:pPr>
        <w:sectPr>
          <w:pgSz w:w="11900" w:h="16838" w:orient="portrait"/>
          <w:cols w:equalWidth="0" w:num="1">
            <w:col w:w="9019"/>
          </w:cols>
          <w:pgMar w:left="1440" w:top="229"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D-2</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Second Certificate of Merger</w:t>
      </w:r>
    </w:p>
    <w:p>
      <w:pPr>
        <w:sectPr>
          <w:pgSz w:w="11900" w:h="16838" w:orient="portrait"/>
          <w:cols w:equalWidth="0" w:num="1">
            <w:col w:w="9019"/>
          </w:cols>
          <w:pgMar w:left="1440" w:top="229"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Parent Articles of Amendment Schedule</w:t>
      </w:r>
    </w:p>
    <w:p>
      <w:pPr>
        <w:sectPr>
          <w:pgSz w:w="11900" w:h="16838" w:orient="portrait"/>
          <w:cols w:equalWidth="0" w:num="1">
            <w:col w:w="9019"/>
          </w:cols>
          <w:pgMar w:left="1440" w:top="229"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CVR Agreement</w:t>
      </w:r>
    </w:p>
    <w:p>
      <w:pPr>
        <w:sectPr>
          <w:pgSz w:w="11900" w:h="16838" w:orient="portrait"/>
          <w:cols w:equalWidth="0" w:num="1">
            <w:col w:w="9019"/>
          </w:cols>
          <w:pgMar w:left="1440" w:top="229"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ectPr>
          <w:pgSz w:w="11900" w:h="16838" w:orient="portrait"/>
          <w:cols w:equalWidth="0" w:num="1">
            <w:col w:w="9019"/>
          </w:cols>
          <w:pgMar w:left="1440" w:top="229" w:right="1440" w:bottom="1440" w:gutter="0" w:footer="0" w:header="0"/>
        </w:sectPr>
      </w:pPr>
    </w:p>
    <w:bookmarkStart w:id="122" w:name="page123"/>
    <w:bookmarkEnd w:id="122"/>
    <w:p>
      <w:pPr>
        <w:ind w:left="7780"/>
        <w:spacing w:after="0"/>
        <w:rPr>
          <w:sz w:val="20"/>
          <w:szCs w:val="20"/>
          <w:color w:val="auto"/>
        </w:rPr>
      </w:pPr>
      <w:r>
        <w:rPr>
          <w:rFonts w:ascii="Times New Roman" w:cs="Times New Roman" w:eastAsia="Times New Roman" w:hAnsi="Times New Roman"/>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72390</wp:posOffset>
            </wp:positionV>
            <wp:extent cx="4465320" cy="57772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465320" cy="57772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9455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5945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843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5843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9455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5945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ATTACHMENT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SERIES B CONVERTIBLE PREFERRED STOCK</w:t>
      </w:r>
    </w:p>
    <w:p>
      <w:pPr>
        <w:spacing w:after="0" w:line="160" w:lineRule="exact"/>
        <w:rPr>
          <w:sz w:val="20"/>
          <w:szCs w:val="20"/>
          <w:color w:val="auto"/>
        </w:rPr>
      </w:pPr>
    </w:p>
    <w:p>
      <w:pPr>
        <w:ind w:left="940" w:hanging="303"/>
        <w:spacing w:after="0"/>
        <w:tabs>
          <w:tab w:leader="none" w:pos="94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Designation and Amount of Series B Preferred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This series of Preferred Stock shall be designated as “Series B Non-Voting Convertible Preferred Stock” and the number of shares constituting the Corporation’s Series B Non-Voting Convertible Preferred Stock (the “</w:t>
      </w:r>
      <w:r>
        <w:rPr>
          <w:rFonts w:ascii="Times New Roman" w:cs="Times New Roman" w:eastAsia="Times New Roman" w:hAnsi="Times New Roman"/>
          <w:sz w:val="13"/>
          <w:szCs w:val="13"/>
          <w:b w:val="1"/>
          <w:bCs w:val="1"/>
          <w:i w:val="1"/>
          <w:iCs w:val="1"/>
          <w:color w:val="auto"/>
        </w:rPr>
        <w:t>Series B Non-Voting Preferred Stock</w:t>
      </w:r>
      <w:r>
        <w:rPr>
          <w:rFonts w:ascii="Times New Roman" w:cs="Times New Roman" w:eastAsia="Times New Roman" w:hAnsi="Times New Roman"/>
          <w:sz w:val="13"/>
          <w:szCs w:val="13"/>
          <w:color w:val="auto"/>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w:t>
      </w:r>
    </w:p>
    <w:p>
      <w:pPr>
        <w:spacing w:after="0" w:line="6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this section, the following terms shall have the following meanings:</w:t>
      </w:r>
    </w:p>
    <w:p>
      <w:pPr>
        <w:spacing w:after="0" w:line="76" w:lineRule="exact"/>
        <w:rPr>
          <w:sz w:val="20"/>
          <w:szCs w:val="20"/>
          <w:color w:val="auto"/>
        </w:rPr>
      </w:pPr>
    </w:p>
    <w:p>
      <w:pPr>
        <w:ind w:left="640" w:right="10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119"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Buy-In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6.5.2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Sale Price</w:t>
      </w:r>
      <w:r>
        <w:rPr>
          <w:rFonts w:ascii="Times New Roman" w:cs="Times New Roman" w:eastAsia="Times New Roman" w:hAnsi="Times New Roman"/>
          <w:sz w:val="13"/>
          <w:szCs w:val="13"/>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640" w:right="11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the Corporation’s common stock, no par value, and stock of any other class of securities into which such securities may hereafter be reclassified or changed.</w:t>
      </w:r>
    </w:p>
    <w:p>
      <w:pPr>
        <w:spacing w:after="0" w:line="119"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Conversion Shares</w:t>
      </w:r>
      <w:r>
        <w:rPr>
          <w:rFonts w:ascii="Times New Roman" w:cs="Times New Roman" w:eastAsia="Times New Roman" w:hAnsi="Times New Roman"/>
          <w:sz w:val="13"/>
          <w:szCs w:val="13"/>
          <w:color w:val="auto"/>
        </w:rPr>
        <w:t>” means, collectively, the shares of Common Stock issuable upon conversion of the shares of Series B Non-Voting Preferred Stock in accordance with the terms hereof.</w:t>
      </w:r>
    </w:p>
    <w:p>
      <w:pPr>
        <w:sectPr>
          <w:pgSz w:w="11900" w:h="16838" w:orient="portrait"/>
          <w:cols w:equalWidth="0" w:num="1">
            <w:col w:w="9019"/>
          </w:cols>
          <w:pgMar w:left="1440" w:top="229" w:right="1440" w:bottom="1440" w:gutter="0" w:footer="0" w:header="0"/>
        </w:sectPr>
      </w:pPr>
    </w:p>
    <w:bookmarkStart w:id="127" w:name="page128"/>
    <w:bookmarkEnd w:id="12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a holder of shares of Series B Non-Voting Preferred Stock.</w:t>
      </w:r>
    </w:p>
    <w:p>
      <w:pPr>
        <w:spacing w:after="0" w:line="154"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 day on which the principal Trading Market is open for business.</w:t>
      </w:r>
    </w:p>
    <w:p>
      <w:pPr>
        <w:spacing w:after="0" w:line="154" w:lineRule="exact"/>
        <w:rPr>
          <w:sz w:val="20"/>
          <w:szCs w:val="20"/>
          <w:color w:val="auto"/>
        </w:rPr>
      </w:pPr>
    </w:p>
    <w:p>
      <w:pPr>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Market</w:t>
      </w:r>
      <w:r>
        <w:rPr>
          <w:rFonts w:ascii="Times New Roman" w:cs="Times New Roman" w:eastAsia="Times New Roman" w:hAnsi="Times New Roman"/>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28" w:lineRule="exact"/>
        <w:rPr>
          <w:sz w:val="20"/>
          <w:szCs w:val="20"/>
          <w:color w:val="auto"/>
        </w:rPr>
      </w:pPr>
    </w:p>
    <w:p>
      <w:pPr>
        <w:jc w:val="both"/>
        <w:ind w:left="640" w:right="759" w:firstLine="1003"/>
        <w:spacing w:after="0" w:line="255" w:lineRule="auto"/>
        <w:tabs>
          <w:tab w:leader="none" w:pos="177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Designation, Amount and Par Value</w:t>
      </w:r>
      <w:r>
        <w:rPr>
          <w:rFonts w:ascii="Times New Roman" w:cs="Times New Roman" w:eastAsia="Times New Roman" w:hAnsi="Times New Roman"/>
          <w:sz w:val="13"/>
          <w:szCs w:val="13"/>
          <w:color w:val="auto"/>
        </w:rPr>
        <w:t>. The series of Preferred Stock shall be designated as the Corporation’s Series B Non-Voting Convertible Preferred Stock (the “</w:t>
      </w:r>
      <w:r>
        <w:rPr>
          <w:rFonts w:ascii="Times New Roman" w:cs="Times New Roman" w:eastAsia="Times New Roman" w:hAnsi="Times New Roman"/>
          <w:sz w:val="13"/>
          <w:szCs w:val="13"/>
          <w:b w:val="1"/>
          <w:bCs w:val="1"/>
          <w:i w:val="1"/>
          <w:iCs w:val="1"/>
          <w:color w:val="auto"/>
        </w:rPr>
        <w:t>Series B Non-Voting Preferred Stock</w:t>
      </w:r>
      <w:r>
        <w:rPr>
          <w:rFonts w:ascii="Times New Roman" w:cs="Times New Roman" w:eastAsia="Times New Roman" w:hAnsi="Times New Roman"/>
          <w:sz w:val="13"/>
          <w:szCs w:val="13"/>
          <w:color w:val="auto"/>
        </w:rPr>
        <w:t>”) and the number of shares so designated shall be [__]. Each share of Series B Non-Voting Preferred Stock shall have no par value.</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77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w:t>
      </w:r>
    </w:p>
    <w:p>
      <w:pPr>
        <w:spacing w:after="0" w:line="136" w:lineRule="exact"/>
        <w:rPr>
          <w:rFonts w:ascii="Times New Roman" w:cs="Times New Roman" w:eastAsia="Times New Roman" w:hAnsi="Times New Roman"/>
          <w:sz w:val="13"/>
          <w:szCs w:val="13"/>
          <w:color w:val="auto"/>
        </w:rPr>
      </w:pPr>
    </w:p>
    <w:p>
      <w:pPr>
        <w:ind w:left="1760" w:hanging="117"/>
        <w:spacing w:after="0"/>
        <w:tabs>
          <w:tab w:leader="none" w:pos="176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392"/>
        <w:spacing w:after="0" w:line="267" w:lineRule="auto"/>
        <w:rPr>
          <w:sz w:val="20"/>
          <w:szCs w:val="20"/>
          <w:color w:val="auto"/>
        </w:rPr>
      </w:pPr>
      <w:r>
        <w:rPr>
          <w:rFonts w:ascii="Times New Roman" w:cs="Times New Roman" w:eastAsia="Times New Roman" w:hAnsi="Times New Roman"/>
          <w:sz w:val="12"/>
          <w:szCs w:val="12"/>
          <w:color w:val="auto"/>
        </w:rPr>
        <w:t>4.1 Except as otherwise provided herein or as otherwise required by the the Massachusetts Business Corporation Act (M.G.L. c. 156D) (“</w:t>
      </w:r>
      <w:r>
        <w:rPr>
          <w:rFonts w:ascii="Times New Roman" w:cs="Times New Roman" w:eastAsia="Times New Roman" w:hAnsi="Times New Roman"/>
          <w:sz w:val="12"/>
          <w:szCs w:val="12"/>
          <w:b w:val="1"/>
          <w:bCs w:val="1"/>
          <w:i w:val="1"/>
          <w:iCs w:val="1"/>
          <w:color w:val="auto"/>
        </w:rPr>
        <w:t>Mass Law</w:t>
      </w:r>
      <w:r>
        <w:rPr>
          <w:rFonts w:ascii="Times New Roman" w:cs="Times New Roman" w:eastAsia="Times New Roman" w:hAnsi="Times New Roman"/>
          <w:sz w:val="12"/>
          <w:szCs w:val="12"/>
          <w:color w:val="auto"/>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cs="Times New Roman" w:eastAsia="Times New Roman" w:hAnsi="Times New Roman"/>
          <w:sz w:val="12"/>
          <w:szCs w:val="12"/>
          <w:b w:val="1"/>
          <w:bCs w:val="1"/>
          <w:i w:val="1"/>
          <w:iCs w:val="1"/>
          <w:color w:val="auto"/>
        </w:rPr>
        <w:t>Description of Rights</w:t>
      </w:r>
      <w:r>
        <w:rPr>
          <w:rFonts w:ascii="Times New Roman" w:cs="Times New Roman" w:eastAsia="Times New Roman" w:hAnsi="Times New Roman"/>
          <w:sz w:val="12"/>
          <w:szCs w:val="12"/>
          <w:color w:val="auto"/>
        </w:rPr>
        <w:t>”),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28" w:name="page129"/>
    <w:bookmarkEnd w:id="128"/>
    <w:p>
      <w:pPr>
        <w:jc w:val="both"/>
        <w:ind w:left="640" w:right="71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w:t>
      </w:r>
    </w:p>
    <w:p>
      <w:pPr>
        <w:ind w:left="640" w:right="699" w:hanging="3"/>
        <w:spacing w:after="0" w:line="245" w:lineRule="auto"/>
        <w:tabs>
          <w:tab w:leader="none" w:pos="84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retain or replace the Corporation’s registered independent public accounting firm, independent compensation consultant or corporate counsel or (iv) enter into any agreement with respect to any of the foregoing. Holders of shares of Common Stock acquired upon the conversion of shares of Series B Non-Voting Preferred Stock shall be entitled to the same voting rights as each other holder of Common Stock.</w:t>
      </w:r>
    </w:p>
    <w:p>
      <w:pPr>
        <w:spacing w:after="0" w:line="136" w:lineRule="exact"/>
        <w:rPr>
          <w:sz w:val="20"/>
          <w:szCs w:val="20"/>
          <w:color w:val="auto"/>
        </w:rPr>
      </w:pPr>
    </w:p>
    <w:p>
      <w:pPr>
        <w:jc w:val="both"/>
        <w:ind w:left="640" w:right="759" w:firstLine="1392"/>
        <w:spacing w:after="0" w:line="255" w:lineRule="auto"/>
        <w:rPr>
          <w:sz w:val="20"/>
          <w:szCs w:val="20"/>
          <w:color w:val="auto"/>
        </w:rPr>
      </w:pPr>
      <w:r>
        <w:rPr>
          <w:rFonts w:ascii="Times New Roman" w:cs="Times New Roman" w:eastAsia="Times New Roman" w:hAnsi="Times New Roman"/>
          <w:sz w:val="13"/>
          <w:szCs w:val="13"/>
          <w:color w:val="auto"/>
        </w:rPr>
        <w:t xml:space="preserve">4.2 Any vote required or permitted under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w:t>
      </w:r>
    </w:p>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Election of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701"/>
        <w:spacing w:after="0" w:line="246" w:lineRule="auto"/>
        <w:rPr>
          <w:sz w:val="20"/>
          <w:szCs w:val="20"/>
          <w:color w:val="auto"/>
        </w:rPr>
      </w:pPr>
      <w:r>
        <w:rPr>
          <w:rFonts w:ascii="Times New Roman" w:cs="Times New Roman" w:eastAsia="Times New Roman" w:hAnsi="Times New Roman"/>
          <w:sz w:val="13"/>
          <w:szCs w:val="13"/>
          <w:color w:val="auto"/>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cs="Times New Roman" w:eastAsia="Times New Roman" w:hAnsi="Times New Roman"/>
          <w:sz w:val="13"/>
          <w:szCs w:val="13"/>
          <w:b w:val="1"/>
          <w:bCs w:val="1"/>
          <w:i w:val="1"/>
          <w:iCs w:val="1"/>
          <w:color w:val="auto"/>
        </w:rPr>
        <w:t>Preferred Directors</w:t>
      </w:r>
      <w:r>
        <w:rPr>
          <w:rFonts w:ascii="Times New Roman" w:cs="Times New Roman" w:eastAsia="Times New Roman" w:hAnsi="Times New Roman"/>
          <w:sz w:val="13"/>
          <w:szCs w:val="13"/>
          <w:color w:val="auto"/>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cs="Times New Roman" w:eastAsia="Times New Roman" w:hAnsi="Times New Roman"/>
          <w:sz w:val="13"/>
          <w:szCs w:val="13"/>
          <w:b w:val="1"/>
          <w:bCs w:val="1"/>
          <w:i w:val="1"/>
          <w:iCs w:val="1"/>
          <w:color w:val="auto"/>
        </w:rPr>
        <w:t>At-Large Directors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w:t>
      </w:r>
    </w:p>
    <w:p>
      <w:pPr>
        <w:spacing w:after="0" w:line="139" w:lineRule="exact"/>
        <w:rPr>
          <w:sz w:val="20"/>
          <w:szCs w:val="20"/>
          <w:color w:val="auto"/>
        </w:rPr>
      </w:pPr>
    </w:p>
    <w:p>
      <w:pPr>
        <w:ind w:left="640" w:right="779" w:firstLine="1701"/>
        <w:spacing w:after="0" w:line="255" w:lineRule="auto"/>
        <w:rPr>
          <w:sz w:val="20"/>
          <w:szCs w:val="20"/>
          <w:color w:val="auto"/>
        </w:rPr>
      </w:pPr>
      <w:r>
        <w:rPr>
          <w:rFonts w:ascii="Times New Roman" w:cs="Times New Roman" w:eastAsia="Times New Roman" w:hAnsi="Times New Roman"/>
          <w:sz w:val="13"/>
          <w:szCs w:val="13"/>
          <w:color w:val="auto"/>
        </w:rPr>
        <w:t xml:space="preserve">4.3.2 Any Preferred Director elected as provided in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w:t>
      </w:r>
    </w:p>
    <w:p>
      <w:pPr>
        <w:spacing w:after="0" w:line="130" w:lineRule="exact"/>
        <w:rPr>
          <w:sz w:val="20"/>
          <w:szCs w:val="20"/>
          <w:color w:val="auto"/>
        </w:rPr>
      </w:pPr>
    </w:p>
    <w:p>
      <w:pPr>
        <w:ind w:left="640" w:right="659" w:firstLine="1701"/>
        <w:spacing w:after="0" w:line="251" w:lineRule="auto"/>
        <w:rPr>
          <w:sz w:val="20"/>
          <w:szCs w:val="20"/>
          <w:color w:val="auto"/>
        </w:rPr>
      </w:pPr>
      <w:r>
        <w:rPr>
          <w:rFonts w:ascii="Times New Roman" w:cs="Times New Roman" w:eastAsia="Times New Roman" w:hAnsi="Times New Roman"/>
          <w:sz w:val="13"/>
          <w:szCs w:val="13"/>
          <w:color w:val="auto"/>
        </w:rPr>
        <w:t xml:space="preserve">4.3.3 If the holders of shares of the Series B Non-Voting Preferred Stock fail to elect a sufficient number of directors to fill all directorships for which they are entitled to elect directors pursuant to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(and to the extent any of such directorships is not otherwise filled by a director appointed in accordance with the proviso in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then any directorship not so filled shall remain vacant until such time as the holders of the Series B Non-Voting Preferred Stock fill such directorship in accordance with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ind w:left="640" w:right="839" w:firstLine="1701"/>
        <w:spacing w:after="0" w:line="255" w:lineRule="auto"/>
        <w:rPr>
          <w:sz w:val="20"/>
          <w:szCs w:val="20"/>
          <w:color w:val="auto"/>
        </w:rPr>
      </w:pPr>
      <w:r>
        <w:rPr>
          <w:rFonts w:ascii="Times New Roman" w:cs="Times New Roman" w:eastAsia="Times New Roman" w:hAnsi="Times New Roman"/>
          <w:sz w:val="13"/>
          <w:szCs w:val="13"/>
          <w:color w:val="auto"/>
        </w:rPr>
        <w:t>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w:t>
      </w:r>
    </w:p>
    <w:p>
      <w:pPr>
        <w:spacing w:after="0" w:line="13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4.3.5 Each Preferred Director shall be entitled to [three] votes on each matter presented to the Board of Directors.</w:t>
      </w:r>
    </w:p>
    <w:p>
      <w:pPr>
        <w:spacing w:after="0" w:line="154" w:lineRule="exact"/>
        <w:rPr>
          <w:sz w:val="20"/>
          <w:szCs w:val="20"/>
          <w:color w:val="auto"/>
        </w:rPr>
      </w:pPr>
    </w:p>
    <w:p>
      <w:pPr>
        <w:ind w:left="1760" w:hanging="117"/>
        <w:spacing w:after="0"/>
        <w:tabs>
          <w:tab w:leader="none" w:pos="176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Rank; Liquidation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firstLine="1392"/>
        <w:spacing w:after="0" w:line="255" w:lineRule="auto"/>
        <w:rPr>
          <w:sz w:val="20"/>
          <w:szCs w:val="20"/>
          <w:color w:val="auto"/>
        </w:rPr>
      </w:pPr>
      <w:r>
        <w:rPr>
          <w:rFonts w:ascii="Times New Roman" w:cs="Times New Roman" w:eastAsia="Times New Roman" w:hAnsi="Times New Roman"/>
          <w:sz w:val="13"/>
          <w:szCs w:val="13"/>
          <w:color w:val="auto"/>
        </w:rPr>
        <w:t>5.1 The Series B Non-Voting Preferred Stock shall rank on parity with the Common Stock, the Corporation’s Series A Convertible Preferred Stock as to distributions of assets upon liquidation, dissolution or winding up of the Corporation, whether voluntarily or involuntarily.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9" w:name="page130"/>
    <w:bookmarkEnd w:id="129"/>
    <w:p>
      <w:pPr>
        <w:ind w:left="640" w:right="659" w:firstLine="1392"/>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5.2 Upon any liquidation, dissolution or winding-up of the Corporation, whether voluntary or involuntary (a “</w:t>
      </w:r>
      <w:r>
        <w:rPr>
          <w:rFonts w:ascii="Times New Roman" w:cs="Times New Roman" w:eastAsia="Times New Roman" w:hAnsi="Times New Roman"/>
          <w:sz w:val="12"/>
          <w:szCs w:val="12"/>
          <w:b w:val="1"/>
          <w:bCs w:val="1"/>
          <w:i w:val="1"/>
          <w:iCs w:val="1"/>
          <w:color w:val="auto"/>
        </w:rPr>
        <w:t>Liquidation</w:t>
      </w:r>
      <w:r>
        <w:rPr>
          <w:rFonts w:ascii="Times New Roman" w:cs="Times New Roman" w:eastAsia="Times New Roman" w:hAnsi="Times New Roman"/>
          <w:sz w:val="12"/>
          <w:szCs w:val="12"/>
          <w:color w:val="auto"/>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126" w:lineRule="exact"/>
        <w:rPr>
          <w:sz w:val="20"/>
          <w:szCs w:val="20"/>
          <w:color w:val="auto"/>
        </w:rPr>
      </w:pPr>
    </w:p>
    <w:p>
      <w:pPr>
        <w:ind w:left="1760" w:hanging="117"/>
        <w:spacing w:after="0"/>
        <w:tabs>
          <w:tab w:leader="none" w:pos="176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392"/>
        <w:spacing w:after="0" w:line="265"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Conversion at Option of Holder</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cs="Times New Roman" w:eastAsia="Times New Roman" w:hAnsi="Times New Roman"/>
          <w:sz w:val="12"/>
          <w:szCs w:val="12"/>
          <w:b w:val="1"/>
          <w:bCs w:val="1"/>
          <w:i w:val="1"/>
          <w:iCs w:val="1"/>
          <w:color w:val="auto"/>
        </w:rPr>
        <w:t>Optional Conversion</w:t>
      </w:r>
      <w:r>
        <w:rPr>
          <w:rFonts w:ascii="Times New Roman" w:cs="Times New Roman" w:eastAsia="Times New Roman" w:hAnsi="Times New Roman"/>
          <w:sz w:val="12"/>
          <w:szCs w:val="12"/>
          <w:color w:val="auto"/>
        </w:rPr>
        <w:t xml:space="preserve">”). Holders shall effect conversions by providing the Corporation with the form of conversion notice attached hereto as </w:t>
      </w:r>
      <w:r>
        <w:rPr>
          <w:rFonts w:ascii="Times New Roman" w:cs="Times New Roman" w:eastAsia="Times New Roman" w:hAnsi="Times New Roman"/>
          <w:sz w:val="12"/>
          <w:szCs w:val="12"/>
          <w:b w:val="1"/>
          <w:bCs w:val="1"/>
          <w:u w:val="single" w:color="auto"/>
          <w:color w:val="auto"/>
        </w:rPr>
        <w:t>Annex A</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b w:val="1"/>
          <w:bCs w:val="1"/>
          <w:i w:val="1"/>
          <w:iCs w:val="1"/>
          <w:color w:val="auto"/>
        </w:rPr>
        <w:t>Notice of Conversion</w:t>
      </w:r>
      <w:r>
        <w:rPr>
          <w:rFonts w:ascii="Times New Roman" w:cs="Times New Roman" w:eastAsia="Times New Roman" w:hAnsi="Times New Roman"/>
          <w:sz w:val="12"/>
          <w:szCs w:val="12"/>
          <w:color w:val="auto"/>
        </w:rPr>
        <w:t>”), duly completed and executed. Provided the Corporation’s transfer agent is participating in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2"/>
          <w:szCs w:val="12"/>
          <w:b w:val="1"/>
          <w:bCs w:val="1"/>
          <w:i w:val="1"/>
          <w:iCs w:val="1"/>
          <w:color w:val="auto"/>
        </w:rPr>
        <w:t>DWAC Delivery</w:t>
      </w:r>
      <w:r>
        <w:rPr>
          <w:rFonts w:ascii="Times New Roman" w:cs="Times New Roman" w:eastAsia="Times New Roman" w:hAnsi="Times New Roman"/>
          <w:sz w:val="12"/>
          <w:szCs w:val="12"/>
          <w:color w:val="auto"/>
        </w:rPr>
        <w:t>”). The date on which an Optional Conversion shall be deemed effective (the “</w:t>
      </w:r>
      <w:r>
        <w:rPr>
          <w:rFonts w:ascii="Times New Roman" w:cs="Times New Roman" w:eastAsia="Times New Roman" w:hAnsi="Times New Roman"/>
          <w:sz w:val="12"/>
          <w:szCs w:val="12"/>
          <w:b w:val="1"/>
          <w:bCs w:val="1"/>
          <w:i w:val="1"/>
          <w:iCs w:val="1"/>
          <w:color w:val="auto"/>
        </w:rPr>
        <w:t>Conversion Date</w:t>
      </w:r>
      <w:r>
        <w:rPr>
          <w:rFonts w:ascii="Times New Roman" w:cs="Times New Roman" w:eastAsia="Times New Roman" w:hAnsi="Times New Roman"/>
          <w:sz w:val="12"/>
          <w:szCs w:val="12"/>
          <w:color w:val="auto"/>
        </w:rPr>
        <w:t>”)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w:t>
      </w:r>
    </w:p>
    <w:p>
      <w:pPr>
        <w:spacing w:after="0" w:line="6" w:lineRule="exact"/>
        <w:rPr>
          <w:sz w:val="20"/>
          <w:szCs w:val="20"/>
          <w:color w:val="auto"/>
        </w:rPr>
      </w:pPr>
    </w:p>
    <w:p>
      <w:pPr>
        <w:jc w:val="both"/>
        <w:ind w:left="640" w:right="959" w:hanging="3"/>
        <w:spacing w:after="0" w:line="275" w:lineRule="auto"/>
        <w:tabs>
          <w:tab w:leader="none" w:pos="81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w:t>
      </w:r>
    </w:p>
    <w:p>
      <w:pPr>
        <w:spacing w:after="0" w:line="117" w:lineRule="exact"/>
        <w:rPr>
          <w:sz w:val="20"/>
          <w:szCs w:val="20"/>
          <w:color w:val="auto"/>
        </w:rPr>
      </w:pPr>
    </w:p>
    <w:p>
      <w:pPr>
        <w:jc w:val="both"/>
        <w:ind w:left="640" w:right="739" w:firstLine="1392"/>
        <w:spacing w:after="0" w:line="257"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Conversion Ratio</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i w:val="1"/>
          <w:iCs w:val="1"/>
          <w:color w:val="auto"/>
        </w:rPr>
        <w:t>Conversion Ratio</w:t>
      </w:r>
      <w:r>
        <w:rPr>
          <w:rFonts w:ascii="Times New Roman" w:cs="Times New Roman" w:eastAsia="Times New Roman" w:hAnsi="Times New Roman"/>
          <w:sz w:val="13"/>
          <w:szCs w:val="13"/>
          <w:color w:val="auto"/>
        </w:rPr>
        <w:t>” for each share of Series B Non-Voting Preferred Stock shall be 1,000 shares of Common Stock issuable upon the conversion (the “</w:t>
      </w:r>
      <w:r>
        <w:rPr>
          <w:rFonts w:ascii="Times New Roman" w:cs="Times New Roman" w:eastAsia="Times New Roman" w:hAnsi="Times New Roman"/>
          <w:sz w:val="13"/>
          <w:szCs w:val="13"/>
          <w:b w:val="1"/>
          <w:bCs w:val="1"/>
          <w:i w:val="1"/>
          <w:iCs w:val="1"/>
          <w:color w:val="auto"/>
        </w:rPr>
        <w:t>Conversion</w:t>
      </w:r>
      <w:r>
        <w:rPr>
          <w:rFonts w:ascii="Times New Roman" w:cs="Times New Roman" w:eastAsia="Times New Roman" w:hAnsi="Times New Roman"/>
          <w:sz w:val="13"/>
          <w:szCs w:val="13"/>
          <w:color w:val="auto"/>
        </w:rPr>
        <w:t>”) of each share of Series B Non-Voting Preferred Stock (corresponding to a ratio of 1,000:1), subject to adjustment as provided herein.</w:t>
      </w:r>
    </w:p>
    <w:p>
      <w:pPr>
        <w:spacing w:after="0" w:line="1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Notwithstanding anything herein to the contrary, the Corporation shall not effect 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conversion of any share of Series B Non-Voting Preferred Stock, and a Holder shall not have the right to convert any portion of the Series B Non-Voting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Preferred Stock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to the extent that, after giving effect to such attempted conversion set forth on an applicable Notice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Conversion (as defined in this Description of Rights) with respect to the Series B Preferred Stock, such Holder (or any of such Holder’s Affiliates or 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other Person who would be a beneficial owner of Common Stock beneficially owned by the Holder for purposes of Section 13(d) or Section 16 of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Act and the applicable rules and regulations of the Commission, including any “group” of which the Holder is a member (the foregoing,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Attribution Parties</w:t>
      </w:r>
      <w:r>
        <w:rPr>
          <w:rFonts w:ascii="Times New Roman" w:cs="Times New Roman" w:eastAsia="Times New Roman" w:hAnsi="Times New Roman"/>
          <w:sz w:val="12"/>
          <w:szCs w:val="12"/>
          <w:color w:val="auto"/>
        </w:rPr>
        <w:t>”)) would beneficially own a number of shares of Common Stock in excess of the Beneficial Ownership Limitation. For purposes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foregoing sentence, the aggregate number of shares of Common Stock beneficially owned by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30" w:name="page131"/>
    <w:bookmarkEnd w:id="130"/>
    <w:p>
      <w:pPr>
        <w:ind w:left="640" w:right="6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cs="Times New Roman" w:eastAsia="Times New Roman" w:hAnsi="Times New Roman"/>
          <w:sz w:val="12"/>
          <w:szCs w:val="12"/>
          <w:b w:val="1"/>
          <w:bCs w:val="1"/>
          <w:i w:val="1"/>
          <w:iCs w:val="1"/>
          <w:color w:val="auto"/>
        </w:rPr>
        <w:t>Beneficial Ownership Limitation</w:t>
      </w:r>
      <w:r>
        <w:rPr>
          <w:rFonts w:ascii="Times New Roman" w:cs="Times New Roman" w:eastAsia="Times New Roman" w:hAnsi="Times New Roman"/>
          <w:sz w:val="12"/>
          <w:szCs w:val="12"/>
          <w:color w:val="auto"/>
        </w:rPr>
        <w:t>”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w:t>
      </w:r>
    </w:p>
    <w:p>
      <w:pPr>
        <w:spacing w:after="0" w:line="148" w:lineRule="exact"/>
        <w:rPr>
          <w:sz w:val="20"/>
          <w:szCs w:val="20"/>
          <w:color w:val="auto"/>
        </w:rPr>
      </w:pPr>
    </w:p>
    <w:p>
      <w:pPr>
        <w:ind w:left="640" w:right="679"/>
        <w:spacing w:after="0" w:line="243" w:lineRule="auto"/>
        <w:rPr>
          <w:sz w:val="20"/>
          <w:szCs w:val="20"/>
          <w:color w:val="auto"/>
        </w:rPr>
      </w:pPr>
      <w:r>
        <w:rPr>
          <w:rFonts w:ascii="Times New Roman" w:cs="Times New Roman" w:eastAsia="Times New Roman" w:hAnsi="Times New Roman"/>
          <w:sz w:val="13"/>
          <w:szCs w:val="13"/>
          <w:color w:val="auto"/>
        </w:rPr>
        <w:t xml:space="preserve">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31" w:name="page132"/>
    <w:bookmarkEnd w:id="131"/>
    <w:p>
      <w:pPr>
        <w:ind w:left="20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Mechanics of Conversion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701"/>
        <w:spacing w:after="0" w:line="268" w:lineRule="auto"/>
        <w:rPr>
          <w:sz w:val="20"/>
          <w:szCs w:val="20"/>
          <w:color w:val="auto"/>
        </w:rPr>
      </w:pPr>
      <w:r>
        <w:rPr>
          <w:rFonts w:ascii="Times New Roman" w:cs="Times New Roman" w:eastAsia="Times New Roman" w:hAnsi="Times New Roman"/>
          <w:sz w:val="12"/>
          <w:szCs w:val="12"/>
          <w:color w:val="auto"/>
        </w:rPr>
        <w:t xml:space="preserve">6.5.1 </w:t>
      </w:r>
      <w:r>
        <w:rPr>
          <w:rFonts w:ascii="Times New Roman" w:cs="Times New Roman" w:eastAsia="Times New Roman" w:hAnsi="Times New Roman"/>
          <w:sz w:val="12"/>
          <w:szCs w:val="12"/>
          <w:u w:val="single" w:color="auto"/>
          <w:color w:val="auto"/>
        </w:rPr>
        <w:t>Delivery of Certificate or Electronic Issuance</w:t>
      </w:r>
      <w:r>
        <w:rPr>
          <w:rFonts w:ascii="Times New Roman" w:cs="Times New Roman" w:eastAsia="Times New Roman" w:hAnsi="Times New Roman"/>
          <w:sz w:val="12"/>
          <w:szCs w:val="12"/>
          <w:color w:val="auto"/>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cs="Times New Roman" w:eastAsia="Times New Roman" w:hAnsi="Times New Roman"/>
          <w:sz w:val="12"/>
          <w:szCs w:val="12"/>
          <w:b w:val="1"/>
          <w:bCs w:val="1"/>
          <w:i w:val="1"/>
          <w:iCs w:val="1"/>
          <w:color w:val="auto"/>
        </w:rPr>
        <w:t>Share Delivery Date</w:t>
      </w:r>
      <w:r>
        <w:rPr>
          <w:rFonts w:ascii="Times New Roman" w:cs="Times New Roman" w:eastAsia="Times New Roman" w:hAnsi="Times New Roman"/>
          <w:sz w:val="12"/>
          <w:szCs w:val="12"/>
          <w:color w:val="auto"/>
        </w:rPr>
        <w:t>”), the Corporation shall either: (a) deliver, or cause to be delivered, to the converting Holder a physical certificate or certificates representing the number of Conversion Shares being acquired upon the conversion of shares of Series B Non-Voting Preferred Stock, or</w:t>
      </w:r>
    </w:p>
    <w:p>
      <w:pPr>
        <w:spacing w:after="0" w:line="1" w:lineRule="exact"/>
        <w:rPr>
          <w:sz w:val="20"/>
          <w:szCs w:val="20"/>
          <w:color w:val="auto"/>
        </w:rPr>
      </w:pPr>
    </w:p>
    <w:p>
      <w:pPr>
        <w:ind w:left="640" w:right="679" w:hanging="3"/>
        <w:spacing w:after="0" w:line="243" w:lineRule="auto"/>
        <w:tabs>
          <w:tab w:leader="none" w:pos="819"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w:t>
      </w:r>
    </w:p>
    <w:p>
      <w:pPr>
        <w:spacing w:after="0" w:line="141" w:lineRule="exact"/>
        <w:rPr>
          <w:sz w:val="20"/>
          <w:szCs w:val="20"/>
          <w:color w:val="auto"/>
        </w:rPr>
      </w:pPr>
    </w:p>
    <w:p>
      <w:pPr>
        <w:ind w:left="640" w:right="659" w:firstLine="1701"/>
        <w:spacing w:after="0" w:line="245" w:lineRule="auto"/>
        <w:rPr>
          <w:sz w:val="20"/>
          <w:szCs w:val="20"/>
          <w:color w:val="auto"/>
        </w:rPr>
      </w:pPr>
      <w:r>
        <w:rPr>
          <w:rFonts w:ascii="Times New Roman" w:cs="Times New Roman" w:eastAsia="Times New Roman" w:hAnsi="Times New Roman"/>
          <w:sz w:val="13"/>
          <w:szCs w:val="13"/>
          <w:color w:val="auto"/>
        </w:rPr>
        <w:t xml:space="preserve">6.5.2 </w:t>
      </w:r>
      <w:r>
        <w:rPr>
          <w:rFonts w:ascii="Times New Roman" w:cs="Times New Roman" w:eastAsia="Times New Roman" w:hAnsi="Times New Roman"/>
          <w:sz w:val="13"/>
          <w:szCs w:val="13"/>
          <w:u w:val="single" w:color="auto"/>
          <w:color w:val="auto"/>
        </w:rPr>
        <w:t>Obligation Absolute</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issue Conversion Shares upon a properly noticed conversion.</w:t>
      </w:r>
    </w:p>
    <w:p>
      <w:pPr>
        <w:spacing w:after="0" w:line="136" w:lineRule="exact"/>
        <w:rPr>
          <w:sz w:val="20"/>
          <w:szCs w:val="20"/>
          <w:color w:val="auto"/>
        </w:rPr>
      </w:pPr>
    </w:p>
    <w:p>
      <w:pPr>
        <w:ind w:left="640" w:right="659" w:firstLine="1701"/>
        <w:spacing w:after="0" w:line="268" w:lineRule="auto"/>
        <w:rPr>
          <w:sz w:val="20"/>
          <w:szCs w:val="20"/>
          <w:color w:val="auto"/>
        </w:rPr>
      </w:pPr>
      <w:r>
        <w:rPr>
          <w:rFonts w:ascii="Times New Roman" w:cs="Times New Roman" w:eastAsia="Times New Roman" w:hAnsi="Times New Roman"/>
          <w:sz w:val="12"/>
          <w:szCs w:val="12"/>
          <w:color w:val="auto"/>
        </w:rPr>
        <w:t xml:space="preserve">6.5.3 </w:t>
      </w:r>
      <w:r>
        <w:rPr>
          <w:rFonts w:ascii="Times New Roman" w:cs="Times New Roman" w:eastAsia="Times New Roman" w:hAnsi="Times New Roman"/>
          <w:sz w:val="12"/>
          <w:szCs w:val="12"/>
          <w:u w:val="single" w:color="auto"/>
          <w:color w:val="auto"/>
        </w:rPr>
        <w:t>Cash Settlement</w:t>
      </w:r>
      <w:r>
        <w:rPr>
          <w:rFonts w:ascii="Times New Roman" w:cs="Times New Roman" w:eastAsia="Times New Roman" w:hAnsi="Times New Roman"/>
          <w:sz w:val="12"/>
          <w:szCs w:val="12"/>
          <w:color w:val="auto"/>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the “Fair Value” of shares shall be fixed with reference to the last reported Closing Sale Price on the principal Trading Market on which the Common Stock is listed as of the Trading Day immediately prior to the date on which the Notice of Conversion is delivered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32" w:name="page133"/>
    <w:bookmarkEnd w:id="132"/>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Corporation. For the avoidance of doubt, the cash settlement provisions set forth in this </w:t>
      </w:r>
      <w:r>
        <w:rPr>
          <w:rFonts w:ascii="Times New Roman" w:cs="Times New Roman" w:eastAsia="Times New Roman" w:hAnsi="Times New Roman"/>
          <w:sz w:val="13"/>
          <w:szCs w:val="13"/>
          <w:u w:val="single" w:color="auto"/>
          <w:color w:val="auto"/>
        </w:rPr>
        <w:t>Section 6.5.3</w:t>
      </w:r>
      <w:r>
        <w:rPr>
          <w:rFonts w:ascii="Times New Roman" w:cs="Times New Roman" w:eastAsia="Times New Roman" w:hAnsi="Times New Roman"/>
          <w:sz w:val="13"/>
          <w:szCs w:val="13"/>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cs="Times New Roman" w:eastAsia="Times New Roman" w:hAnsi="Times New Roman"/>
          <w:sz w:val="13"/>
          <w:szCs w:val="13"/>
          <w:u w:val="single" w:color="auto"/>
          <w:color w:val="auto"/>
        </w:rPr>
        <w:t>Section 6.5.6</w:t>
      </w:r>
      <w:r>
        <w:rPr>
          <w:rFonts w:ascii="Times New Roman" w:cs="Times New Roman" w:eastAsia="Times New Roman" w:hAnsi="Times New Roman"/>
          <w:sz w:val="13"/>
          <w:szCs w:val="13"/>
          <w:color w:val="auto"/>
        </w:rPr>
        <w:t>, due to applicable Trading Market rules.</w:t>
      </w:r>
    </w:p>
    <w:p>
      <w:pPr>
        <w:spacing w:after="0" w:line="133" w:lineRule="exact"/>
        <w:rPr>
          <w:sz w:val="20"/>
          <w:szCs w:val="20"/>
          <w:color w:val="auto"/>
        </w:rPr>
      </w:pPr>
    </w:p>
    <w:p>
      <w:pPr>
        <w:ind w:left="640" w:right="659" w:firstLine="1701"/>
        <w:spacing w:after="0" w:line="264" w:lineRule="auto"/>
        <w:rPr>
          <w:sz w:val="20"/>
          <w:szCs w:val="20"/>
          <w:color w:val="auto"/>
        </w:rPr>
      </w:pPr>
      <w:r>
        <w:rPr>
          <w:rFonts w:ascii="Times New Roman" w:cs="Times New Roman" w:eastAsia="Times New Roman" w:hAnsi="Times New Roman"/>
          <w:sz w:val="12"/>
          <w:szCs w:val="12"/>
          <w:color w:val="auto"/>
        </w:rPr>
        <w:t xml:space="preserve">6.5.4 </w:t>
      </w:r>
      <w:r>
        <w:rPr>
          <w:rFonts w:ascii="Times New Roman" w:cs="Times New Roman" w:eastAsia="Times New Roman" w:hAnsi="Times New Roman"/>
          <w:sz w:val="12"/>
          <w:szCs w:val="12"/>
          <w:u w:val="single" w:color="auto"/>
          <w:color w:val="auto"/>
        </w:rPr>
        <w:t>Buy-In on Failure to Timely Deliver Certificates</w:t>
      </w:r>
      <w:r>
        <w:rPr>
          <w:rFonts w:ascii="Times New Roman" w:cs="Times New Roman" w:eastAsia="Times New Roman" w:hAnsi="Times New Roman"/>
          <w:sz w:val="12"/>
          <w:szCs w:val="12"/>
          <w:color w:val="auto"/>
        </w:rPr>
        <w:t xml:space="preserve">. If the Corporation fails to deliver to a Holder the applicable certificate or certificates or to effect a DWAC Delivery, as applicable, by the Share Delivery Date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2"/>
          <w:szCs w:val="12"/>
          <w:b w:val="1"/>
          <w:bCs w:val="1"/>
          <w:i w:val="1"/>
          <w:iCs w:val="1"/>
          <w:color w:val="auto"/>
        </w:rPr>
        <w:t>Buy-In</w:t>
      </w:r>
      <w:r>
        <w:rPr>
          <w:rFonts w:ascii="Times New Roman" w:cs="Times New Roman" w:eastAsia="Times New Roman" w:hAnsi="Times New Roman"/>
          <w:sz w:val="12"/>
          <w:szCs w:val="12"/>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provided, however, that the Holder shall not be entitled to both (i) require the reissuance of the shares of Series B Non-Voting Preferred Stock submitted for conversion for which such conversion was not timely honored and</w:t>
      </w:r>
    </w:p>
    <w:p>
      <w:pPr>
        <w:spacing w:after="0" w:line="9" w:lineRule="exact"/>
        <w:rPr>
          <w:sz w:val="20"/>
          <w:szCs w:val="20"/>
          <w:color w:val="auto"/>
        </w:rPr>
      </w:pPr>
    </w:p>
    <w:p>
      <w:pPr>
        <w:ind w:left="640" w:right="779" w:hanging="3"/>
        <w:spacing w:after="0" w:line="246" w:lineRule="auto"/>
        <w:tabs>
          <w:tab w:leader="none" w:pos="826"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receive the number of shares of Common Stock that would have been issued if the Corporation had timely complied with its delivery requirements under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79" w:firstLine="1701"/>
        <w:spacing w:after="0" w:line="248" w:lineRule="auto"/>
        <w:rPr>
          <w:sz w:val="20"/>
          <w:szCs w:val="20"/>
          <w:color w:val="auto"/>
        </w:rPr>
      </w:pPr>
      <w:r>
        <w:rPr>
          <w:rFonts w:ascii="Times New Roman" w:cs="Times New Roman" w:eastAsia="Times New Roman" w:hAnsi="Times New Roman"/>
          <w:sz w:val="13"/>
          <w:szCs w:val="13"/>
          <w:color w:val="auto"/>
        </w:rPr>
        <w:t xml:space="preserve">6.5.5 </w:t>
      </w:r>
      <w:r>
        <w:rPr>
          <w:rFonts w:ascii="Times New Roman" w:cs="Times New Roman" w:eastAsia="Times New Roman" w:hAnsi="Times New Roman"/>
          <w:sz w:val="13"/>
          <w:szCs w:val="13"/>
          <w:u w:val="single" w:color="auto"/>
          <w:color w:val="auto"/>
        </w:rPr>
        <w:t>Reservation of Shares Issuable Upon Conversion</w:t>
      </w:r>
      <w:r>
        <w:rPr>
          <w:rFonts w:ascii="Times New Roman" w:cs="Times New Roman" w:eastAsia="Times New Roman" w:hAnsi="Times New Roman"/>
          <w:sz w:val="13"/>
          <w:szCs w:val="13"/>
          <w:color w:val="auto"/>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upon the conversion of all outstanding shares of Series B Non-Voting Preferred Stock. The Corporation covenants that all shares of Common Stock that shall be so issuable shall, upon issue, be duly authorized, validly issued, fully paid and non-assessable.</w:t>
      </w:r>
    </w:p>
    <w:p>
      <w:pPr>
        <w:spacing w:after="0" w:line="135" w:lineRule="exact"/>
        <w:rPr>
          <w:sz w:val="20"/>
          <w:szCs w:val="20"/>
          <w:color w:val="auto"/>
        </w:rPr>
      </w:pPr>
    </w:p>
    <w:p>
      <w:pPr>
        <w:ind w:left="640" w:right="859" w:firstLine="1701"/>
        <w:spacing w:after="0" w:line="251" w:lineRule="auto"/>
        <w:rPr>
          <w:sz w:val="20"/>
          <w:szCs w:val="20"/>
          <w:color w:val="auto"/>
        </w:rPr>
      </w:pPr>
      <w:r>
        <w:rPr>
          <w:rFonts w:ascii="Times New Roman" w:cs="Times New Roman" w:eastAsia="Times New Roman" w:hAnsi="Times New Roman"/>
          <w:sz w:val="13"/>
          <w:szCs w:val="13"/>
          <w:color w:val="auto"/>
        </w:rPr>
        <w:t xml:space="preserve">6.5.6 </w:t>
      </w:r>
      <w:r>
        <w:rPr>
          <w:rFonts w:ascii="Times New Roman" w:cs="Times New Roman" w:eastAsia="Times New Roman" w:hAnsi="Times New Roman"/>
          <w:sz w:val="13"/>
          <w:szCs w:val="13"/>
          <w:u w:val="single" w:color="auto"/>
          <w:color w:val="auto"/>
        </w:rPr>
        <w:t>Fractional Shares</w:t>
      </w:r>
      <w:r>
        <w:rPr>
          <w:rFonts w:ascii="Times New Roman" w:cs="Times New Roman" w:eastAsia="Times New Roman" w:hAnsi="Times New Roman"/>
          <w:sz w:val="13"/>
          <w:szCs w:val="13"/>
          <w:color w:val="auto"/>
        </w:rPr>
        <w:t>.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33" w:name="page134"/>
    <w:bookmarkEnd w:id="133"/>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w:t>
      </w:r>
    </w:p>
    <w:p>
      <w:pPr>
        <w:spacing w:after="0" w:line="133" w:lineRule="exact"/>
        <w:rPr>
          <w:sz w:val="20"/>
          <w:szCs w:val="20"/>
          <w:color w:val="auto"/>
        </w:rPr>
      </w:pPr>
    </w:p>
    <w:p>
      <w:pPr>
        <w:ind w:left="640" w:right="679" w:firstLine="1701"/>
        <w:spacing w:after="0" w:line="247" w:lineRule="auto"/>
        <w:rPr>
          <w:sz w:val="20"/>
          <w:szCs w:val="20"/>
          <w:color w:val="auto"/>
        </w:rPr>
      </w:pPr>
      <w:r>
        <w:rPr>
          <w:rFonts w:ascii="Times New Roman" w:cs="Times New Roman" w:eastAsia="Times New Roman" w:hAnsi="Times New Roman"/>
          <w:sz w:val="13"/>
          <w:szCs w:val="13"/>
          <w:color w:val="auto"/>
        </w:rPr>
        <w:t xml:space="preserve">6.5.7 </w:t>
      </w:r>
      <w:r>
        <w:rPr>
          <w:rFonts w:ascii="Times New Roman" w:cs="Times New Roman" w:eastAsia="Times New Roman" w:hAnsi="Times New Roman"/>
          <w:sz w:val="13"/>
          <w:szCs w:val="13"/>
          <w:u w:val="single" w:color="auto"/>
          <w:color w:val="auto"/>
        </w:rPr>
        <w:t>Transfer Taxes</w:t>
      </w:r>
      <w:r>
        <w:rPr>
          <w:rFonts w:ascii="Times New Roman" w:cs="Times New Roman" w:eastAsia="Times New Roman" w:hAnsi="Times New Roman"/>
          <w:sz w:val="13"/>
          <w:szCs w:val="13"/>
          <w:color w:val="auto"/>
        </w:rPr>
        <w:t>.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36" w:lineRule="exact"/>
        <w:rPr>
          <w:sz w:val="20"/>
          <w:szCs w:val="20"/>
          <w:color w:val="auto"/>
        </w:rPr>
      </w:pPr>
    </w:p>
    <w:p>
      <w:pPr>
        <w:ind w:left="640" w:right="719" w:firstLine="1392"/>
        <w:spacing w:after="0" w:line="248"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Status as Stockholder</w:t>
      </w:r>
      <w:r>
        <w:rPr>
          <w:rFonts w:ascii="Times New Roman" w:cs="Times New Roman" w:eastAsia="Times New Roman" w:hAnsi="Times New Roman"/>
          <w:sz w:val="13"/>
          <w:szCs w:val="13"/>
          <w:color w:val="auto"/>
        </w:rPr>
        <w:t>.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w:t>
      </w:r>
    </w:p>
    <w:p>
      <w:pPr>
        <w:spacing w:after="0" w:line="135" w:lineRule="exact"/>
        <w:rPr>
          <w:sz w:val="20"/>
          <w:szCs w:val="20"/>
          <w:color w:val="auto"/>
        </w:rPr>
      </w:pPr>
    </w:p>
    <w:p>
      <w:pPr>
        <w:ind w:left="1760" w:hanging="117"/>
        <w:spacing w:after="0"/>
        <w:tabs>
          <w:tab w:leader="none" w:pos="176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Adjustments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Stock Dividends and Stock Splits</w:t>
      </w:r>
      <w:r>
        <w:rPr>
          <w:rFonts w:ascii="Times New Roman" w:cs="Times New Roman" w:eastAsia="Times New Roman" w:hAnsi="Times New Roman"/>
          <w:sz w:val="13"/>
          <w:szCs w:val="13"/>
          <w:color w:val="auto"/>
        </w:rPr>
        <w:t>. If the Corporation, at any time while this Series B Non-Voting Preferred Stock is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outstanding: (A) pays a stock dividend or otherwise makes a distribution or distributions payable in shares of Common Stock (which, for avoidance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doubt, shall not include any shares of Common Stock issued by the Corporation upon conversion of this Series B Non-Voting Preferred Stock) with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respect to the then outstanding shares of Common Stock; (B) subdivides outstanding shares of Common Stock into a larger number of shares; or</w:t>
      </w:r>
    </w:p>
    <w:p>
      <w:pPr>
        <w:spacing w:after="0" w:line="2" w:lineRule="exact"/>
        <w:rPr>
          <w:sz w:val="20"/>
          <w:szCs w:val="20"/>
          <w:color w:val="auto"/>
        </w:rPr>
      </w:pPr>
    </w:p>
    <w:p>
      <w:pPr>
        <w:jc w:val="both"/>
        <w:ind w:left="640" w:right="899" w:hanging="3"/>
        <w:spacing w:after="0" w:line="244" w:lineRule="auto"/>
        <w:tabs>
          <w:tab w:leader="none" w:pos="84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37" w:lineRule="exact"/>
        <w:rPr>
          <w:sz w:val="20"/>
          <w:szCs w:val="20"/>
          <w:color w:val="auto"/>
        </w:rPr>
      </w:pPr>
    </w:p>
    <w:p>
      <w:pPr>
        <w:ind w:left="640" w:right="659" w:firstLine="1392"/>
        <w:spacing w:after="0" w:line="246"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Fundamental Transaction</w:t>
      </w:r>
      <w:r>
        <w:rPr>
          <w:rFonts w:ascii="Times New Roman" w:cs="Times New Roman" w:eastAsia="Times New Roman" w:hAnsi="Times New Roman"/>
          <w:sz w:val="13"/>
          <w:szCs w:val="13"/>
          <w:color w:val="auto"/>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to which the Common Stock is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34" w:name="page135"/>
    <w:bookmarkEnd w:id="134"/>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effectively converted into or exchanged for other securities, cash or property (in any such case, a “</w:t>
      </w:r>
      <w:r>
        <w:rPr>
          <w:rFonts w:ascii="Times New Roman" w:cs="Times New Roman" w:eastAsia="Times New Roman" w:hAnsi="Times New Roman"/>
          <w:sz w:val="13"/>
          <w:szCs w:val="13"/>
          <w:b w:val="1"/>
          <w:bCs w:val="1"/>
          <w:i w:val="1"/>
          <w:iCs w:val="1"/>
          <w:color w:val="auto"/>
        </w:rPr>
        <w:t>Fundamental Transaction</w:t>
      </w:r>
      <w:r>
        <w:rPr>
          <w:rFonts w:ascii="Times New Roman" w:cs="Times New Roman" w:eastAsia="Times New Roman" w:hAnsi="Times New Roman"/>
          <w:sz w:val="13"/>
          <w:szCs w:val="13"/>
          <w:color w:val="auto"/>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3"/>
          <w:szCs w:val="13"/>
          <w:b w:val="1"/>
          <w:bCs w:val="1"/>
          <w:i w:val="1"/>
          <w:iCs w:val="1"/>
          <w:color w:val="auto"/>
        </w:rPr>
        <w:t>Alternate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Consideration</w:t>
      </w:r>
      <w:r>
        <w:rPr>
          <w:rFonts w:ascii="Times New Roman" w:cs="Times New Roman" w:eastAsia="Times New Roman" w:hAnsi="Times New Roman"/>
          <w:sz w:val="13"/>
          <w:szCs w:val="13"/>
          <w:color w:val="auto"/>
        </w:rPr>
        <w:t>”). For purposes of any such subsequent conversion, the determination of the Conversion Ratio shall be appropriately adjusted to apply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147" w:lineRule="exact"/>
        <w:rPr>
          <w:sz w:val="20"/>
          <w:szCs w:val="20"/>
          <w:color w:val="auto"/>
        </w:rPr>
      </w:pPr>
    </w:p>
    <w:p>
      <w:pPr>
        <w:ind w:left="640" w:right="699" w:firstLine="1392"/>
        <w:spacing w:after="0" w:line="255"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Calculations</w:t>
      </w:r>
      <w:r>
        <w:rPr>
          <w:rFonts w:ascii="Times New Roman" w:cs="Times New Roman" w:eastAsia="Times New Roman" w:hAnsi="Times New Roman"/>
          <w:sz w:val="13"/>
          <w:szCs w:val="13"/>
          <w:color w:val="auto"/>
        </w:rPr>
        <w:t xml:space="preserve">. All calculations under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made to the nearest cent or the nearest 1/100th of a share, as the case may be. For purposes of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30" w:lineRule="exact"/>
        <w:rPr>
          <w:sz w:val="20"/>
          <w:szCs w:val="20"/>
          <w:color w:val="auto"/>
        </w:rPr>
      </w:pPr>
    </w:p>
    <w:p>
      <w:pPr>
        <w:jc w:val="both"/>
        <w:ind w:left="640" w:right="779" w:firstLine="1003"/>
        <w:spacing w:after="0" w:line="255" w:lineRule="auto"/>
        <w:tabs>
          <w:tab w:leader="none" w:pos="1772"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cs="Times New Roman" w:eastAsia="Times New Roman" w:hAnsi="Times New Roman"/>
          <w:sz w:val="13"/>
          <w:szCs w:val="13"/>
          <w:u w:val="single" w:color="auto"/>
          <w:color w:val="auto"/>
        </w:rPr>
        <w:t>Section 6.5.3</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72" w:lineRule="auto"/>
        <w:tabs>
          <w:tab w:leader="none" w:pos="1772"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transferee of any shares of Series B Non-Voting Preferred Stock shall be subject to the Beneficial Ownership Limitation applicable to the transferor as of the time of such transfer.</w:t>
      </w:r>
    </w:p>
    <w:p>
      <w:pPr>
        <w:spacing w:after="0" w:line="123" w:lineRule="exact"/>
        <w:rPr>
          <w:rFonts w:ascii="Times New Roman" w:cs="Times New Roman" w:eastAsia="Times New Roman" w:hAnsi="Times New Roman"/>
          <w:sz w:val="12"/>
          <w:szCs w:val="12"/>
          <w:color w:val="auto"/>
        </w:rPr>
      </w:pPr>
    </w:p>
    <w:p>
      <w:pPr>
        <w:ind w:left="640" w:right="739" w:firstLine="1003"/>
        <w:spacing w:after="0" w:line="271" w:lineRule="auto"/>
        <w:tabs>
          <w:tab w:leader="none" w:pos="183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Series B Non-Voting Preferred Stock Register</w:t>
      </w:r>
      <w:r>
        <w:rPr>
          <w:rFonts w:ascii="Times New Roman" w:cs="Times New Roman" w:eastAsia="Times New Roman" w:hAnsi="Times New Roman"/>
          <w:sz w:val="12"/>
          <w:szCs w:val="12"/>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35" w:name="page136"/>
    <w:bookmarkEnd w:id="135"/>
    <w:p>
      <w:pPr>
        <w:ind w:left="640" w:right="779" w:firstLine="1003"/>
        <w:spacing w:after="0" w:line="251" w:lineRule="auto"/>
        <w:tabs>
          <w:tab w:leader="none" w:pos="183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Notices</w:t>
      </w:r>
      <w:r>
        <w:rPr>
          <w:rFonts w:ascii="Times New Roman" w:cs="Times New Roman" w:eastAsia="Times New Roman" w:hAnsi="Times New Roman"/>
          <w:sz w:val="13"/>
          <w:szCs w:val="13"/>
          <w:color w:val="auto"/>
        </w:rPr>
        <w:t>.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Book-Entry; Certificates</w:t>
      </w:r>
      <w:r>
        <w:rPr>
          <w:rFonts w:ascii="Times New Roman" w:cs="Times New Roman" w:eastAsia="Times New Roman" w:hAnsi="Times New Roman"/>
          <w:sz w:val="13"/>
          <w:szCs w:val="13"/>
          <w:color w:val="auto"/>
        </w:rPr>
        <w:t>.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Lost or Mutilated Series B Non-Voting Preferred Stock Certificate</w:t>
      </w:r>
      <w:r>
        <w:rPr>
          <w:rFonts w:ascii="Times New Roman" w:cs="Times New Roman" w:eastAsia="Times New Roman" w:hAnsi="Times New Roman"/>
          <w:sz w:val="13"/>
          <w:szCs w:val="13"/>
          <w:color w:val="auto"/>
        </w:rPr>
        <w:t>.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36" w:name="page137"/>
    <w:bookmarkEnd w:id="136"/>
    <w:p>
      <w:pPr>
        <w:ind w:left="640" w:right="739" w:firstLine="1003"/>
        <w:spacing w:after="0" w:line="249" w:lineRule="auto"/>
        <w:tabs>
          <w:tab w:leader="none" w:pos="1835"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Status of Converted Series B Non-Voting Preferred Stock</w:t>
      </w:r>
      <w:r>
        <w:rPr>
          <w:rFonts w:ascii="Times New Roman" w:cs="Times New Roman" w:eastAsia="Times New Roman" w:hAnsi="Times New Roman"/>
          <w:sz w:val="13"/>
          <w:szCs w:val="13"/>
          <w:color w:val="auto"/>
        </w:rPr>
        <w:t>.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37" w:name="page138"/>
    <w:bookmarkEnd w:id="137"/>
    <w:p>
      <w:pPr>
        <w:ind w:left="42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8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color w:val="auto"/>
        </w:rPr>
        <w:t>NOTICE OF CONVERSION</w:t>
      </w:r>
    </w:p>
    <w:p>
      <w:pPr>
        <w:spacing w:after="0" w:line="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2"/>
          <w:szCs w:val="12"/>
          <w:color w:val="auto"/>
        </w:rPr>
        <w:t>(TO BE EXECUTED BY THE REGISTERED HOLDER IN ORDER TO CONVERT SHARES OF SERIES B NON-VOTING CONVERTIBLE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PREFERRED STOCK)</w:t>
      </w:r>
    </w:p>
    <w:p>
      <w:pPr>
        <w:spacing w:after="0" w:line="141"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The undersigned Holder hereby irrevocably elects to convert the number of shares of Series B Non-Voting Preferred Stock indicated below, represented in book-entry form, into shares of common stock, no par value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of Cyclerion Therapeutics, Inc., a Massachusetts corporation (the “</w:t>
      </w:r>
      <w:r>
        <w:rPr>
          <w:rFonts w:ascii="Times New Roman" w:cs="Times New Roman" w:eastAsia="Times New Roman" w:hAnsi="Times New Roman"/>
          <w:sz w:val="13"/>
          <w:szCs w:val="13"/>
          <w:b w:val="1"/>
          <w:bCs w:val="1"/>
          <w:i w:val="1"/>
          <w:iCs w:val="1"/>
          <w:color w:val="auto"/>
        </w:rPr>
        <w:t>Corporation</w:t>
      </w:r>
      <w:r>
        <w:rPr>
          <w:rFonts w:ascii="Times New Roman" w:cs="Times New Roman" w:eastAsia="Times New Roman" w:hAnsi="Times New Roman"/>
          <w:sz w:val="13"/>
          <w:szCs w:val="13"/>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cs="Times New Roman" w:eastAsia="Times New Roman" w:hAnsi="Times New Roman"/>
          <w:sz w:val="13"/>
          <w:szCs w:val="13"/>
          <w:b w:val="1"/>
          <w:bCs w:val="1"/>
          <w:i w:val="1"/>
          <w:iCs w:val="1"/>
          <w:color w:val="auto"/>
        </w:rPr>
        <w:t>Articles of Amendment</w:t>
      </w:r>
      <w:r>
        <w:rPr>
          <w:rFonts w:ascii="Times New Roman" w:cs="Times New Roman" w:eastAsia="Times New Roman" w:hAnsi="Times New Roman"/>
          <w:sz w:val="13"/>
          <w:szCs w:val="13"/>
          <w:color w:val="auto"/>
        </w:rPr>
        <w:t>”) filed by the Corporation with the Secretary of the Commonwealth of Massachusetts on [__], 2026.</w:t>
      </w:r>
    </w:p>
    <w:p>
      <w:pPr>
        <w:spacing w:after="0" w:line="135" w:lineRule="exact"/>
        <w:rPr>
          <w:sz w:val="20"/>
          <w:szCs w:val="20"/>
          <w:color w:val="auto"/>
        </w:rPr>
      </w:pPr>
    </w:p>
    <w:p>
      <w:pPr>
        <w:ind w:left="640" w:right="699"/>
        <w:spacing w:after="0" w:line="266" w:lineRule="auto"/>
        <w:rPr>
          <w:sz w:val="20"/>
          <w:szCs w:val="20"/>
          <w:color w:val="auto"/>
        </w:rPr>
      </w:pPr>
      <w:r>
        <w:rPr>
          <w:rFonts w:ascii="Times New Roman" w:cs="Times New Roman" w:eastAsia="Times New Roman" w:hAnsi="Times New Roman"/>
          <w:sz w:val="12"/>
          <w:szCs w:val="12"/>
          <w:color w:val="auto"/>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of the Attachment IV of the Articles of Amendment, is _____%. For purposes hereof, beneficial ownership shall be calculated in accordance with Section 13(d) of the Exchange Act and the</w:t>
      </w:r>
    </w:p>
    <w:p>
      <w:pPr>
        <w:spacing w:after="0" w:line="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applicable regulations of the Commission. In addition, for purposes hereof, “group” has the meaning set forth in Section 13(d) of the Exchange Act and the applicable regulations of the Commission.</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CONVERSION CALCULATIONS: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Series B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Series B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DWAC Delivery, please provide the following:</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-7620</wp:posOffset>
            </wp:positionV>
            <wp:extent cx="7219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-15875</wp:posOffset>
            </wp:positionV>
            <wp:extent cx="6819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99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[HOLDER]</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38" w:name="page139"/>
    <w:bookmarkEnd w:id="13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COMPANY SUPPORT AGREEMENT</w:t>
      </w:r>
    </w:p>
    <w:p>
      <w:pPr>
        <w:spacing w:after="0" w:line="156" w:lineRule="exact"/>
        <w:rPr>
          <w:sz w:val="20"/>
          <w:szCs w:val="20"/>
          <w:color w:val="auto"/>
        </w:rPr>
      </w:pPr>
    </w:p>
    <w:p>
      <w:pPr>
        <w:jc w:val="both"/>
        <w:ind w:left="640" w:right="799" w:firstLine="309"/>
        <w:spacing w:after="0" w:line="279" w:lineRule="auto"/>
        <w:rPr>
          <w:sz w:val="20"/>
          <w:szCs w:val="20"/>
          <w:color w:val="auto"/>
        </w:rPr>
      </w:pPr>
      <w:r>
        <w:rPr>
          <w:rFonts w:ascii="Times New Roman" w:cs="Times New Roman" w:eastAsia="Times New Roman" w:hAnsi="Times New Roman"/>
          <w:sz w:val="12"/>
          <w:szCs w:val="12"/>
          <w:color w:val="auto"/>
        </w:rPr>
        <w:t>This Support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April 1, 2026, by and among Korsana Biosciences,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Cyclerion Therapeutics, Inc., a Massachusetts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and the undersigned stockholder of the Company (the “</w:t>
      </w:r>
      <w:r>
        <w:rPr>
          <w:rFonts w:ascii="Times New Roman" w:cs="Times New Roman" w:eastAsia="Times New Roman" w:hAnsi="Times New Roman"/>
          <w:sz w:val="12"/>
          <w:szCs w:val="12"/>
          <w:u w:val="single" w:color="auto"/>
          <w:color w:val="auto"/>
        </w:rPr>
        <w:t>Stockholder</w:t>
      </w:r>
      <w:r>
        <w:rPr>
          <w:rFonts w:ascii="Times New Roman" w:cs="Times New Roman" w:eastAsia="Times New Roman" w:hAnsi="Times New Roman"/>
          <w:sz w:val="12"/>
          <w:szCs w:val="12"/>
          <w:color w:val="auto"/>
        </w:rPr>
        <w:t>” and each of the Stockholder, Company, and Parent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Capitalized terms used herein but not otherwise defined shall have the respective meanings ascribed to such terms in the Merger Agreement (as defined below).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3"/>
          <w:szCs w:val="13"/>
          <w:u w:val="single" w:color="auto"/>
          <w:color w:val="auto"/>
        </w:rPr>
        <w:t>First Merger Sub</w:t>
      </w:r>
      <w:r>
        <w:rPr>
          <w:rFonts w:ascii="Times New Roman" w:cs="Times New Roman" w:eastAsia="Times New Roman" w:hAnsi="Times New Roman"/>
          <w:sz w:val="13"/>
          <w:szCs w:val="13"/>
          <w:color w:val="auto"/>
        </w:rPr>
        <w:t>”), and Cariboos Merger Sub II, LLC a Delaware limited liability company (the “</w:t>
      </w: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WHEREAS, as a condition and inducement to the willingness of Parent to enter into the Merger Agreement, Parent has required that Stockholder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78" w:lineRule="exact"/>
        <w:rPr>
          <w:sz w:val="20"/>
          <w:szCs w:val="20"/>
          <w:color w:val="auto"/>
        </w:rPr>
      </w:pPr>
    </w:p>
    <w:p>
      <w:pPr>
        <w:ind w:left="1080" w:hanging="133"/>
        <w:spacing w:after="0"/>
        <w:tabs>
          <w:tab w:leader="none" w:pos="10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all purposes of this Agreement, the following terms shall have the following respective meanings: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xml:space="preserve">” means (i) all shares of Company Capital Stock and any other equity securities of the Company beneficially owned by the Stockholder as of the date hereof, including such securities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9019"/>
          </w:cols>
          <w:pgMar w:left="1440" w:top="125" w:right="1440" w:bottom="1440" w:gutter="0" w:footer="0" w:header="0"/>
        </w:sectPr>
      </w:pPr>
    </w:p>
    <w:bookmarkStart w:id="139" w:name="page140"/>
    <w:bookmarkEnd w:id="139"/>
    <w:p>
      <w:pPr>
        <w:ind w:left="640" w:right="659" w:firstLine="693"/>
        <w:spacing w:after="0" w:line="247" w:lineRule="auto"/>
        <w:tabs>
          <w:tab w:leader="none" w:pos="1508" w:val="left"/>
        </w:tabs>
        <w:numPr>
          <w:ilvl w:val="2"/>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Stockholder covenants to Parent and the Company as follows:</w:t>
      </w:r>
    </w:p>
    <w:p>
      <w:pPr>
        <w:spacing w:after="0" w:line="77"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2(c)</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Stockholder shall not Transfer any of the Stockholder’s Shares, publicly announce its intention to Transfer any of its Shares.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15"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7" w:lineRule="auto"/>
        <w:tabs>
          <w:tab w:leader="none" w:pos="1508"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71" w:lineRule="auto"/>
        <w:tabs>
          <w:tab w:leader="none" w:pos="1515"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w:t>
      </w:r>
    </w:p>
    <w:p>
      <w:pPr>
        <w:ind w:left="640" w:right="959" w:hanging="3"/>
        <w:spacing w:after="0" w:line="244" w:lineRule="auto"/>
        <w:tabs>
          <w:tab w:leader="none" w:pos="82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40" w:name="page141"/>
    <w:bookmarkEnd w:id="140"/>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 of any restricted stock units, including in order to pay the exercise price of such option or otherwise satisfy taxes applicable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shall be null and void ab initio.</w:t>
      </w:r>
    </w:p>
    <w:p>
      <w:pPr>
        <w:spacing w:after="0" w:line="139" w:lineRule="exact"/>
        <w:rPr>
          <w:sz w:val="20"/>
          <w:szCs w:val="20"/>
          <w:color w:val="auto"/>
        </w:rPr>
      </w:pPr>
    </w:p>
    <w:p>
      <w:pPr>
        <w:ind w:left="640" w:right="659" w:firstLine="693"/>
        <w:spacing w:after="0" w:line="267" w:lineRule="auto"/>
        <w:tabs>
          <w:tab w:leader="none" w:pos="1508"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nothing in this Agreement shall obligate the Stockholder to exercise any option or any other right to acquire any shares of Company Capital Stock.</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Stockholder covenants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508"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spacing w:after="0" w:line="119" w:lineRule="exact"/>
        <w:rPr>
          <w:rFonts w:ascii="Times New Roman" w:cs="Times New Roman" w:eastAsia="Times New Roman" w:hAnsi="Times New Roman"/>
          <w:sz w:val="12"/>
          <w:szCs w:val="12"/>
          <w:color w:val="auto"/>
        </w:rPr>
      </w:pPr>
    </w:p>
    <w:p>
      <w:pPr>
        <w:ind w:left="640" w:right="739" w:firstLine="693"/>
        <w:spacing w:after="0" w:line="309" w:lineRule="auto"/>
        <w:tabs>
          <w:tab w:leader="none" w:pos="1515"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79" w:firstLine="693"/>
        <w:spacing w:after="0" w:line="251" w:lineRule="auto"/>
        <w:tabs>
          <w:tab w:leader="none" w:pos="1508"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jc w:val="both"/>
        <w:ind w:left="640" w:right="799" w:firstLine="307"/>
        <w:spacing w:after="0" w:line="255" w:lineRule="auto"/>
        <w:tabs>
          <w:tab w:leader="none" w:pos="107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Action in Stockholder Capacity Only</w:t>
      </w:r>
      <w:r>
        <w:rPr>
          <w:rFonts w:ascii="Times New Roman" w:cs="Times New Roman" w:eastAsia="Times New Roman" w:hAnsi="Times New Roman"/>
          <w:sz w:val="13"/>
          <w:szCs w:val="13"/>
          <w:color w:val="auto"/>
        </w:rPr>
        <w:t>.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07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9019"/>
          </w:cols>
          <w:pgMar w:left="1440" w:top="231" w:right="1440" w:bottom="1440" w:gutter="0" w:footer="0" w:header="0"/>
        </w:sectPr>
      </w:pPr>
    </w:p>
    <w:bookmarkStart w:id="141" w:name="page142"/>
    <w:bookmarkEnd w:id="141"/>
    <w:p>
      <w:pPr>
        <w:ind w:left="640" w:right="73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(a) attend any all meetings of the Company stockholders with respect to any of the matters specified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with respect to such Shares.</w:t>
      </w:r>
    </w:p>
    <w:p>
      <w:pPr>
        <w:spacing w:after="0" w:line="136" w:lineRule="exact"/>
        <w:rPr>
          <w:sz w:val="20"/>
          <w:szCs w:val="20"/>
          <w:color w:val="auto"/>
        </w:rPr>
      </w:pPr>
    </w:p>
    <w:p>
      <w:pPr>
        <w:ind w:left="640" w:right="839" w:firstLine="307"/>
        <w:spacing w:after="0" w:line="251" w:lineRule="auto"/>
        <w:tabs>
          <w:tab w:leader="none" w:pos="1076"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The Stockholder hereby represents and warrants that the Stockholder has read Section 5.4 of the Merger Agreement.</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076"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Exercise of Appraisal Rights; Waivers</w:t>
      </w:r>
      <w:r>
        <w:rPr>
          <w:rFonts w:ascii="Times New Roman" w:cs="Times New Roman" w:eastAsia="Times New Roman" w:hAnsi="Times New Roman"/>
          <w:sz w:val="12"/>
          <w:szCs w:val="12"/>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cs="Times New Roman" w:eastAsia="Times New Roman" w:hAnsi="Times New Roman"/>
          <w:sz w:val="12"/>
          <w:szCs w:val="12"/>
          <w:u w:val="single" w:color="auto"/>
          <w:color w:val="auto"/>
        </w:rPr>
        <w:t>Appendix B</w:t>
      </w:r>
      <w:r>
        <w:rPr>
          <w:rFonts w:ascii="Times New Roman" w:cs="Times New Roman" w:eastAsia="Times New Roman" w:hAnsi="Times New Roman"/>
          <w:sz w:val="12"/>
          <w:szCs w:val="12"/>
          <w:color w:val="auto"/>
        </w:rPr>
        <w:t>)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w:t>
      </w:r>
    </w:p>
    <w:p>
      <w:pPr>
        <w:spacing w:after="0" w:line="1"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2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(x) the Stockholder may defend against, contest or settle any such action, claim, suit or cause of action brought against the Stockholder that relates solely to the Stockholder’s capacity as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9019"/>
          </w:cols>
          <w:pgMar w:left="1440" w:top="231" w:right="1440" w:bottom="1440" w:gutter="0" w:footer="0" w:header="0"/>
        </w:sectPr>
      </w:pPr>
    </w:p>
    <w:bookmarkStart w:id="142" w:name="page143"/>
    <w:bookmarkEnd w:id="142"/>
    <w:p>
      <w:pPr>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113" w:lineRule="exact"/>
        <w:rPr>
          <w:sz w:val="20"/>
          <w:szCs w:val="20"/>
          <w:color w:val="auto"/>
        </w:rPr>
      </w:pPr>
    </w:p>
    <w:p>
      <w:pPr>
        <w:ind w:left="1080" w:hanging="133"/>
        <w:spacing w:after="0"/>
        <w:tabs>
          <w:tab w:leader="none" w:pos="108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Stockholder</w:t>
      </w:r>
      <w:r>
        <w:rPr>
          <w:rFonts w:ascii="Times New Roman" w:cs="Times New Roman" w:eastAsia="Times New Roman" w:hAnsi="Times New Roman"/>
          <w:sz w:val="13"/>
          <w:szCs w:val="13"/>
          <w:color w:val="auto"/>
        </w:rPr>
        <w:t>. The Stockholder hereby represents and warrants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719" w:firstLine="693"/>
        <w:spacing w:after="0" w:line="269" w:lineRule="auto"/>
        <w:tabs>
          <w:tab w:leader="none" w:pos="1508"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The Stockholder is the beneficial owner of the shares of Company Capital Stock indicated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(each of which shall be deemed to be “held” by the Stockholder for purposes of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unless otherwise expressly stated with respect to any shares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w:t>
      </w:r>
    </w:p>
    <w:p>
      <w:pPr>
        <w:ind w:left="640" w:right="899" w:hanging="3"/>
        <w:spacing w:after="0" w:line="246" w:lineRule="auto"/>
        <w:tabs>
          <w:tab w:leader="none" w:pos="826"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Stockholder does not beneficially own any securities of the Company other than the shares of Company Capital Stock and rights to purchase shares of Company Capital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136"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08"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08"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9019"/>
          </w:cols>
          <w:pgMar w:left="1440" w:top="231" w:right="1440" w:bottom="1440" w:gutter="0" w:footer="0" w:header="0"/>
        </w:sectPr>
      </w:pPr>
    </w:p>
    <w:bookmarkStart w:id="143" w:name="page144"/>
    <w:bookmarkEnd w:id="143"/>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spacing w:after="0" w:line="134" w:lineRule="exact"/>
        <w:rPr>
          <w:sz w:val="20"/>
          <w:szCs w:val="20"/>
          <w:color w:val="auto"/>
        </w:rPr>
      </w:pPr>
    </w:p>
    <w:p>
      <w:pPr>
        <w:jc w:val="both"/>
        <w:ind w:left="640" w:right="699" w:firstLine="693"/>
        <w:spacing w:after="0" w:line="251" w:lineRule="auto"/>
        <w:tabs>
          <w:tab w:leader="none" w:pos="1494"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5" w:lineRule="auto"/>
        <w:tabs>
          <w:tab w:leader="none" w:pos="113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Agreements</w:t>
      </w:r>
      <w:r>
        <w:rPr>
          <w:rFonts w:ascii="Times New Roman" w:cs="Times New Roman" w:eastAsia="Times New Roman" w:hAnsi="Times New Roman"/>
          <w:sz w:val="13"/>
          <w:szCs w:val="13"/>
          <w:color w:val="auto"/>
        </w:rPr>
        <w:t>.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spacing w:after="0" w:line="140"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34"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cs="Times New Roman" w:eastAsia="Times New Roman" w:hAnsi="Times New Roman"/>
          <w:sz w:val="13"/>
          <w:szCs w:val="13"/>
          <w:u w:val="single" w:color="auto"/>
          <w:color w:val="auto"/>
        </w:rPr>
        <w:t>Expiration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that (i)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134"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No amendment of this Agreement shall be effective against any Party unless it shall be in writing and signed by each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Parties.</w:t>
      </w:r>
    </w:p>
    <w:p>
      <w:pPr>
        <w:spacing w:after="0" w:line="140" w:lineRule="exact"/>
        <w:rPr>
          <w:rFonts w:ascii="Times New Roman" w:cs="Times New Roman" w:eastAsia="Times New Roman" w:hAnsi="Times New Roman"/>
          <w:sz w:val="12"/>
          <w:szCs w:val="12"/>
          <w:color w:val="auto"/>
        </w:rPr>
      </w:pPr>
    </w:p>
    <w:p>
      <w:pPr>
        <w:ind w:left="640" w:right="659" w:firstLine="693"/>
        <w:spacing w:after="0" w:line="275" w:lineRule="auto"/>
        <w:tabs>
          <w:tab w:leader="none" w:pos="1515"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Counterparts; Exchanges by Electronic Transmission or Facsimile</w:t>
      </w:r>
      <w:r>
        <w:rPr>
          <w:rFonts w:ascii="Times New Roman" w:cs="Times New Roman" w:eastAsia="Times New Roman" w:hAnsi="Times New Roman"/>
          <w:sz w:val="12"/>
          <w:szCs w:val="12"/>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9019"/>
          </w:cols>
          <w:pgMar w:left="1440" w:top="231" w:right="1440" w:bottom="1440" w:gutter="0" w:footer="0" w:header="0"/>
        </w:sectPr>
      </w:pPr>
    </w:p>
    <w:bookmarkStart w:id="144" w:name="page145"/>
    <w:bookmarkEnd w:id="144"/>
    <w:p>
      <w:pPr>
        <w:ind w:left="640" w:right="659" w:firstLine="693"/>
        <w:spacing w:after="0" w:line="246"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3"/>
          <w:szCs w:val="13"/>
          <w:u w:val="single" w:color="auto"/>
          <w:color w:val="auto"/>
        </w:rPr>
        <w:t>Section 12(c)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12(h)</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137" w:lineRule="exact"/>
        <w:rPr>
          <w:rFonts w:ascii="Times New Roman" w:cs="Times New Roman" w:eastAsia="Times New Roman" w:hAnsi="Times New Roman"/>
          <w:sz w:val="13"/>
          <w:szCs w:val="13"/>
          <w:color w:val="auto"/>
        </w:rPr>
      </w:pPr>
    </w:p>
    <w:p>
      <w:pPr>
        <w:jc w:val="both"/>
        <w:ind w:left="640" w:right="679" w:firstLine="693"/>
        <w:spacing w:after="0" w:line="249"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Rights</w:t>
      </w:r>
      <w:r>
        <w:rPr>
          <w:rFonts w:ascii="Times New Roman" w:cs="Times New Roman" w:eastAsia="Times New Roman" w:hAnsi="Times New Roman"/>
          <w:sz w:val="13"/>
          <w:szCs w:val="13"/>
          <w:color w:val="auto"/>
        </w:rPr>
        <w:t>. Nothing in this Agreement, express or implied, is intended to or shall confer upon any Person any right, benefit or remedy of any nature whatsoever under or by reason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30" w:lineRule="exact"/>
        <w:rPr>
          <w:sz w:val="20"/>
          <w:szCs w:val="20"/>
          <w:color w:val="auto"/>
        </w:rPr>
      </w:pPr>
    </w:p>
    <w:p>
      <w:pPr>
        <w:ind w:left="640" w:right="659" w:firstLine="693"/>
        <w:spacing w:after="0" w:line="272" w:lineRule="auto"/>
        <w:tabs>
          <w:tab w:leader="none" w:pos="1515"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487"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35" w:lineRule="exact"/>
        <w:rPr>
          <w:rFonts w:ascii="Times New Roman" w:cs="Times New Roman" w:eastAsia="Times New Roman" w:hAnsi="Times New Roman"/>
          <w:sz w:val="13"/>
          <w:szCs w:val="13"/>
          <w:color w:val="auto"/>
        </w:rPr>
      </w:pPr>
    </w:p>
    <w:p>
      <w:pPr>
        <w:ind w:left="640" w:right="739" w:firstLine="693"/>
        <w:spacing w:after="0" w:line="245" w:lineRule="auto"/>
        <w:tabs>
          <w:tab w:leader="none" w:pos="1487"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9019"/>
          </w:cols>
          <w:pgMar w:left="1440" w:top="231" w:right="1440" w:bottom="1440" w:gutter="0" w:footer="0" w:header="0"/>
        </w:sectPr>
      </w:pPr>
    </w:p>
    <w:bookmarkStart w:id="146" w:name="page147"/>
    <w:bookmarkEnd w:id="146"/>
    <w:p>
      <w:pPr>
        <w:ind w:left="640" w:right="6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Left Intentionally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9</w:t>
      </w:r>
    </w:p>
    <w:p>
      <w:pPr>
        <w:sectPr>
          <w:pgSz w:w="11900" w:h="16838" w:orient="portrait"/>
          <w:cols w:equalWidth="0" w:num="1">
            <w:col w:w="9019"/>
          </w:cols>
          <w:pgMar w:left="1440" w:top="231" w:right="1440" w:bottom="1440" w:gutter="0" w:footer="0" w:header="0"/>
        </w:sectPr>
      </w:pPr>
    </w:p>
    <w:bookmarkStart w:id="147" w:name="page148"/>
    <w:bookmarkEnd w:id="147"/>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8" w:name="page149"/>
    <w:bookmarkEnd w:id="148"/>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9" w:name="page150"/>
    <w:bookmarkEnd w:id="149"/>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Stockholder: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1203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3325" cy="5715"/>
                    </a:xfrm>
                    <a:prstGeom prst="rect">
                      <a:avLst/>
                    </a:prstGeom>
                    <a:noFill/>
                  </pic:spPr>
                </pic:pic>
              </a:graphicData>
            </a:graphic>
          </wp:anchor>
        </w:drawing>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48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Address: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6"/>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76"/>
              </w:rPr>
              <w:t> </w:t>
            </w: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B</w:t>
      </w:r>
    </w:p>
    <w:p>
      <w:pPr>
        <w:sectPr>
          <w:pgSz w:w="11900" w:h="16838" w:orient="portrait"/>
          <w:cols w:equalWidth="0" w:num="1">
            <w:col w:w="9019"/>
          </w:cols>
          <w:pgMar w:left="1440" w:top="231" w:right="1440" w:bottom="1440" w:gutter="0" w:footer="0" w:header="0"/>
        </w:sectPr>
      </w:pPr>
    </w:p>
    <w:bookmarkStart w:id="152" w:name="page153"/>
    <w:bookmarkEnd w:id="15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PARENT SUPPORT AGREEMENT</w:t>
      </w:r>
    </w:p>
    <w:p>
      <w:pPr>
        <w:spacing w:after="0" w:line="156"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April 1, 2026, by and among Korsana Biosciences,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Cyclerion Therapeutics, Inc., a Massachusetts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and the undersigned shareholder of Parent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and each of the Shareholder, Company, and Parent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Capitalized terms used herein but not otherwise defined shall have the respective meanings ascribed to such terms in the Merger Agreement (as defined below).</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jc w:val="both"/>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3"/>
          <w:szCs w:val="13"/>
          <w:u w:val="single" w:color="auto"/>
          <w:color w:val="auto"/>
        </w:rPr>
        <w:t>First Merger Sub</w:t>
      </w:r>
      <w:r>
        <w:rPr>
          <w:rFonts w:ascii="Times New Roman" w:cs="Times New Roman" w:eastAsia="Times New Roman" w:hAnsi="Times New Roman"/>
          <w:sz w:val="13"/>
          <w:szCs w:val="13"/>
          <w:color w:val="auto"/>
        </w:rPr>
        <w:t>”) and Cariboos Merger Sub II, LLC a Delaware limited liability company (the “</w:t>
      </w: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Shareholder is the beneficial owner (as defined in Rule 13d-3 under the Exchange Act) of such number of shares of Parent Capital Stock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WHEREAS, as a condition and inducement to the willingness of the Company to enter into the Merger Agreement, Parent has required that Shareholder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78" w:lineRule="exact"/>
        <w:rPr>
          <w:sz w:val="20"/>
          <w:szCs w:val="20"/>
          <w:color w:val="auto"/>
        </w:rPr>
      </w:pPr>
    </w:p>
    <w:p>
      <w:pPr>
        <w:ind w:left="1080" w:hanging="133"/>
        <w:spacing w:after="0"/>
        <w:tabs>
          <w:tab w:leader="none" w:pos="108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all purposes of this Agreement, the following terms shall have the following respective meanings: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xml:space="preserve">” means (i) all shares of Parent Capital Stock and any other equity securities of Parent beneficially owned by the Shareholder as of the date hereof, including such securities indicated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9019"/>
          </w:cols>
          <w:pgMar w:left="1440" w:top="125" w:right="1440" w:bottom="1440" w:gutter="0" w:footer="0" w:header="0"/>
        </w:sectPr>
      </w:pPr>
    </w:p>
    <w:bookmarkStart w:id="153" w:name="page154"/>
    <w:bookmarkEnd w:id="153"/>
    <w:p>
      <w:pPr>
        <w:ind w:left="640" w:right="659" w:firstLine="693"/>
        <w:spacing w:after="0" w:line="247" w:lineRule="auto"/>
        <w:tabs>
          <w:tab w:leader="none" w:pos="1508" w:val="left"/>
        </w:tabs>
        <w:numPr>
          <w:ilvl w:val="2"/>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Shareholder covenants to Parent and the Company as follows:</w:t>
      </w:r>
    </w:p>
    <w:p>
      <w:pPr>
        <w:spacing w:after="0" w:line="77"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Shareholder shall not Transfer any of the Shareholder’s Shares, publicly announce its intention to Transfer any of its Shares.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15"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7" w:lineRule="auto"/>
        <w:tabs>
          <w:tab w:leader="none" w:pos="1508"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71" w:lineRule="auto"/>
        <w:tabs>
          <w:tab w:leader="none" w:pos="1515" w:val="left"/>
        </w:tabs>
        <w:numPr>
          <w:ilvl w:val="2"/>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w:t>
      </w:r>
    </w:p>
    <w:p>
      <w:pPr>
        <w:ind w:left="640" w:right="959" w:hanging="3"/>
        <w:spacing w:after="0" w:line="244" w:lineRule="auto"/>
        <w:tabs>
          <w:tab w:leader="none" w:pos="826"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54" w:name="page155"/>
    <w:bookmarkEnd w:id="154"/>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cases of clauses (i)-(v),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shall be null and void ab initio.</w:t>
      </w:r>
    </w:p>
    <w:p>
      <w:pPr>
        <w:spacing w:after="0" w:line="135" w:lineRule="exact"/>
        <w:rPr>
          <w:sz w:val="20"/>
          <w:szCs w:val="20"/>
          <w:color w:val="auto"/>
        </w:rPr>
      </w:pPr>
    </w:p>
    <w:p>
      <w:pPr>
        <w:ind w:left="640" w:right="659" w:firstLine="693"/>
        <w:spacing w:after="0" w:line="267" w:lineRule="auto"/>
        <w:tabs>
          <w:tab w:leader="none" w:pos="1515" w:val="left"/>
        </w:tabs>
        <w:numPr>
          <w:ilvl w:val="1"/>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nothing in this Agreement shall obligate the Shareholder to exercise any option or any other right to acquire any shares of Parent Capital Stock.</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Shareholder covenants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8"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508"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ind w:left="640" w:right="799" w:firstLine="307"/>
        <w:spacing w:after="0" w:line="255" w:lineRule="auto"/>
        <w:tabs>
          <w:tab w:leader="none" w:pos="1076"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Action in Shareholder Capacity Only</w:t>
      </w:r>
      <w:r>
        <w:rPr>
          <w:rFonts w:ascii="Times New Roman" w:cs="Times New Roman" w:eastAsia="Times New Roman" w:hAnsi="Times New Roman"/>
          <w:sz w:val="13"/>
          <w:szCs w:val="13"/>
          <w:color w:val="auto"/>
        </w:rPr>
        <w:t>.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70" w:lineRule="auto"/>
        <w:tabs>
          <w:tab w:leader="none" w:pos="107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Irrevocable Proxy</w:t>
      </w:r>
      <w:r>
        <w:rPr>
          <w:rFonts w:ascii="Times New Roman" w:cs="Times New Roman" w:eastAsia="Times New Roman" w:hAnsi="Times New Roman"/>
          <w:sz w:val="12"/>
          <w:szCs w:val="12"/>
          <w:color w:val="auto"/>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of this Agreement. The Company agrees not to exercise the proxy granted herein for any purpose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9019"/>
          </w:cols>
          <w:pgMar w:left="1440" w:top="231" w:right="1440" w:bottom="1440" w:gutter="0" w:footer="0" w:header="0"/>
        </w:sectPr>
      </w:pPr>
    </w:p>
    <w:bookmarkStart w:id="155" w:name="page156"/>
    <w:bookmarkEnd w:id="15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is given in connection with and granted in consideration of and as an inducement to the Company to enter into the Merger Agreement and that such proxy is given to secure the obligations of the Shareholder under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with respect to such Shares.</w:t>
      </w:r>
    </w:p>
    <w:p>
      <w:pPr>
        <w:spacing w:after="0" w:line="140" w:lineRule="exact"/>
        <w:rPr>
          <w:sz w:val="20"/>
          <w:szCs w:val="20"/>
          <w:color w:val="auto"/>
        </w:rPr>
      </w:pPr>
    </w:p>
    <w:p>
      <w:pPr>
        <w:ind w:left="640" w:right="739" w:firstLine="307"/>
        <w:spacing w:after="0" w:line="286" w:lineRule="auto"/>
        <w:tabs>
          <w:tab w:leader="none" w:pos="107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Solicitation</w:t>
      </w:r>
      <w:r>
        <w:rPr>
          <w:rFonts w:ascii="Times New Roman" w:cs="Times New Roman" w:eastAsia="Times New Roman" w:hAnsi="Times New Roman"/>
          <w:sz w:val="12"/>
          <w:szCs w:val="12"/>
          <w:color w:val="auto"/>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The Stockholder hereby represents and warrants that the Stockholder has read Section 5.4 of the Merger Agreement.</w:t>
      </w:r>
    </w:p>
    <w:p>
      <w:pPr>
        <w:spacing w:after="0" w:line="113"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076"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w:t>
      </w:r>
    </w:p>
    <w:p>
      <w:pPr>
        <w:spacing w:after="0" w:line="13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08"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Shareholder is the beneficial or record owner of the shares of Parent Capital Stock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(each of which shall be deemed to be “held” by the Shareholder for purposes of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unless otherwise expressly stated with respect to any shares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9019"/>
          </w:cols>
          <w:pgMar w:left="1440" w:top="231" w:right="1440" w:bottom="1440" w:gutter="0" w:footer="0" w:header="0"/>
        </w:sectPr>
      </w:pPr>
    </w:p>
    <w:bookmarkStart w:id="156" w:name="page157"/>
    <w:bookmarkEnd w:id="156"/>
    <w:p>
      <w:pPr>
        <w:ind w:left="640" w:right="759" w:firstLine="693"/>
        <w:spacing w:after="0" w:line="246" w:lineRule="auto"/>
        <w:tabs>
          <w:tab w:leader="none" w:pos="1508"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by the Shareholder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46" w:lineRule="auto"/>
        <w:tabs>
          <w:tab w:leader="none" w:pos="1508"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w:t>
      </w:r>
    </w:p>
    <w:p>
      <w:pPr>
        <w:spacing w:after="0" w:line="138"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494"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72" w:lineRule="auto"/>
        <w:tabs>
          <w:tab w:leader="none" w:pos="107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(i)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9019"/>
          </w:cols>
          <w:pgMar w:left="1440" w:top="231" w:right="1440" w:bottom="1440" w:gutter="0" w:footer="0" w:header="0"/>
        </w:sectPr>
      </w:pPr>
    </w:p>
    <w:bookmarkStart w:id="157" w:name="page158"/>
    <w:bookmarkEnd w:id="157"/>
    <w:p>
      <w:pPr>
        <w:ind w:left="1140" w:hanging="193"/>
        <w:spacing w:after="0"/>
        <w:tabs>
          <w:tab w:leader="none" w:pos="114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Miscellaneous Provisions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No amendment of this Agreement shall be effective against any Party unless it shall be in writing and signed by each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Parties.</w:t>
      </w:r>
    </w:p>
    <w:p>
      <w:pPr>
        <w:spacing w:after="0" w:line="140" w:lineRule="exact"/>
        <w:rPr>
          <w:rFonts w:ascii="Times New Roman" w:cs="Times New Roman" w:eastAsia="Times New Roman" w:hAnsi="Times New Roman"/>
          <w:sz w:val="12"/>
          <w:szCs w:val="12"/>
          <w:color w:val="auto"/>
        </w:rPr>
      </w:pPr>
    </w:p>
    <w:p>
      <w:pPr>
        <w:ind w:left="640" w:right="659" w:firstLine="693"/>
        <w:spacing w:after="0" w:line="275" w:lineRule="auto"/>
        <w:tabs>
          <w:tab w:leader="none" w:pos="1515"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Counterparts; Exchanges by Electronic Transmission or Facsimile</w:t>
      </w:r>
      <w:r>
        <w:rPr>
          <w:rFonts w:ascii="Times New Roman" w:cs="Times New Roman" w:eastAsia="Times New Roman" w:hAnsi="Times New Roman"/>
          <w:sz w:val="12"/>
          <w:szCs w:val="12"/>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19" w:lineRule="exact"/>
        <w:rPr>
          <w:rFonts w:ascii="Times New Roman" w:cs="Times New Roman" w:eastAsia="Times New Roman" w:hAnsi="Times New Roman"/>
          <w:sz w:val="12"/>
          <w:szCs w:val="12"/>
          <w:color w:val="auto"/>
        </w:rPr>
      </w:pPr>
    </w:p>
    <w:p>
      <w:pPr>
        <w:ind w:left="640" w:right="639" w:firstLine="693"/>
        <w:spacing w:after="0" w:line="245" w:lineRule="auto"/>
        <w:tabs>
          <w:tab w:leader="none" w:pos="1508"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3"/>
          <w:szCs w:val="13"/>
          <w:u w:val="single" w:color="auto"/>
          <w:color w:val="auto"/>
        </w:rPr>
        <w:t>Section 10(c)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10(h)</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139" w:lineRule="exact"/>
        <w:rPr>
          <w:rFonts w:ascii="Times New Roman" w:cs="Times New Roman" w:eastAsia="Times New Roman" w:hAnsi="Times New Roman"/>
          <w:sz w:val="13"/>
          <w:szCs w:val="13"/>
          <w:color w:val="auto"/>
        </w:rPr>
      </w:pPr>
    </w:p>
    <w:p>
      <w:pPr>
        <w:jc w:val="both"/>
        <w:ind w:left="640" w:right="679" w:firstLine="693"/>
        <w:spacing w:after="0" w:line="249" w:lineRule="auto"/>
        <w:tabs>
          <w:tab w:leader="none" w:pos="1515"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08"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Rights</w:t>
      </w:r>
      <w:r>
        <w:rPr>
          <w:rFonts w:ascii="Times New Roman" w:cs="Times New Roman" w:eastAsia="Times New Roman" w:hAnsi="Times New Roman"/>
          <w:sz w:val="13"/>
          <w:szCs w:val="13"/>
          <w:color w:val="auto"/>
        </w:rPr>
        <w:t>. Nothing in this Agreement, express or implied, is intended to or shall confer upon any Person any right, benefit or remedy of any nature whatsoever under or by reason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9019"/>
          </w:cols>
          <w:pgMar w:left="1440" w:top="231" w:right="1440" w:bottom="1440" w:gutter="0" w:footer="0" w:header="0"/>
        </w:sectPr>
      </w:pPr>
    </w:p>
    <w:bookmarkStart w:id="158" w:name="page159"/>
    <w:bookmarkEnd w:id="158"/>
    <w:p>
      <w:pPr>
        <w:ind w:left="640" w:right="659" w:firstLine="693"/>
        <w:spacing w:after="0" w:line="245" w:lineRule="auto"/>
        <w:tabs>
          <w:tab w:leader="none" w:pos="1515"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515"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6" w:lineRule="auto"/>
        <w:tabs>
          <w:tab w:leader="none" w:pos="1487"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9019"/>
          </w:cols>
          <w:pgMar w:left="1440" w:top="231" w:right="1440" w:bottom="1440" w:gutter="0" w:footer="0" w:header="0"/>
        </w:sectPr>
      </w:pPr>
    </w:p>
    <w:bookmarkStart w:id="159" w:name="page160"/>
    <w:bookmarkEnd w:id="159"/>
    <w:p>
      <w:pPr>
        <w:ind w:left="640" w:right="679" w:firstLine="693"/>
        <w:spacing w:after="0" w:line="266" w:lineRule="auto"/>
        <w:tabs>
          <w:tab w:leader="none" w:pos="1487"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Interpretation</w:t>
      </w:r>
      <w:r>
        <w:rPr>
          <w:rFonts w:ascii="Times New Roman" w:cs="Times New Roman" w:eastAsia="Times New Roman" w:hAnsi="Times New Roman"/>
          <w:sz w:val="12"/>
          <w:szCs w:val="1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Left Intentionally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9019"/>
          </w:cols>
          <w:pgMar w:left="1440" w:top="231" w:right="1440" w:bottom="1440" w:gutter="0" w:footer="0" w:header="0"/>
        </w:sectPr>
      </w:pPr>
    </w:p>
    <w:bookmarkStart w:id="160" w:name="page161"/>
    <w:bookmarkEnd w:id="160"/>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1" w:name="page162"/>
    <w:bookmarkEnd w:id="161"/>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2" w:name="page163"/>
    <w:bookmarkEnd w:id="162"/>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[SHAREHOLDER],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Shareholder:</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1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 xml:space="preserve">Signature:             </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299"/>
        </w:trPr>
        <w:tc>
          <w:tcPr>
            <w:tcW w:w="48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Address:</w:t>
            </w: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36"/>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64" w:name="page165"/>
    <w:bookmarkEnd w:id="16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PURCHASE AGREEMENT</w:t>
      </w:r>
    </w:p>
    <w:p>
      <w:pPr>
        <w:spacing w:after="0" w:line="154" w:lineRule="exact"/>
        <w:rPr>
          <w:sz w:val="20"/>
          <w:szCs w:val="20"/>
          <w:color w:val="auto"/>
        </w:rPr>
      </w:pPr>
    </w:p>
    <w:p>
      <w:pPr>
        <w:jc w:val="both"/>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dated as of April 1, 2026, by and among Korsana Biosciences,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and each of the Persons listed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attached to this Agreement (each,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11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and the Investors are executing and delivering this Agreement in reliance upon the exemption from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afforded by Section 4(a)(2) of the U.S.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desires to sell to the Investors, and each Investor desires to purchase from the Company, severally and not jointly,</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upon the terms and subject to the conditions stated in this Agreement, (A) shares (the “</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of the Company’s common stock, par value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$0.0001 per share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including Common Stock being issued pursuant to any cancellation or conversion of Convertible Securities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defined below) at a per share purchase price equal to the Share Price, and/or (B) the pre-funded warrants to purchase shares of Common Stock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Pre-Funded Warrants</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at a per warrant price equal to the Pre-Funded Warrant Price (as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below);</w:t>
      </w:r>
    </w:p>
    <w:p>
      <w:pPr>
        <w:spacing w:after="0" w:line="139"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contemporaneously with the sale of the Initial Shares and/or the Pre-Funded Warrants at Closing, the parties hereto will execute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deliver a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pursuant to which the Company will agree to provide certain registration rights in respect of the Shares (as defined below) under the Securities Act and applicable state securities laws; and</w:t>
      </w:r>
    </w:p>
    <w:p>
      <w:pPr>
        <w:spacing w:after="0" w:line="12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is party to that certain Agreement and Plan of Merger and Reorganization by and among the Company, Cyclerion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Therapeutics, Inc., a Massachusetts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Cariboos Merger Sub Corp., a Delaware corporation and wholly-owned subsidiary of Parent (“</w:t>
      </w:r>
      <w:r>
        <w:rPr>
          <w:rFonts w:ascii="Times New Roman" w:cs="Times New Roman" w:eastAsia="Times New Roman" w:hAnsi="Times New Roman"/>
          <w:sz w:val="13"/>
          <w:szCs w:val="13"/>
          <w:b w:val="1"/>
          <w:bCs w:val="1"/>
          <w:color w:val="auto"/>
        </w:rPr>
        <w:t>First Merger Sub</w:t>
      </w:r>
      <w:r>
        <w:rPr>
          <w:rFonts w:ascii="Times New Roman" w:cs="Times New Roman" w:eastAsia="Times New Roman" w:hAnsi="Times New Roman"/>
          <w:sz w:val="13"/>
          <w:szCs w:val="13"/>
          <w:color w:val="auto"/>
        </w:rPr>
        <w:t>”), and Cariboos Merger Sub II, LLC, a Delaware limited liability company and wholly owned subsidiary of Parent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dated April 1, 2026 (as amended from time to time, including on or around the date hereof,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(i) First Merger Sub will merge with and into Company, with Company surviving and becoming a wholly-owned subsidiary of Parent (the “</w:t>
      </w:r>
      <w:r>
        <w:rPr>
          <w:rFonts w:ascii="Times New Roman" w:cs="Times New Roman" w:eastAsia="Times New Roman" w:hAnsi="Times New Roman"/>
          <w:sz w:val="13"/>
          <w:szCs w:val="13"/>
          <w:b w:val="1"/>
          <w:bCs w:val="1"/>
          <w:color w:val="auto"/>
        </w:rPr>
        <w:t>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(ii) immediately following the First Merger and as part of the same overall transaction as the First Merger, the Company will merge with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 and (iii) Parent will change its name to Korsana Biosciences, Inc. (“</w:t>
      </w:r>
      <w:r>
        <w:rPr>
          <w:rFonts w:ascii="Times New Roman" w:cs="Times New Roman" w:eastAsia="Times New Roman" w:hAnsi="Times New Roman"/>
          <w:sz w:val="13"/>
          <w:szCs w:val="13"/>
          <w:b w:val="1"/>
          <w:bCs w:val="1"/>
          <w:color w:val="auto"/>
        </w:rPr>
        <w:t>TopCo</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mutual agreements, representations, warranties and covenants herein contained, the Company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Investor, severally and not jointly, agree as follows: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following terms shall have the following respective meanings:</w:t>
      </w:r>
    </w:p>
    <w:p>
      <w:pPr>
        <w:spacing w:after="0" w:line="76" w:lineRule="exact"/>
        <w:rPr>
          <w:sz w:val="20"/>
          <w:szCs w:val="20"/>
          <w:color w:val="auto"/>
        </w:rPr>
      </w:pPr>
    </w:p>
    <w:p>
      <w:pPr>
        <w:ind w:left="640" w:right="65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2025 SEC Reports</w:t>
      </w:r>
      <w:r>
        <w:rPr>
          <w:rFonts w:ascii="Times New Roman" w:cs="Times New Roman" w:eastAsia="Times New Roman" w:hAnsi="Times New Roman"/>
          <w:sz w:val="12"/>
          <w:szCs w:val="12"/>
          <w:color w:val="auto"/>
        </w:rPr>
        <w:t>” means (a) Parent’s Annual Report on Form 10-K for the fiscal year ended December 31, 2025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Additional 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8.15</w:t>
      </w:r>
      <w:r>
        <w:rPr>
          <w:rFonts w:ascii="Times New Roman" w:cs="Times New Roman" w:eastAsia="Times New Roman" w:hAnsi="Times New Roman"/>
          <w:sz w:val="13"/>
          <w:szCs w:val="13"/>
          <w:color w:val="auto"/>
        </w:rPr>
        <w:t xml:space="preserve"> hereof.</w:t>
      </w:r>
    </w:p>
    <w:p>
      <w:pPr>
        <w:sectPr>
          <w:pgSz w:w="11900" w:h="16838" w:orient="portrait"/>
          <w:cols w:equalWidth="0" w:num="1">
            <w:col w:w="9019"/>
          </w:cols>
          <w:pgMar w:left="1440" w:top="125" w:right="1440" w:bottom="1440" w:gutter="0" w:footer="0" w:header="0"/>
        </w:sectPr>
      </w:pPr>
    </w:p>
    <w:bookmarkStart w:id="165" w:name="page166"/>
    <w:bookmarkEnd w:id="165"/>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 Person.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Purchase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Bylaws</w:t>
      </w:r>
      <w:r>
        <w:rPr>
          <w:rFonts w:ascii="Times New Roman" w:cs="Times New Roman" w:eastAsia="Times New Roman" w:hAnsi="Times New Roman"/>
          <w:sz w:val="13"/>
          <w:szCs w:val="13"/>
          <w:color w:val="auto"/>
        </w:rPr>
        <w:t>” means the bylaws of the Company, as currently in effect and as in effect on the Closing Date.</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Certificate of Incorporation</w:t>
      </w:r>
      <w:r>
        <w:rPr>
          <w:rFonts w:ascii="Times New Roman" w:cs="Times New Roman" w:eastAsia="Times New Roman" w:hAnsi="Times New Roman"/>
          <w:sz w:val="13"/>
          <w:szCs w:val="13"/>
          <w:color w:val="auto"/>
        </w:rPr>
        <w:t>” means the Certificate of Incorporation of the Company, as currently in effect and as in effect on the Closing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Beneficial Ownership Limitation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Benefit Plan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Benefit Plans</w:t>
      </w:r>
      <w:r>
        <w:rPr>
          <w:rFonts w:ascii="Times New Roman" w:cs="Times New Roman" w:eastAsia="Times New Roman" w:hAnsi="Times New Roman"/>
          <w:sz w:val="13"/>
          <w:szCs w:val="13"/>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of Directors</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U.S.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Commitment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means Korsana Biosciences, Inc. for all periods prior to the Effective Time and TopCo for all periods following the Effective Time.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Presentation</w:t>
      </w:r>
      <w:r>
        <w:rPr>
          <w:rFonts w:ascii="Times New Roman" w:cs="Times New Roman" w:eastAsia="Times New Roman" w:hAnsi="Times New Roman"/>
          <w:sz w:val="13"/>
          <w:szCs w:val="13"/>
          <w:color w:val="auto"/>
        </w:rPr>
        <w:t>” means that certain Korsana Biosciences Overview Presentation, dated March, 2026.</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Contribution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Convertible Security</w:t>
      </w:r>
      <w:r>
        <w:rPr>
          <w:rFonts w:ascii="Times New Roman" w:cs="Times New Roman" w:eastAsia="Times New Roman" w:hAnsi="Times New Roman"/>
          <w:sz w:val="13"/>
          <w:szCs w:val="13"/>
          <w:color w:val="auto"/>
        </w:rPr>
        <w:t>” means a convertible note issued by the Company or any of its Subsidiaries.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66" w:name="page167"/>
    <w:bookmarkEnd w:id="16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means the U.S. Food and Drug Administration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3.15</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U.S. Employee Retirement Income Security Act of 1974,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U.S. Securities Exchange Act of 1934, as amended, and all of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Fundamental Representations</w:t>
      </w:r>
      <w:r>
        <w:rPr>
          <w:rFonts w:ascii="Times New Roman" w:cs="Times New Roman" w:eastAsia="Times New Roman" w:hAnsi="Times New Roman"/>
          <w:sz w:val="13"/>
          <w:szCs w:val="13"/>
          <w:color w:val="auto"/>
        </w:rPr>
        <w:t xml:space="preserve">” means the representations and warranties made by the Company in </w:t>
      </w:r>
      <w:r>
        <w:rPr>
          <w:rFonts w:ascii="Times New Roman" w:cs="Times New Roman" w:eastAsia="Times New Roman" w:hAnsi="Times New Roman"/>
          <w:sz w:val="13"/>
          <w:szCs w:val="13"/>
          <w:u w:val="single" w:color="auto"/>
          <w:color w:val="auto"/>
        </w:rPr>
        <w:t>Sections 3.1</w:t>
      </w:r>
      <w:r>
        <w:rPr>
          <w:rFonts w:ascii="Times New Roman" w:cs="Times New Roman" w:eastAsia="Times New Roman" w:hAnsi="Times New Roman"/>
          <w:sz w:val="13"/>
          <w:szCs w:val="13"/>
          <w:color w:val="auto"/>
        </w:rPr>
        <w:t xml:space="preserve"> (Organization and Power),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(Authorization), </w:t>
      </w:r>
      <w:r>
        <w:rPr>
          <w:rFonts w:ascii="Times New Roman" w:cs="Times New Roman" w:eastAsia="Times New Roman" w:hAnsi="Times New Roman"/>
          <w:sz w:val="13"/>
          <w:szCs w:val="13"/>
          <w:u w:val="single" w:color="auto"/>
          <w:color w:val="auto"/>
        </w:rPr>
        <w:t>3.5</w:t>
      </w:r>
      <w:r>
        <w:rPr>
          <w:rFonts w:ascii="Times New Roman" w:cs="Times New Roman" w:eastAsia="Times New Roman" w:hAnsi="Times New Roman"/>
          <w:sz w:val="13"/>
          <w:szCs w:val="13"/>
          <w:color w:val="auto"/>
        </w:rPr>
        <w:t xml:space="preserve"> (Valid Issuance) and </w:t>
      </w:r>
      <w:r>
        <w:rPr>
          <w:rFonts w:ascii="Times New Roman" w:cs="Times New Roman" w:eastAsia="Times New Roman" w:hAnsi="Times New Roman"/>
          <w:sz w:val="13"/>
          <w:szCs w:val="13"/>
          <w:u w:val="single" w:color="auto"/>
          <w:color w:val="auto"/>
        </w:rPr>
        <w:t>3.26</w:t>
      </w:r>
      <w:r>
        <w:rPr>
          <w:rFonts w:ascii="Times New Roman" w:cs="Times New Roman" w:eastAsia="Times New Roman" w:hAnsi="Times New Roman"/>
          <w:sz w:val="13"/>
          <w:szCs w:val="13"/>
          <w:color w:val="auto"/>
        </w:rPr>
        <w:t xml:space="preserve"> (Brokers and Finders).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 Care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have the meanings set forth in the recitals hereof.</w:t>
      </w:r>
    </w:p>
    <w:p>
      <w:pPr>
        <w:spacing w:after="0" w:line="154"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 Majority</w:t>
      </w:r>
      <w:r>
        <w:rPr>
          <w:rFonts w:ascii="Times New Roman" w:cs="Times New Roman" w:eastAsia="Times New Roman" w:hAnsi="Times New Roman"/>
          <w:sz w:val="13"/>
          <w:szCs w:val="13"/>
          <w:color w:val="auto"/>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Adverse Effect</w:t>
      </w:r>
      <w:r>
        <w:rPr>
          <w:rFonts w:ascii="Times New Roman" w:cs="Times New Roman" w:eastAsia="Times New Roman" w:hAnsi="Times New Roman"/>
          <w:sz w:val="13"/>
          <w:szCs w:val="13"/>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67" w:name="page168"/>
    <w:bookmarkEnd w:id="167"/>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57" w:lineRule="exact"/>
        <w:rPr>
          <w:sz w:val="20"/>
          <w:szCs w:val="20"/>
          <w:color w:val="auto"/>
        </w:rPr>
      </w:pPr>
    </w:p>
    <w:p>
      <w:pPr>
        <w:ind w:left="940" w:right="699" w:firstLine="304"/>
        <w:spacing w:after="0" w:line="255" w:lineRule="auto"/>
        <w:tabs>
          <w:tab w:leader="none" w:pos="138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423"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financial, credit or capital market conditions, including interest rates or exchange rates, or any changes therein, provided that the Company or its Subsidiaries are not disproportionately affected thereby;</w:t>
      </w:r>
    </w:p>
    <w:p>
      <w:pPr>
        <w:spacing w:after="0" w:line="46"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5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that generally affects industries in which the Company and its Subsidiaries conduct business, provided that the Company and its Subsidiaries are not disproportionately affected thereby;</w:t>
      </w:r>
    </w:p>
    <w:p>
      <w:pPr>
        <w:spacing w:after="0" w:line="46" w:lineRule="exact"/>
        <w:rPr>
          <w:rFonts w:ascii="Times New Roman" w:cs="Times New Roman" w:eastAsia="Times New Roman" w:hAnsi="Times New Roman"/>
          <w:sz w:val="13"/>
          <w:szCs w:val="13"/>
          <w:color w:val="auto"/>
        </w:rPr>
      </w:pPr>
    </w:p>
    <w:p>
      <w:pPr>
        <w:ind w:left="940" w:right="739" w:firstLine="304"/>
        <w:spacing w:after="0" w:line="255" w:lineRule="auto"/>
        <w:tabs>
          <w:tab w:leader="none" w:pos="1451"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940" w:right="899" w:firstLine="304"/>
        <w:spacing w:after="0" w:line="255" w:lineRule="auto"/>
        <w:tabs>
          <w:tab w:leader="none" w:pos="1416"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 changes in laws after the date of this Agreement; and</w:t>
      </w:r>
    </w:p>
    <w:p>
      <w:pPr>
        <w:spacing w:after="0" w:line="77" w:lineRule="exact"/>
        <w:rPr>
          <w:rFonts w:ascii="Times New Roman" w:cs="Times New Roman" w:eastAsia="Times New Roman" w:hAnsi="Times New Roman"/>
          <w:sz w:val="13"/>
          <w:szCs w:val="13"/>
          <w:color w:val="auto"/>
        </w:rPr>
      </w:pPr>
    </w:p>
    <w:p>
      <w:pPr>
        <w:jc w:val="both"/>
        <w:ind w:left="940" w:right="759" w:firstLine="304"/>
        <w:spacing w:after="0" w:line="251" w:lineRule="auto"/>
        <w:tabs>
          <w:tab w:leader="none" w:pos="1486"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LLC.</w:t>
      </w:r>
    </w:p>
    <w:p>
      <w:pPr>
        <w:spacing w:after="0" w:line="154" w:lineRule="exact"/>
        <w:rPr>
          <w:sz w:val="20"/>
          <w:szCs w:val="20"/>
          <w:color w:val="auto"/>
        </w:rPr>
      </w:pPr>
    </w:p>
    <w:p>
      <w:pPr>
        <w:ind w:left="640" w:right="69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National Exchange</w:t>
      </w:r>
      <w:r>
        <w:rPr>
          <w:rFonts w:ascii="Times New Roman" w:cs="Times New Roman" w:eastAsia="Times New Roman" w:hAnsi="Times New Roman"/>
          <w:sz w:val="12"/>
          <w:szCs w:val="12"/>
          <w:color w:val="auto"/>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partnership, corporation, limited liability company, business trust, joint stock company, trust, unincorporated association, joint venture or any other entity or organization.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68" w:name="page169"/>
    <w:bookmarkEnd w:id="1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Placement Agent</w:t>
      </w:r>
      <w:r>
        <w:rPr>
          <w:rFonts w:ascii="Times New Roman" w:cs="Times New Roman" w:eastAsia="Times New Roman" w:hAnsi="Times New Roman"/>
          <w:sz w:val="13"/>
          <w:szCs w:val="13"/>
          <w:color w:val="auto"/>
        </w:rPr>
        <w:t>” means each of Jefferies LLC, TD Securities (USA) LLC, Stifel, Nicolaus &amp; Company, Incorporated, UBS Securities LLC and Wedbush &amp; Co., LLC.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 Price</w:t>
      </w:r>
      <w:r>
        <w:rPr>
          <w:rFonts w:ascii="Times New Roman" w:cs="Times New Roman" w:eastAsia="Times New Roman" w:hAnsi="Times New Roman"/>
          <w:sz w:val="13"/>
          <w:szCs w:val="13"/>
          <w:color w:val="auto"/>
        </w:rPr>
        <w:t>” means an amount equal to (i) the Share Price minus (ii) $0.0001.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6.1(j)</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13"/>
          <w:szCs w:val="13"/>
          <w:color w:val="auto"/>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Initial Shares and the Pre-Funded Warrant Shares.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Short Sales</w:t>
      </w:r>
      <w:r>
        <w:rPr>
          <w:rFonts w:ascii="Times New Roman" w:cs="Times New Roman" w:eastAsia="Times New Roman" w:hAnsi="Times New Roman"/>
          <w:sz w:val="13"/>
          <w:szCs w:val="13"/>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jc w:val="both"/>
        <w:ind w:left="640" w:right="10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69" w:name="page170"/>
    <w:bookmarkEnd w:id="169"/>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31"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10"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Agreements</w:t>
      </w:r>
      <w:r>
        <w:rPr>
          <w:rFonts w:ascii="Times New Roman" w:cs="Times New Roman" w:eastAsia="Times New Roman" w:hAnsi="Times New Roman"/>
          <w:sz w:val="13"/>
          <w:szCs w:val="13"/>
          <w:color w:val="auto"/>
        </w:rPr>
        <w:t>” means this Agreement, the Merger Agreement, the Pre-Funded Warrants, the Registration Rights Agreement and any other documents or agreements explicitly contemplated hereunder or thereunder.</w:t>
      </w:r>
    </w:p>
    <w:p>
      <w:pPr>
        <w:spacing w:after="0" w:line="119"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Agent</w:t>
      </w:r>
      <w:r>
        <w:rPr>
          <w:rFonts w:ascii="Times New Roman" w:cs="Times New Roman" w:eastAsia="Times New Roman" w:hAnsi="Times New Roman"/>
          <w:sz w:val="13"/>
          <w:szCs w:val="13"/>
          <w:color w:val="auto"/>
        </w:rPr>
        <w:t>” means, with respect to the Common Stock, Computershare Trust Company, N.A., or such other financial institution that provides transfer agent services as Topco may engage from time to time.</w:t>
      </w:r>
    </w:p>
    <w:p>
      <w:pPr>
        <w:spacing w:after="0" w:line="119" w:lineRule="exact"/>
        <w:rPr>
          <w:sz w:val="20"/>
          <w:szCs w:val="20"/>
          <w:color w:val="auto"/>
        </w:rPr>
      </w:pPr>
    </w:p>
    <w:p>
      <w:pPr>
        <w:ind w:left="640" w:right="6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Wire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6" w:lineRule="exact"/>
        <w:rPr>
          <w:sz w:val="20"/>
          <w:szCs w:val="20"/>
          <w:color w:val="auto"/>
        </w:rPr>
      </w:pPr>
    </w:p>
    <w:p>
      <w:pPr>
        <w:ind w:left="1080" w:hanging="133"/>
        <w:spacing w:after="0"/>
        <w:tabs>
          <w:tab w:leader="none" w:pos="1080"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and Sale of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Purchase and Sale</w:t>
      </w:r>
      <w:r>
        <w:rPr>
          <w:rFonts w:ascii="Times New Roman" w:cs="Times New Roman" w:eastAsia="Times New Roman" w:hAnsi="Times New Roman"/>
          <w:sz w:val="12"/>
          <w:szCs w:val="12"/>
          <w:color w:val="auto"/>
        </w:rPr>
        <w:t>. On the Closing Date, upon the terms and subject to the conditions set forth herein, the Company agrees to sell,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Investors, severally and not jointly, agree to purchase, the number of Initial Shares equal to (rounded down to the nearest whole Initial Share) (i)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aggregate commitment amount set forth under the heading “Commitment Amount” and opposite such Investor’s name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Commitment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divided by (ii) the Share Price;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any Investor that has provided notice to the Company at least ten (10) Business Days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prior to the Closing that such Investor would beneficially own (when aggregated with all Securities then beneficially owned by the Investor and its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affiliates (as calculated pursuant to Section 13(d) of the Exchange Act and Rule 13d-3 promulgated thereunder)) in excess of the Beneficial Ownership</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Limitation, or as such Investor may otherwise choose, in lieu of purchasing Initial Shares such Investor may elect to purchase Pre-Funded Warrants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purchase a number of shares of Common Stock issuable upon exercise of the Pre-Funded Warrants (the “</w:t>
      </w:r>
      <w:r>
        <w:rPr>
          <w:rFonts w:ascii="Times New Roman" w:cs="Times New Roman" w:eastAsia="Times New Roman" w:hAnsi="Times New Roman"/>
          <w:sz w:val="13"/>
          <w:szCs w:val="13"/>
          <w:b w:val="1"/>
          <w:bCs w:val="1"/>
          <w:color w:val="auto"/>
        </w:rPr>
        <w:t>Pre-Funded Warrant Shares</w:t>
      </w:r>
      <w:r>
        <w:rPr>
          <w:rFonts w:ascii="Times New Roman" w:cs="Times New Roman" w:eastAsia="Times New Roman" w:hAnsi="Times New Roman"/>
          <w:sz w:val="13"/>
          <w:szCs w:val="13"/>
          <w:color w:val="auto"/>
        </w:rPr>
        <w:t>”) equal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(rounded down to the nearest whole Pre-Funded Warrant Share) (i) the Commitment Amount (or any remainder thereof) divided by (ii) the Pre-Funded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Warrant Price in lieu of Initial Shares in such manner to result in the same Aggregate Purchase Amount being paid by such Investor in the aggregate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(including upon exercise of such Pre-Funded Warrants). The “</w:t>
      </w:r>
      <w:r>
        <w:rPr>
          <w:rFonts w:ascii="Times New Roman" w:cs="Times New Roman" w:eastAsia="Times New Roman" w:hAnsi="Times New Roman"/>
          <w:sz w:val="12"/>
          <w:szCs w:val="12"/>
          <w:b w:val="1"/>
          <w:bCs w:val="1"/>
          <w:color w:val="auto"/>
        </w:rPr>
        <w:t>Beneficial Ownership Limitation</w:t>
      </w:r>
      <w:r>
        <w:rPr>
          <w:rFonts w:ascii="Times New Roman" w:cs="Times New Roman" w:eastAsia="Times New Roman" w:hAnsi="Times New Roman"/>
          <w:sz w:val="12"/>
          <w:szCs w:val="12"/>
          <w:color w:val="auto"/>
        </w:rPr>
        <w:t>” shall initially be set at the discretion of each Investor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a percentage designated by such Investor on its signature page hereto between 0% and 14.99% of the number of shares of the Common Stock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outstanding immediately after giving effect to the issuance of the Initial Shares and Pre-Funded Warrants on the Closing Date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percentage shall be set at 9.99% for any Investor that does not make such designation on its signature page hereto.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Notwithstanding the foregoing, by written notice to the Company, any Investor may reset the Beneficial Ownership Limitation percentage to a higher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lower percentage, not to exceed 19.99%;</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0" w:name="page171"/>
    <w:bookmarkEnd w:id="170"/>
    <w:p>
      <w:pPr>
        <w:ind w:left="640" w:right="659"/>
        <w:spacing w:after="0" w:line="246"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provided</w:t>
      </w:r>
      <w:r>
        <w:rPr>
          <w:rFonts w:ascii="Times New Roman" w:cs="Times New Roman" w:eastAsia="Times New Roman" w:hAnsi="Times New Roman"/>
          <w:sz w:val="13"/>
          <w:szCs w:val="13"/>
          <w:color w:val="auto"/>
        </w:rPr>
        <w:t xml:space="preserve">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14.99%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spacing w:after="0" w:line="137" w:lineRule="exact"/>
        <w:rPr>
          <w:sz w:val="20"/>
          <w:szCs w:val="20"/>
          <w:color w:val="auto"/>
        </w:rPr>
      </w:pPr>
    </w:p>
    <w:p>
      <w:pPr>
        <w:ind w:left="640" w:right="679" w:firstLine="696"/>
        <w:spacing w:after="0" w:line="265"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Subject to the satisfaction or waiver of the conditions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the closing of the purchase and sale of the Securities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and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 w:cs="Times New Roman" w:eastAsia="Times New Roman" w:hAnsi="Times New Roman"/>
          <w:sz w:val="12"/>
          <w:szCs w:val="12"/>
          <w:b w:val="1"/>
          <w:bCs w:val="1"/>
          <w:u w:val="single" w:color="auto"/>
          <w:color w:val="auto"/>
        </w:rPr>
        <w:t>Closing Notice</w:t>
      </w:r>
      <w:r>
        <w:rPr>
          <w:rFonts w:ascii="Times New Roman" w:cs="Times New Roman" w:eastAsia="Times New Roman" w:hAnsi="Times New Roman"/>
          <w:sz w:val="12"/>
          <w:szCs w:val="12"/>
          <w:color w:val="auto"/>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in each case against payment to the Company of the purchase price therefor (the “</w:t>
      </w:r>
      <w:r>
        <w:rPr>
          <w:rFonts w:ascii="Times New Roman" w:cs="Times New Roman" w:eastAsia="Times New Roman" w:hAnsi="Times New Roman"/>
          <w:sz w:val="12"/>
          <w:szCs w:val="12"/>
          <w:b w:val="1"/>
          <w:bCs w:val="1"/>
          <w:color w:val="auto"/>
        </w:rPr>
        <w:t>Aggregate Purchase Amount</w:t>
      </w:r>
      <w:r>
        <w:rPr>
          <w:rFonts w:ascii="Times New Roman" w:cs="Times New Roman" w:eastAsia="Times New Roman" w:hAnsi="Times New Roman"/>
          <w:sz w:val="12"/>
          <w:szCs w:val="12"/>
          <w:color w:val="auto"/>
        </w:rPr>
        <w:t>”) in full, either by (x) wire transfer to the Company of immediately available funds (a “</w:t>
      </w:r>
      <w:r>
        <w:rPr>
          <w:rFonts w:ascii="Times New Roman" w:cs="Times New Roman" w:eastAsia="Times New Roman" w:hAnsi="Times New Roman"/>
          <w:sz w:val="12"/>
          <w:szCs w:val="12"/>
          <w:b w:val="1"/>
          <w:bCs w:val="1"/>
          <w:color w:val="auto"/>
        </w:rPr>
        <w:t>Wire</w:t>
      </w:r>
      <w:r>
        <w:rPr>
          <w:rFonts w:ascii="Times New Roman" w:cs="Times New Roman" w:eastAsia="Times New Roman" w:hAnsi="Times New Roman"/>
          <w:sz w:val="12"/>
          <w:szCs w:val="12"/>
          <w:color w:val="auto"/>
        </w:rPr>
        <w:t xml:space="preserve">”),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(any such cancellation, a “</w:t>
      </w:r>
      <w:r>
        <w:rPr>
          <w:rFonts w:ascii="Times New Roman" w:cs="Times New Roman" w:eastAsia="Times New Roman" w:hAnsi="Times New Roman"/>
          <w:sz w:val="12"/>
          <w:szCs w:val="12"/>
          <w:b w:val="1"/>
          <w:bCs w:val="1"/>
          <w:color w:val="auto"/>
        </w:rPr>
        <w:t>Contribution</w:t>
      </w:r>
      <w:r>
        <w:rPr>
          <w:rFonts w:ascii="Times New Roman" w:cs="Times New Roman" w:eastAsia="Times New Roman" w:hAnsi="Times New Roman"/>
          <w:sz w:val="12"/>
          <w:szCs w:val="12"/>
          <w:color w:val="auto"/>
        </w:rPr>
        <w:t xml:space="preserve">”); or (z) a combination of such methods. On the Closing Date, the Company will (A) cause the Transfer Agent to issue the Initial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unless this Agreement has been terminated pursuant to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may be reduced without such Investor’s prior written consent (not to be unreasonably withheld, conditioned or delayed), and shall provide such updated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71" w:name="page172"/>
    <w:bookmarkEnd w:id="171"/>
    <w:p>
      <w:pPr>
        <w:ind w:left="640" w:right="719"/>
        <w:spacing w:after="0" w:line="272"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r>
        <w:rPr>
          <w:rFonts w:ascii="Times New Roman" w:cs="Times New Roman" w:eastAsia="Times New Roman" w:hAnsi="Times New Roman"/>
          <w:sz w:val="12"/>
          <w:szCs w:val="12"/>
          <w:color w:val="auto"/>
        </w:rPr>
        <w:t xml:space="preserve">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spacing w:after="0" w:line="123" w:lineRule="exact"/>
        <w:rPr>
          <w:sz w:val="20"/>
          <w:szCs w:val="20"/>
          <w:color w:val="auto"/>
        </w:rPr>
      </w:pPr>
    </w:p>
    <w:p>
      <w:pPr>
        <w:ind w:left="640" w:right="759" w:firstLine="696"/>
        <w:spacing w:after="0" w:line="309" w:lineRule="auto"/>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Conversion and Termination of Convertible Securities</w:t>
      </w:r>
      <w:r>
        <w:rPr>
          <w:rFonts w:ascii="Times New Roman" w:cs="Times New Roman" w:eastAsia="Times New Roman" w:hAnsi="Times New Roman"/>
          <w:sz w:val="12"/>
          <w:szCs w:val="12"/>
          <w:color w:val="auto"/>
        </w:rPr>
        <w:t>. Notwithstanding anything in this Agreement to the contrary, by executing and delivering this Agreement, each Investor holding one or more Convertible Securities prior to the Closing hereby irrevocably agrees that:</w:t>
      </w:r>
    </w:p>
    <w:p>
      <w:pPr>
        <w:spacing w:after="0" w:line="24" w:lineRule="exact"/>
        <w:rPr>
          <w:sz w:val="20"/>
          <w:szCs w:val="20"/>
          <w:color w:val="auto"/>
        </w:rPr>
      </w:pPr>
    </w:p>
    <w:p>
      <w:pPr>
        <w:ind w:left="640" w:right="699" w:firstLine="1003"/>
        <w:spacing w:after="0" w:line="267" w:lineRule="auto"/>
        <w:tabs>
          <w:tab w:leader="none" w:pos="1817"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aggregate amount of all such Convertible Securities (including any outstanding principal, interest or any other amounts) held by such Investor is set forth under the heading “Convertible Securities Amount” and opposite such Investor’s name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Investor is the sole owner of all right, title and interest in and to the Convertible Securities corresponding to the amounts set forth under the heading “Convertible Securities Amount” and opposite such Investor’s name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17"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Closing, (i) all of such Investor’s Convertible Securities will automatically and without any action on the part of such Investor convert into that number of Securities as is calculated in accordance with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24"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will not impair the right of such Investor to receive the applicable number of Securities calculated in accordance with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above; and</w:t>
      </w:r>
    </w:p>
    <w:p>
      <w:pPr>
        <w:spacing w:after="0" w:line="138" w:lineRule="exact"/>
        <w:rPr>
          <w:rFonts w:ascii="Times New Roman" w:cs="Times New Roman" w:eastAsia="Times New Roman" w:hAnsi="Times New Roman"/>
          <w:sz w:val="13"/>
          <w:szCs w:val="13"/>
          <w:color w:val="auto"/>
        </w:rPr>
      </w:pPr>
    </w:p>
    <w:p>
      <w:pPr>
        <w:ind w:left="640" w:right="739" w:firstLine="1003"/>
        <w:spacing w:after="0" w:line="272" w:lineRule="auto"/>
        <w:tabs>
          <w:tab w:leader="none" w:pos="1817"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72" w:name="page173"/>
    <w:bookmarkEnd w:id="172"/>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forms, including a duly executed IRS Form W-9 or appropriate version of IRS Form W-8, as applicable. Prior to withholding any amounts pursuant to this </w:t>
      </w:r>
      <w:r>
        <w:rPr>
          <w:rFonts w:ascii="Times New Roman" w:cs="Times New Roman" w:eastAsia="Times New Roman" w:hAnsi="Times New Roman"/>
          <w:sz w:val="13"/>
          <w:szCs w:val="13"/>
          <w:u w:val="single" w:color="auto"/>
          <w:color w:val="auto"/>
        </w:rPr>
        <w:t>Section 2.3(e)</w:t>
      </w:r>
      <w:r>
        <w:rPr>
          <w:rFonts w:ascii="Times New Roman" w:cs="Times New Roman" w:eastAsia="Times New Roman" w:hAnsi="Times New Roman"/>
          <w:sz w:val="13"/>
          <w:szCs w:val="13"/>
          <w:color w:val="auto"/>
        </w:rPr>
        <w:t>, the Company (and its Subsidiaries, affiliates, and agents) shall use commercially reasonable efforts to notify such Investor, and the Company and such Investor shall cooperate in good faith to reduce or eliminate any such withholding.</w:t>
      </w:r>
    </w:p>
    <w:p>
      <w:pPr>
        <w:spacing w:after="0" w:line="130" w:lineRule="exact"/>
        <w:rPr>
          <w:sz w:val="20"/>
          <w:szCs w:val="20"/>
          <w:color w:val="auto"/>
        </w:rPr>
      </w:pPr>
    </w:p>
    <w:p>
      <w:pPr>
        <w:ind w:left="640" w:right="679" w:firstLine="307"/>
        <w:spacing w:after="0" w:line="255" w:lineRule="auto"/>
        <w:tabs>
          <w:tab w:leader="none" w:pos="1076"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 xml:space="preserve">. The Company hereby represents and warrants to each of the Investors and the Placement Agents that the statements contained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true and correct as of the date hereof and as of the Closing Date (except for the representations and warranties that speak as of a specific date, which shall be made as of such date):</w:t>
      </w:r>
    </w:p>
    <w:p>
      <w:pPr>
        <w:spacing w:after="0" w:line="54"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and Power</w:t>
      </w:r>
      <w:r>
        <w:rPr>
          <w:rFonts w:ascii="Times New Roman" w:cs="Times New Roman" w:eastAsia="Times New Roman" w:hAnsi="Times New Roman"/>
          <w:sz w:val="13"/>
          <w:szCs w:val="13"/>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37"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 The authorized capital stock of the Company consists of 122,363,552 shares of Common Stock and 95,000,000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w:t>
      </w:r>
    </w:p>
    <w:p>
      <w:pPr>
        <w:spacing w:after="0" w:line="137"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spacing w:after="0" w:line="130" w:lineRule="exact"/>
        <w:rPr>
          <w:sz w:val="20"/>
          <w:szCs w:val="20"/>
          <w:color w:val="auto"/>
        </w:rPr>
      </w:pPr>
    </w:p>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73" w:name="page174"/>
    <w:bookmarkEnd w:id="17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41"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Valid Issuance</w:t>
      </w:r>
      <w:r>
        <w:rPr>
          <w:rFonts w:ascii="Times New Roman" w:cs="Times New Roman" w:eastAsia="Times New Roman" w:hAnsi="Times New Roman"/>
          <w:sz w:val="13"/>
          <w:szCs w:val="13"/>
          <w:color w:val="auto"/>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40"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No Conflict</w:t>
      </w:r>
      <w:r>
        <w:rPr>
          <w:rFonts w:ascii="Times New Roman" w:cs="Times New Roman" w:eastAsia="Times New Roman" w:hAnsi="Times New Roman"/>
          <w:sz w:val="13"/>
          <w:szCs w:val="13"/>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74" w:name="page175"/>
    <w:bookmarkEnd w:id="174"/>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3.7 </w:t>
      </w: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Assuming the accuracy of the representations and warranties of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40" w:lineRule="exact"/>
        <w:rPr>
          <w:sz w:val="20"/>
          <w:szCs w:val="20"/>
          <w:color w:val="auto"/>
        </w:rPr>
      </w:pPr>
    </w:p>
    <w:p>
      <w:pPr>
        <w:ind w:left="640" w:right="679" w:firstLine="696"/>
        <w:spacing w:after="0" w:line="268" w:lineRule="auto"/>
        <w:rPr>
          <w:sz w:val="20"/>
          <w:szCs w:val="20"/>
          <w:color w:val="auto"/>
        </w:rPr>
      </w:pP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financial statements of the Company for the period ended December 31, 2025 and related balance sheet data as of December 31, 2025 (collectively, the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25"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3.9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spacing w:after="0" w:line="135"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3.10 </w:t>
      </w:r>
      <w:r>
        <w:rPr>
          <w:rFonts w:ascii="Times New Roman" w:cs="Times New Roman" w:eastAsia="Times New Roman" w:hAnsi="Times New Roman"/>
          <w:sz w:val="12"/>
          <w:szCs w:val="12"/>
          <w:u w:val="single" w:color="auto"/>
          <w:color w:val="auto"/>
        </w:rPr>
        <w:t>Absence of Litigation</w:t>
      </w:r>
      <w:r>
        <w:rPr>
          <w:rFonts w:ascii="Times New Roman" w:cs="Times New Roman" w:eastAsia="Times New Roman" w:hAnsi="Times New Roman"/>
          <w:sz w:val="12"/>
          <w:szCs w:val="12"/>
          <w:color w:val="auto"/>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75" w:name="page176"/>
    <w:bookmarkEnd w:id="175"/>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Compliance with Law; Permits</w:t>
      </w:r>
      <w:r>
        <w:rPr>
          <w:rFonts w:ascii="Times New Roman" w:cs="Times New Roman" w:eastAsia="Times New Roman" w:hAnsi="Times New Roman"/>
          <w:sz w:val="12"/>
          <w:szCs w:val="12"/>
          <w:color w:val="auto"/>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2"/>
          <w:szCs w:val="12"/>
          <w:b w:val="1"/>
          <w:bCs w:val="1"/>
          <w:color w:val="auto"/>
        </w:rPr>
        <w:t>Governmental Authorizations</w:t>
      </w:r>
      <w:r>
        <w:rPr>
          <w:rFonts w:ascii="Times New Roman" w:cs="Times New Roman" w:eastAsia="Times New Roman" w:hAnsi="Times New Roman"/>
          <w:sz w:val="12"/>
          <w:szCs w:val="12"/>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24" w:lineRule="exact"/>
        <w:rPr>
          <w:sz w:val="20"/>
          <w:szCs w:val="20"/>
          <w:color w:val="auto"/>
        </w:rPr>
      </w:pPr>
    </w:p>
    <w:p>
      <w:pPr>
        <w:ind w:left="640" w:right="679" w:firstLine="696"/>
        <w:spacing w:after="0" w:line="244" w:lineRule="auto"/>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 w:cs="Times New Roman" w:eastAsia="Times New Roman" w:hAnsi="Times New Roman"/>
          <w:sz w:val="13"/>
          <w:szCs w:val="13"/>
          <w:b w:val="1"/>
          <w:bCs w:val="1"/>
          <w:color w:val="auto"/>
        </w:rPr>
        <w:t>Intellectual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Property</w:t>
      </w:r>
      <w:r>
        <w:rPr>
          <w:rFonts w:ascii="Times New Roman" w:cs="Times New Roman" w:eastAsia="Times New Roman" w:hAnsi="Times New Roman"/>
          <w:sz w:val="13"/>
          <w:szCs w:val="13"/>
          <w:color w:val="auto"/>
        </w:rPr>
        <w:t>”), except where any failure to own, possess or acquire such Intellectual Property has not had, and would not, individually or in the aggregate,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46" w:lineRule="exact"/>
        <w:rPr>
          <w:sz w:val="20"/>
          <w:szCs w:val="20"/>
          <w:color w:val="auto"/>
        </w:rPr>
      </w:pPr>
    </w:p>
    <w:p>
      <w:pPr>
        <w:ind w:left="640" w:right="71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3.13 </w:t>
      </w:r>
      <w:r>
        <w:rPr>
          <w:rFonts w:ascii="Times New Roman" w:cs="Times New Roman" w:eastAsia="Times New Roman" w:hAnsi="Times New Roman"/>
          <w:sz w:val="12"/>
          <w:szCs w:val="12"/>
          <w:u w:val="single" w:color="auto"/>
          <w:color w:val="auto"/>
        </w:rPr>
        <w:t>Employee Benefits</w:t>
      </w:r>
      <w:r>
        <w:rPr>
          <w:rFonts w:ascii="Times New Roman" w:cs="Times New Roman" w:eastAsia="Times New Roman" w:hAnsi="Times New Roman"/>
          <w:sz w:val="12"/>
          <w:szCs w:val="12"/>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3.14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 (ii).</w:t>
      </w:r>
    </w:p>
    <w:p>
      <w:pPr>
        <w:spacing w:after="0" w:line="14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37" w:lineRule="exact"/>
        <w:rPr>
          <w:sz w:val="20"/>
          <w:szCs w:val="20"/>
          <w:color w:val="auto"/>
        </w:rPr>
      </w:pPr>
    </w:p>
    <w:p>
      <w:pPr>
        <w:ind w:left="640" w:right="699" w:firstLine="696"/>
        <w:spacing w:after="0" w:line="272" w:lineRule="auto"/>
        <w:rPr>
          <w:sz w:val="20"/>
          <w:szCs w:val="20"/>
          <w:color w:val="auto"/>
        </w:rPr>
      </w:pPr>
      <w:r>
        <w:rPr>
          <w:rFonts w:ascii="Times New Roman" w:cs="Times New Roman" w:eastAsia="Times New Roman" w:hAnsi="Times New Roman"/>
          <w:sz w:val="12"/>
          <w:szCs w:val="12"/>
          <w:color w:val="auto"/>
        </w:rPr>
        <w:t xml:space="preserve">3.16 </w:t>
      </w:r>
      <w:r>
        <w:rPr>
          <w:rFonts w:ascii="Times New Roman" w:cs="Times New Roman" w:eastAsia="Times New Roman" w:hAnsi="Times New Roman"/>
          <w:sz w:val="12"/>
          <w:szCs w:val="12"/>
          <w:u w:val="single" w:color="auto"/>
          <w:color w:val="auto"/>
        </w:rPr>
        <w:t>Title</w:t>
      </w:r>
      <w:r>
        <w:rPr>
          <w:rFonts w:ascii="Times New Roman" w:cs="Times New Roman" w:eastAsia="Times New Roman" w:hAnsi="Times New Roman"/>
          <w:sz w:val="12"/>
          <w:szCs w:val="12"/>
          <w:color w:val="auto"/>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75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color w:val="auto"/>
        </w:rPr>
        <w:t>studies</w:t>
      </w:r>
      <w:r>
        <w:rPr>
          <w:rFonts w:ascii="Times New Roman" w:cs="Times New Roman" w:eastAsia="Times New Roman" w:hAnsi="Times New Roman"/>
          <w:sz w:val="13"/>
          <w:szCs w:val="13"/>
          <w:color w:val="auto"/>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u w:val="single" w:color="auto"/>
          <w:color w:val="auto"/>
        </w:rPr>
        <w:t>Compliance with Health Care Laws</w:t>
      </w:r>
      <w:r>
        <w:rPr>
          <w:rFonts w:ascii="Times New Roman" w:cs="Times New Roman" w:eastAsia="Times New Roman" w:hAnsi="Times New Roman"/>
          <w:sz w:val="12"/>
          <w:szCs w:val="12"/>
          <w:color w:val="auto"/>
        </w:rPr>
        <w:t>. The Company and its Subsidiaries are in compliance in all material respects with all Health Care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Laws to the extent applicable to the Company’s and its Subsidiaries’ current business and research use only products. For purposes of this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(i) the Federal Food, Drug, and Cosmetic Act (21 U.S.C. Section 301 et seq.) and the Public Health Service Act (42 U.S.C.</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201 et seq.), and the regulations promulgated thereunder; (ii) all applicable federal, state, local and foreign health care fraud and abuse laws,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including, without limitation, the Anti-Kickback Statute (42 U.S.C. Section 1320a-7b(b)); (iii) HIPAA, as amended by the Health Information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Technology for Economic and Clinical Health Act (42 U.S.C. Section 17921 et seq.); (iv) the Patient Protection and Affordable Care Act of 2010,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amended by the Health Care and Education Reconciliation Act of 2010; (v) the European Union (“</w:t>
      </w:r>
      <w:r>
        <w:rPr>
          <w:rFonts w:ascii="Times New Roman" w:cs="Times New Roman" w:eastAsia="Times New Roman" w:hAnsi="Times New Roman"/>
          <w:sz w:val="12"/>
          <w:szCs w:val="12"/>
          <w:b w:val="1"/>
          <w:bCs w:val="1"/>
          <w:color w:val="auto"/>
        </w:rPr>
        <w:t>EU</w:t>
      </w:r>
      <w:r>
        <w:rPr>
          <w:rFonts w:ascii="Times New Roman" w:cs="Times New Roman" w:eastAsia="Times New Roman" w:hAnsi="Times New Roman"/>
          <w:sz w:val="12"/>
          <w:szCs w:val="12"/>
          <w:color w:val="auto"/>
        </w:rPr>
        <w:t>”) Clinical Trials Regulation (Regulation (EU)</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 536/2014); (vi) the EU Regulation regarding community procedures for authorization and supervision of medicinal products for human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veterinary use and establishing a European Medicines Agency (Regulation (EC) No. 726/2004); (vii) licensure, quality, safety and accreditation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requirements under applicable federal, state, local or foreign laws or regulatory bodies; (viii) all other local, state, federal, national, supranational and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foreign laws, relating to the regulation of the Company or its Subsidiaries, and (ix) the regulations promulgated pursuant to such statutes and any state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non-U.S. counterpart thereof. Neither the Company nor any of its Subsidiaries has received written or, to the Company’s knowledge, oral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40"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2"/>
          <w:szCs w:val="12"/>
          <w:color w:val="auto"/>
        </w:rPr>
        <w:t xml:space="preserve">3.22 </w:t>
      </w:r>
      <w:r>
        <w:rPr>
          <w:rFonts w:ascii="Times New Roman" w:cs="Times New Roman" w:eastAsia="Times New Roman" w:hAnsi="Times New Roman"/>
          <w:sz w:val="12"/>
          <w:szCs w:val="12"/>
          <w:u w:val="single" w:color="auto"/>
          <w:color w:val="auto"/>
        </w:rPr>
        <w:t>Accounting Controls and Disclosure Controls and Procedures</w:t>
      </w:r>
      <w:r>
        <w:rPr>
          <w:rFonts w:ascii="Times New Roman" w:cs="Times New Roman" w:eastAsia="Times New Roman" w:hAnsi="Times New Roman"/>
          <w:sz w:val="12"/>
          <w:szCs w:val="12"/>
          <w:color w:val="auto"/>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w:t>
      </w:r>
    </w:p>
    <w:p>
      <w:pPr>
        <w:spacing w:after="0" w:line="2" w:lineRule="exact"/>
        <w:rPr>
          <w:sz w:val="20"/>
          <w:szCs w:val="20"/>
          <w:color w:val="auto"/>
        </w:rPr>
      </w:pPr>
    </w:p>
    <w:p>
      <w:pPr>
        <w:ind w:left="640" w:right="659" w:hanging="3"/>
        <w:spacing w:after="0" w:line="243" w:lineRule="auto"/>
        <w:tabs>
          <w:tab w:leader="none" w:pos="854"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41" w:lineRule="exact"/>
        <w:rPr>
          <w:sz w:val="20"/>
          <w:szCs w:val="20"/>
          <w:color w:val="auto"/>
        </w:rPr>
      </w:pPr>
    </w:p>
    <w:p>
      <w:pPr>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3.23 </w:t>
      </w:r>
      <w:r>
        <w:rPr>
          <w:rFonts w:ascii="Times New Roman" w:cs="Times New Roman" w:eastAsia="Times New Roman" w:hAnsi="Times New Roman"/>
          <w:sz w:val="12"/>
          <w:szCs w:val="12"/>
          <w:u w:val="single" w:color="auto"/>
          <w:color w:val="auto"/>
        </w:rPr>
        <w:t>Price Stabilization of Common Stock</w:t>
      </w:r>
      <w:r>
        <w:rPr>
          <w:rFonts w:ascii="Times New Roman" w:cs="Times New Roman" w:eastAsia="Times New Roman" w:hAnsi="Times New Roman"/>
          <w:sz w:val="12"/>
          <w:szCs w:val="12"/>
          <w:color w:val="auto"/>
        </w:rPr>
        <w:t>. The Company has not taken, nor will it take, directly or indirectly, any action designed to stabilize or manipulate the price of the Common Stock to facilitate the sale or resale of the Securities or the Pre-Funded Warrant Shares.</w:t>
      </w:r>
    </w:p>
    <w:p>
      <w:pPr>
        <w:spacing w:after="0" w:line="100" w:lineRule="exact"/>
        <w:rPr>
          <w:sz w:val="20"/>
          <w:szCs w:val="20"/>
          <w:color w:val="auto"/>
        </w:rPr>
      </w:pPr>
    </w:p>
    <w:p>
      <w:pPr>
        <w:ind w:left="640" w:right="12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and immediately after receipt of payment for the Securities will not be, an “investment company” within the meaning of the U.S. Investment Company Act of 1940, as amended.</w:t>
      </w:r>
    </w:p>
    <w:p>
      <w:pPr>
        <w:spacing w:after="0" w:line="122"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General Solicitation; No Integration or Aggregation</w:t>
      </w:r>
      <w:r>
        <w:rPr>
          <w:rFonts w:ascii="Times New Roman" w:cs="Times New Roman" w:eastAsia="Times New Roman" w:hAnsi="Times New Roman"/>
          <w:sz w:val="13"/>
          <w:szCs w:val="13"/>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spacing w:after="0" w:line="136" w:lineRule="exact"/>
        <w:rPr>
          <w:sz w:val="20"/>
          <w:szCs w:val="20"/>
          <w:color w:val="auto"/>
        </w:rPr>
      </w:pPr>
    </w:p>
    <w:p>
      <w:pPr>
        <w:ind w:left="640" w:right="73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3.26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00"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3.27 </w:t>
      </w:r>
      <w:r>
        <w:rPr>
          <w:rFonts w:ascii="Times New Roman" w:cs="Times New Roman" w:eastAsia="Times New Roman" w:hAnsi="Times New Roman"/>
          <w:sz w:val="13"/>
          <w:szCs w:val="13"/>
          <w:u w:val="single" w:color="auto"/>
          <w:color w:val="auto"/>
        </w:rPr>
        <w:t>Reliance by the Investors</w:t>
      </w:r>
      <w:r>
        <w:rPr>
          <w:rFonts w:ascii="Times New Roman" w:cs="Times New Roman" w:eastAsia="Times New Roman" w:hAnsi="Times New Roman"/>
          <w:sz w:val="13"/>
          <w:szCs w:val="13"/>
          <w:color w:val="auto"/>
        </w:rPr>
        <w:t xml:space="preserve">. The Company has a reasonable basis for making each of the representations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30" w:lineRule="exact"/>
        <w:rPr>
          <w:sz w:val="20"/>
          <w:szCs w:val="20"/>
          <w:color w:val="auto"/>
        </w:rPr>
      </w:pPr>
    </w:p>
    <w:p>
      <w:pPr>
        <w:ind w:left="640" w:right="759" w:firstLine="696"/>
        <w:spacing w:after="0" w:line="275" w:lineRule="auto"/>
        <w:rPr>
          <w:sz w:val="20"/>
          <w:szCs w:val="20"/>
          <w:color w:val="auto"/>
        </w:rPr>
      </w:pPr>
      <w:r>
        <w:rPr>
          <w:rFonts w:ascii="Times New Roman" w:cs="Times New Roman" w:eastAsia="Times New Roman" w:hAnsi="Times New Roman"/>
          <w:sz w:val="12"/>
          <w:szCs w:val="12"/>
          <w:color w:val="auto"/>
        </w:rPr>
        <w:t xml:space="preserve">3.28 </w:t>
      </w:r>
      <w:r>
        <w:rPr>
          <w:rFonts w:ascii="Times New Roman" w:cs="Times New Roman" w:eastAsia="Times New Roman" w:hAnsi="Times New Roman"/>
          <w:sz w:val="12"/>
          <w:szCs w:val="12"/>
          <w:u w:val="single" w:color="auto"/>
          <w:color w:val="auto"/>
        </w:rPr>
        <w:t>No Additional Agreements</w:t>
      </w:r>
      <w:r>
        <w:rPr>
          <w:rFonts w:ascii="Times New Roman" w:cs="Times New Roman" w:eastAsia="Times New Roman" w:hAnsi="Times New Roman"/>
          <w:sz w:val="12"/>
          <w:szCs w:val="12"/>
          <w:color w:val="auto"/>
        </w:rPr>
        <w:t>.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spacing w:after="0" w:line="119"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t xml:space="preserve">3.29 </w:t>
      </w:r>
      <w:r>
        <w:rPr>
          <w:rFonts w:ascii="Times New Roman" w:cs="Times New Roman" w:eastAsia="Times New Roman" w:hAnsi="Times New Roman"/>
          <w:sz w:val="12"/>
          <w:szCs w:val="12"/>
          <w:u w:val="single" w:color="auto"/>
          <w:color w:val="auto"/>
        </w:rPr>
        <w:t>Anti-Bribery and Anti-Money Laundering Laws; Sanctions</w:t>
      </w:r>
      <w:r>
        <w:rPr>
          <w:rFonts w:ascii="Times New Roman" w:cs="Times New Roman" w:eastAsia="Times New Roman" w:hAnsi="Times New Roman"/>
          <w:sz w:val="12"/>
          <w:szCs w:val="12"/>
          <w:color w:val="auto"/>
        </w:rPr>
        <w:t>.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180" w:name="page181"/>
    <w:bookmarkEnd w:id="180"/>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3.30 </w:t>
      </w:r>
      <w:r>
        <w:rPr>
          <w:rFonts w:ascii="Times New Roman" w:cs="Times New Roman" w:eastAsia="Times New Roman" w:hAnsi="Times New Roman"/>
          <w:sz w:val="13"/>
          <w:szCs w:val="13"/>
          <w:u w:val="single" w:color="auto"/>
          <w:color w:val="auto"/>
        </w:rPr>
        <w:t>Cybersecurity</w:t>
      </w:r>
      <w:r>
        <w:rPr>
          <w:rFonts w:ascii="Times New Roman" w:cs="Times New Roman" w:eastAsia="Times New Roman" w:hAnsi="Times New Roman"/>
          <w:sz w:val="13"/>
          <w:szCs w:val="13"/>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37"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3.31 </w:t>
      </w:r>
      <w:r>
        <w:rPr>
          <w:rFonts w:ascii="Times New Roman" w:cs="Times New Roman" w:eastAsia="Times New Roman" w:hAnsi="Times New Roman"/>
          <w:sz w:val="13"/>
          <w:szCs w:val="13"/>
          <w:u w:val="single" w:color="auto"/>
          <w:color w:val="auto"/>
        </w:rPr>
        <w:t>Compliance with Data Privacy Laws</w:t>
      </w:r>
      <w:r>
        <w:rPr>
          <w:rFonts w:ascii="Times New Roman" w:cs="Times New Roman" w:eastAsia="Times New Roman" w:hAnsi="Times New Roman"/>
          <w:sz w:val="13"/>
          <w:szCs w:val="13"/>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of Personal Data, including without limitation HIPAA, the EU General Data Protection Regulation (“</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40" w:lineRule="exact"/>
        <w:rPr>
          <w:sz w:val="20"/>
          <w:szCs w:val="20"/>
          <w:color w:val="auto"/>
        </w:rPr>
      </w:pPr>
    </w:p>
    <w:p>
      <w:pPr>
        <w:ind w:left="640" w:right="7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3.32 </w:t>
      </w:r>
      <w:r>
        <w:rPr>
          <w:rFonts w:ascii="Times New Roman" w:cs="Times New Roman" w:eastAsia="Times New Roman" w:hAnsi="Times New Roman"/>
          <w:sz w:val="13"/>
          <w:szCs w:val="13"/>
          <w:u w:val="single" w:color="auto"/>
          <w:color w:val="auto"/>
        </w:rPr>
        <w:t>Transactions with Affiliates and Employees</w:t>
      </w:r>
      <w:r>
        <w:rPr>
          <w:rFonts w:ascii="Times New Roman" w:cs="Times New Roman" w:eastAsia="Times New Roman" w:hAnsi="Times New Roman"/>
          <w:sz w:val="13"/>
          <w:szCs w:val="13"/>
          <w:color w:val="auto"/>
        </w:rPr>
        <w:t>.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3.33 </w:t>
      </w:r>
      <w:r>
        <w:rPr>
          <w:rFonts w:ascii="Times New Roman" w:cs="Times New Roman" w:eastAsia="Times New Roman" w:hAnsi="Times New Roman"/>
          <w:sz w:val="13"/>
          <w:szCs w:val="13"/>
          <w:u w:val="single" w:color="auto"/>
          <w:color w:val="auto"/>
        </w:rPr>
        <w:t>Additional Representations and Warranties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679" w:firstLine="1003"/>
        <w:spacing w:after="0" w:line="251" w:lineRule="auto"/>
        <w:tabs>
          <w:tab w:leader="none" w:pos="1824"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17"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 w:cs="Times New Roman" w:eastAsia="Times New Roman" w:hAnsi="Times New Roman"/>
          <w:sz w:val="13"/>
          <w:szCs w:val="13"/>
          <w:b w:val="1"/>
          <w:bCs w:val="1"/>
          <w:color w:val="auto"/>
        </w:rPr>
        <w:t>Regulation M-A Filing</w:t>
      </w:r>
      <w:r>
        <w:rPr>
          <w:rFonts w:ascii="Times New Roman" w:cs="Times New Roman" w:eastAsia="Times New Roman" w:hAnsi="Times New Roman"/>
          <w:sz w:val="13"/>
          <w:szCs w:val="13"/>
          <w:color w:val="auto"/>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3"/>
          <w:szCs w:val="13"/>
          <w:b w:val="1"/>
          <w:bCs w:val="1"/>
          <w:color w:val="auto"/>
        </w:rPr>
        <w:t>Public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Meeting</w:t>
      </w:r>
      <w:r>
        <w:rPr>
          <w:rFonts w:ascii="Times New Roman" w:cs="Times New Roman" w:eastAsia="Times New Roman" w:hAnsi="Times New Roman"/>
          <w:sz w:val="13"/>
          <w:szCs w:val="13"/>
          <w:color w:val="auto"/>
        </w:rPr>
        <w:t>”), shall not, on the date the proxy statement/prospectus included in the Registration Statement is first mailed to stockholders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at any time it is amended or supplemented,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38" w:lineRule="exact"/>
        <w:rPr>
          <w:rFonts w:ascii="Times New Roman" w:cs="Times New Roman" w:eastAsia="Times New Roman" w:hAnsi="Times New Roman"/>
          <w:sz w:val="13"/>
          <w:szCs w:val="13"/>
          <w:color w:val="auto"/>
        </w:rPr>
      </w:pPr>
    </w:p>
    <w:p>
      <w:pPr>
        <w:jc w:val="both"/>
        <w:ind w:left="640" w:right="959" w:firstLine="307"/>
        <w:spacing w:after="0" w:line="286" w:lineRule="auto"/>
        <w:tabs>
          <w:tab w:leader="none" w:pos="1076"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Each Investor</w:t>
      </w:r>
      <w:r>
        <w:rPr>
          <w:rFonts w:ascii="Times New Roman" w:cs="Times New Roman" w:eastAsia="Times New Roman" w:hAnsi="Times New Roman"/>
          <w:sz w:val="12"/>
          <w:szCs w:val="12"/>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are true and correct as of the date hereof and the Closing Date (except for the representations and warranties that speak as of a specific date, which shall be made as of such date):</w:t>
      </w:r>
    </w:p>
    <w:p>
      <w:pPr>
        <w:spacing w:after="0" w:line="37" w:lineRule="exact"/>
        <w:rPr>
          <w:sz w:val="20"/>
          <w:szCs w:val="20"/>
          <w:color w:val="auto"/>
        </w:rPr>
      </w:pPr>
    </w:p>
    <w:p>
      <w:pPr>
        <w:jc w:val="both"/>
        <w:ind w:left="640" w:right="1259" w:firstLine="696"/>
        <w:spacing w:after="0" w:line="309"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Organization</w:t>
      </w:r>
      <w:r>
        <w:rPr>
          <w:rFonts w:ascii="Times New Roman" w:cs="Times New Roman" w:eastAsia="Times New Roman" w:hAnsi="Times New Roman"/>
          <w:sz w:val="12"/>
          <w:szCs w:val="12"/>
          <w:color w:val="auto"/>
        </w:rPr>
        <w:t>. Such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00"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9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30"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spacing w:after="0" w:line="137"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xml:space="preserve">. Such Investor’s residence (if an individual) or offices in which its investment decision with respect to the Securities was made (if an entity) are located at the address immediately below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except as otherwise communicated by such Investor to the Company.</w:t>
      </w:r>
    </w:p>
    <w:p>
      <w:pPr>
        <w:spacing w:after="0" w:line="130" w:lineRule="exact"/>
        <w:rPr>
          <w:sz w:val="20"/>
          <w:szCs w:val="20"/>
          <w:color w:val="auto"/>
        </w:rPr>
      </w:pPr>
    </w:p>
    <w:p>
      <w:pPr>
        <w:ind w:left="640" w:right="10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Such Investor has not retained, utilized or been represented by any broker or finder in connection with the transactions contemplated by this Agreement whose fees the Company would be required to pay.</w:t>
      </w:r>
    </w:p>
    <w:p>
      <w:pPr>
        <w:spacing w:after="0" w:line="122"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Investment Representations and Warranties</w:t>
      </w:r>
      <w:r>
        <w:rPr>
          <w:rFonts w:ascii="Times New Roman" w:cs="Times New Roman" w:eastAsia="Times New Roman" w:hAnsi="Times New Roman"/>
          <w:sz w:val="13"/>
          <w:szCs w:val="13"/>
          <w:color w:val="auto"/>
        </w:rPr>
        <w:t>.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spacing w:after="0" w:line="136"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Intent</w:t>
      </w:r>
      <w:r>
        <w:rPr>
          <w:rFonts w:ascii="Times New Roman" w:cs="Times New Roman" w:eastAsia="Times New Roman" w:hAnsi="Times New Roman"/>
          <w:sz w:val="13"/>
          <w:szCs w:val="13"/>
          <w:color w:val="auto"/>
        </w:rPr>
        <w: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183" w:name="page184"/>
    <w:bookmarkEnd w:id="183"/>
    <w:p>
      <w:pPr>
        <w:ind w:left="640" w:right="7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spacing w:after="0" w:line="116"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Investment Experience; Ability to Protect Its Own Interests and Bear Economic Risks</w:t>
      </w:r>
      <w:r>
        <w:rPr>
          <w:rFonts w:ascii="Times New Roman" w:cs="Times New Roman" w:eastAsia="Times New Roman" w:hAnsi="Times New Roman"/>
          <w:sz w:val="13"/>
          <w:szCs w:val="13"/>
          <w:color w:val="auto"/>
        </w:rPr>
        <w:t>.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spacing w:after="0" w:line="139"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Independent Investment Decision</w:t>
      </w:r>
      <w:r>
        <w:rPr>
          <w:rFonts w:ascii="Times New Roman" w:cs="Times New Roman" w:eastAsia="Times New Roman" w:hAnsi="Times New Roman"/>
          <w:sz w:val="13"/>
          <w:szCs w:val="13"/>
          <w:color w:val="auto"/>
        </w:rPr>
        <w:t>.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spacing w:after="0" w:line="133"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Securities Not Registered; Legends</w:t>
      </w:r>
      <w:r>
        <w:rPr>
          <w:rFonts w:ascii="Times New Roman" w:cs="Times New Roman" w:eastAsia="Times New Roman" w:hAnsi="Times New Roman"/>
          <w:sz w:val="13"/>
          <w:szCs w:val="13"/>
          <w:color w:val="auto"/>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Investor understands that any certificates or book entry notations evidencing the Securities may bear one or more legends in substantially the following form and substance:</w:t>
      </w:r>
    </w:p>
    <w:p>
      <w:pPr>
        <w:spacing w:after="0" w:line="46" w:lineRule="exact"/>
        <w:rPr>
          <w:sz w:val="20"/>
          <w:szCs w:val="20"/>
          <w:color w:val="auto"/>
        </w:rPr>
      </w:pPr>
    </w:p>
    <w:p>
      <w:pPr>
        <w:ind w:left="940" w:right="659"/>
        <w:spacing w:after="0" w:line="268" w:lineRule="auto"/>
        <w:rPr>
          <w:sz w:val="20"/>
          <w:szCs w:val="20"/>
          <w:color w:val="auto"/>
        </w:rPr>
      </w:pPr>
      <w:r>
        <w:rPr>
          <w:rFonts w:ascii="Times New Roman" w:cs="Times New Roman" w:eastAsia="Times New Roman" w:hAnsi="Times New Roman"/>
          <w:sz w:val="12"/>
          <w:szCs w:val="12"/>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27"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 addition, the Securities may contain a legend regarding affiliate status of the Investor, if applicable, provided that the Company will notify the Investor in advance of Closing if such a legend is to be placed on its Securities.</w:t>
      </w:r>
    </w:p>
    <w:p>
      <w:pPr>
        <w:spacing w:after="0" w:line="122"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4.11 </w:t>
      </w:r>
      <w:r>
        <w:rPr>
          <w:rFonts w:ascii="Times New Roman" w:cs="Times New Roman" w:eastAsia="Times New Roman" w:hAnsi="Times New Roman"/>
          <w:sz w:val="12"/>
          <w:szCs w:val="12"/>
          <w:u w:val="single" w:color="auto"/>
          <w:color w:val="auto"/>
        </w:rPr>
        <w:t>Placement Agents</w:t>
      </w:r>
      <w:r>
        <w:rPr>
          <w:rFonts w:ascii="Times New Roman" w:cs="Times New Roman" w:eastAsia="Times New Roman" w:hAnsi="Times New Roman"/>
          <w:sz w:val="12"/>
          <w:szCs w:val="12"/>
          <w:color w:val="auto"/>
        </w:rPr>
        <w:t>.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4.12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4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Access to Information</w:t>
      </w:r>
      <w:r>
        <w:rPr>
          <w:rFonts w:ascii="Times New Roman" w:cs="Times New Roman" w:eastAsia="Times New Roman" w:hAnsi="Times New Roman"/>
          <w:sz w:val="13"/>
          <w:szCs w:val="13"/>
          <w:color w:val="auto"/>
        </w:rPr>
        <w:t>.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u w:val="single" w:color="auto"/>
          <w:color w:val="auto"/>
        </w:rPr>
        <w:t>Certain Trading Activities</w:t>
      </w:r>
      <w:r>
        <w:rPr>
          <w:rFonts w:ascii="Times New Roman" w:cs="Times New Roman" w:eastAsia="Times New Roman" w:hAnsi="Times New Roman"/>
          <w:sz w:val="12"/>
          <w:szCs w:val="12"/>
          <w:color w:val="auto"/>
        </w:rPr>
        <w:t>.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Acknowledgements Regarding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1003"/>
        <w:spacing w:after="0" w:line="251" w:lineRule="auto"/>
        <w:tabs>
          <w:tab w:leader="none" w:pos="1817"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24"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spacing w:after="0" w:line="134"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no longer accurate and the Company agrees to promptly notify each Investor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no longer accurate.</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Disclosure of Transactions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that Parent shall substantially contemporaneously file with the SEC a Current Report on Form 8-K (including all exhibits thereto, the “</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and the actual filing of such press release and/or Current Report 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8-K, the “</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spacing w:after="0" w:line="136"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Removal of Legends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0" w:lineRule="auto"/>
        <w:tabs>
          <w:tab w:leader="none" w:pos="1817"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and such other customary representations as may be reasonably required in accordance with applicable law in connection therewith. The Company shall be responsible for the fees of its Transfer Agent, DTC and its legal counsel associated with such legend removal.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29" w:right="1440" w:bottom="1440" w:gutter="0" w:footer="0" w:header="0"/>
        </w:sectPr>
      </w:pPr>
    </w:p>
    <w:bookmarkStart w:id="188" w:name="page189"/>
    <w:bookmarkEnd w:id="188"/>
    <w:p>
      <w:pPr>
        <w:ind w:left="640" w:right="699" w:firstLine="1003"/>
        <w:spacing w:after="0" w:line="266" w:lineRule="auto"/>
        <w:tabs>
          <w:tab w:leader="none" w:pos="1824"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2"/>
          <w:szCs w:val="12"/>
          <w:u w:val="single" w:color="auto"/>
          <w:color w:val="auto"/>
        </w:rPr>
        <w:t>Section 5.5(b)</w:t>
      </w:r>
      <w:r>
        <w:rPr>
          <w:rFonts w:ascii="Times New Roman" w:cs="Times New Roman" w:eastAsia="Times New Roman" w:hAnsi="Times New Roman"/>
          <w:sz w:val="12"/>
          <w:szCs w:val="12"/>
          <w:color w:val="auto"/>
        </w:rPr>
        <w:t xml:space="preserve">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accompanied by a completed Investor representation letter in substantially the form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spacing w:after="0" w:line="131"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Withholding Taxes</w:t>
      </w:r>
      <w:r>
        <w:rPr>
          <w:rFonts w:ascii="Times New Roman" w:cs="Times New Roman" w:eastAsia="Times New Roman" w:hAnsi="Times New Roman"/>
          <w:sz w:val="13"/>
          <w:szCs w:val="13"/>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30"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Fees and Commissions</w:t>
      </w:r>
      <w:r>
        <w:rPr>
          <w:rFonts w:ascii="Times New Roman" w:cs="Times New Roman" w:eastAsia="Times New Roman" w:hAnsi="Times New Roman"/>
          <w:sz w:val="13"/>
          <w:szCs w:val="13"/>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No Conflicting Agreements</w:t>
      </w:r>
      <w:r>
        <w:rPr>
          <w:rFonts w:ascii="Times New Roman" w:cs="Times New Roman" w:eastAsia="Times New Roman" w:hAnsi="Times New Roman"/>
          <w:sz w:val="13"/>
          <w:szCs w:val="13"/>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Investor and its Affiliates, and their respective directors, officers, trustees, members, managers, employees, investment advisers and agents (collectively, the “</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189" w:name="page190"/>
    <w:bookmarkEnd w:id="189"/>
    <w:p>
      <w:pPr>
        <w:ind w:left="640" w:right="659" w:firstLine="1003"/>
        <w:spacing w:after="0" w:line="244" w:lineRule="auto"/>
        <w:tabs>
          <w:tab w:leader="none" w:pos="1824"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45"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Form S-4</w:t>
      </w:r>
      <w:r>
        <w:rPr>
          <w:rFonts w:ascii="Times New Roman" w:cs="Times New Roman" w:eastAsia="Times New Roman" w:hAnsi="Times New Roman"/>
          <w:sz w:val="13"/>
          <w:szCs w:val="13"/>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spacing w:after="0" w:line="130"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Reservation of Common Stock</w:t>
      </w:r>
      <w:r>
        <w:rPr>
          <w:rFonts w:ascii="Times New Roman" w:cs="Times New Roman" w:eastAsia="Times New Roman" w:hAnsi="Times New Roman"/>
          <w:sz w:val="13"/>
          <w:szCs w:val="13"/>
          <w:color w:val="auto"/>
        </w:rPr>
        <w:t>.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spacing w:after="0" w:line="130" w:lineRule="exact"/>
        <w:rPr>
          <w:sz w:val="20"/>
          <w:szCs w:val="20"/>
          <w:color w:val="auto"/>
        </w:rPr>
      </w:pPr>
    </w:p>
    <w:p>
      <w:pPr>
        <w:ind w:left="640" w:right="71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No Amendment or Waiver of Merger Agreement Terms</w:t>
      </w:r>
      <w:r>
        <w:rPr>
          <w:rFonts w:ascii="Times New Roman" w:cs="Times New Roman" w:eastAsia="Times New Roman" w:hAnsi="Times New Roman"/>
          <w:sz w:val="13"/>
          <w:szCs w:val="13"/>
          <w:color w:val="auto"/>
        </w:rPr>
        <w:t>.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190" w:name="page191"/>
    <w:bookmarkEnd w:id="190"/>
    <w:p>
      <w:pPr>
        <w:jc w:val="both"/>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5.14 </w:t>
      </w:r>
      <w:r>
        <w:rPr>
          <w:rFonts w:ascii="Times New Roman" w:cs="Times New Roman" w:eastAsia="Times New Roman" w:hAnsi="Times New Roman"/>
          <w:sz w:val="13"/>
          <w:szCs w:val="13"/>
          <w:u w:val="single" w:color="auto"/>
          <w:color w:val="auto"/>
        </w:rPr>
        <w:t>Legend Removal</w:t>
      </w:r>
      <w:r>
        <w:rPr>
          <w:rFonts w:ascii="Times New Roman" w:cs="Times New Roman" w:eastAsia="Times New Roman" w:hAnsi="Times New Roman"/>
          <w:sz w:val="13"/>
          <w:szCs w:val="13"/>
          <w:color w:val="auto"/>
        </w:rPr>
        <w:t xml:space="preserve">. The Company shall cause the restrictive legends described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spacing w:after="0" w:line="133" w:lineRule="exact"/>
        <w:rPr>
          <w:sz w:val="20"/>
          <w:szCs w:val="20"/>
          <w:color w:val="auto"/>
        </w:rPr>
      </w:pPr>
    </w:p>
    <w:p>
      <w:pPr>
        <w:ind w:left="640" w:right="699" w:firstLine="696"/>
        <w:spacing w:after="0" w:line="275" w:lineRule="auto"/>
        <w:rPr>
          <w:sz w:val="20"/>
          <w:szCs w:val="20"/>
          <w:color w:val="auto"/>
        </w:rPr>
      </w:pPr>
      <w:r>
        <w:rPr>
          <w:rFonts w:ascii="Times New Roman" w:cs="Times New Roman" w:eastAsia="Times New Roman" w:hAnsi="Times New Roman"/>
          <w:sz w:val="12"/>
          <w:szCs w:val="12"/>
          <w:color w:val="auto"/>
        </w:rPr>
        <w:t xml:space="preserve">5.15 </w:t>
      </w:r>
      <w:r>
        <w:rPr>
          <w:rFonts w:ascii="Times New Roman" w:cs="Times New Roman" w:eastAsia="Times New Roman" w:hAnsi="Times New Roman"/>
          <w:sz w:val="12"/>
          <w:szCs w:val="12"/>
          <w:u w:val="single" w:color="auto"/>
          <w:color w:val="auto"/>
        </w:rPr>
        <w:t>Stockholder Approval</w:t>
      </w:r>
      <w:r>
        <w:rPr>
          <w:rFonts w:ascii="Times New Roman" w:cs="Times New Roman" w:eastAsia="Times New Roman" w:hAnsi="Times New Roman"/>
          <w:sz w:val="12"/>
          <w:szCs w:val="12"/>
          <w:color w:val="auto"/>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spacing w:after="0" w:line="119" w:lineRule="exact"/>
        <w:rPr>
          <w:sz w:val="20"/>
          <w:szCs w:val="20"/>
          <w:color w:val="auto"/>
        </w:rPr>
      </w:pPr>
    </w:p>
    <w:p>
      <w:pPr>
        <w:ind w:left="1080" w:hanging="133"/>
        <w:spacing w:after="0"/>
        <w:tabs>
          <w:tab w:leader="none" w:pos="108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of Closing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Conditions to the Obligation of the Investors</w:t>
      </w:r>
      <w:r>
        <w:rPr>
          <w:rFonts w:ascii="Times New Roman" w:cs="Times New Roman" w:eastAsia="Times New Roman" w:hAnsi="Times New Roman"/>
          <w:sz w:val="13"/>
          <w:szCs w:val="13"/>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54" w:lineRule="exact"/>
        <w:rPr>
          <w:sz w:val="20"/>
          <w:szCs w:val="20"/>
          <w:color w:val="auto"/>
        </w:rPr>
      </w:pPr>
    </w:p>
    <w:p>
      <w:pPr>
        <w:ind w:left="640" w:right="679" w:firstLine="1003"/>
        <w:spacing w:after="0" w:line="267" w:lineRule="auto"/>
        <w:tabs>
          <w:tab w:leader="none" w:pos="1817"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6" w:lineRule="auto"/>
        <w:tabs>
          <w:tab w:leader="none" w:pos="8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to the extent any such representation or warranty expressly speaks as of an earlier date, in which case such representation or warranty shall be true and correct in all material respects as of such earlier date.</w:t>
      </w:r>
    </w:p>
    <w:p>
      <w:pPr>
        <w:spacing w:after="0" w:line="135" w:lineRule="exact"/>
        <w:rPr>
          <w:rFonts w:ascii="Times New Roman" w:cs="Times New Roman" w:eastAsia="Times New Roman" w:hAnsi="Times New Roman"/>
          <w:sz w:val="13"/>
          <w:szCs w:val="13"/>
          <w:color w:val="auto"/>
        </w:rPr>
      </w:pPr>
    </w:p>
    <w:p>
      <w:pPr>
        <w:ind w:left="640" w:right="879" w:firstLine="1003"/>
        <w:spacing w:after="0" w:line="267" w:lineRule="auto"/>
        <w:tabs>
          <w:tab w:leader="none" w:pos="1824"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The Company shall have performed in all material respects the obligations and conditions herein required to be performed or observed by the Company on or prior to the Closing Date.</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17"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22"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17"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The Company shall have furnished all required materials to the Transfer Agent to reflect the issuance of the Initial Shares at the Closing.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899" w:firstLine="1003"/>
        <w:spacing w:after="0" w:line="267" w:lineRule="auto"/>
        <w:tabs>
          <w:tab w:leader="none" w:pos="1803"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Adverse Changes</w:t>
      </w:r>
      <w:r>
        <w:rPr>
          <w:rFonts w:ascii="Times New Roman" w:cs="Times New Roman" w:eastAsia="Times New Roman" w:hAnsi="Times New Roman"/>
          <w:sz w:val="13"/>
          <w:szCs w:val="13"/>
          <w:color w:val="auto"/>
        </w:rPr>
        <w:t>. Since the date hereof, no event or series of events shall have occurred that has had or would reasonably be expected to have a Material Adverse Effect or a Parent Material Adverse Effect (as defined in the Merger Agreement).</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86" w:lineRule="auto"/>
        <w:tabs>
          <w:tab w:leader="none" w:pos="1824"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spacing w:after="0" w:line="113" w:lineRule="exact"/>
        <w:rPr>
          <w:rFonts w:ascii="Times New Roman" w:cs="Times New Roman" w:eastAsia="Times New Roman" w:hAnsi="Times New Roman"/>
          <w:sz w:val="12"/>
          <w:szCs w:val="12"/>
          <w:color w:val="auto"/>
        </w:rPr>
      </w:pPr>
    </w:p>
    <w:p>
      <w:pPr>
        <w:ind w:left="640" w:right="819" w:firstLine="1003"/>
        <w:spacing w:after="0" w:line="249"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 xml:space="preserve">. An authorized officer of the Company shall have delivered to the Investors at the Closing Date a certificate, in form and substance reasonably acceptable to the Investor Majority, certifying that the conditions specified in </w:t>
      </w:r>
      <w:r>
        <w:rPr>
          <w:rFonts w:ascii="Times New Roman" w:cs="Times New Roman" w:eastAsia="Times New Roman" w:hAnsi="Times New Roman"/>
          <w:sz w:val="13"/>
          <w:szCs w:val="13"/>
          <w:u w:val="single" w:color="auto"/>
          <w:color w:val="auto"/>
        </w:rPr>
        <w:t>Sections 6.1(a)</w:t>
      </w:r>
      <w:r>
        <w:rPr>
          <w:rFonts w:ascii="Times New Roman" w:cs="Times New Roman" w:eastAsia="Times New Roman" w:hAnsi="Times New Roman"/>
          <w:sz w:val="13"/>
          <w:szCs w:val="13"/>
          <w:color w:val="auto"/>
        </w:rPr>
        <w:t xml:space="preserve"> (Representations and Warranties), </w:t>
      </w:r>
      <w:r>
        <w:rPr>
          <w:rFonts w:ascii="Times New Roman" w:cs="Times New Roman" w:eastAsia="Times New Roman" w:hAnsi="Times New Roman"/>
          <w:sz w:val="13"/>
          <w:szCs w:val="13"/>
          <w:u w:val="single" w:color="auto"/>
          <w:color w:val="auto"/>
        </w:rPr>
        <w:t>6.1(b)</w:t>
      </w:r>
      <w:r>
        <w:rPr>
          <w:rFonts w:ascii="Times New Roman" w:cs="Times New Roman" w:eastAsia="Times New Roman" w:hAnsi="Times New Roman"/>
          <w:sz w:val="13"/>
          <w:szCs w:val="13"/>
          <w:color w:val="auto"/>
        </w:rPr>
        <w:t xml:space="preserve"> (Performance), </w:t>
      </w:r>
      <w:r>
        <w:rPr>
          <w:rFonts w:ascii="Times New Roman" w:cs="Times New Roman" w:eastAsia="Times New Roman" w:hAnsi="Times New Roman"/>
          <w:sz w:val="13"/>
          <w:szCs w:val="13"/>
          <w:u w:val="single" w:color="auto"/>
          <w:color w:val="auto"/>
        </w:rPr>
        <w:t>6.1(c)</w:t>
      </w:r>
      <w:r>
        <w:rPr>
          <w:rFonts w:ascii="Times New Roman" w:cs="Times New Roman" w:eastAsia="Times New Roman" w:hAnsi="Times New Roman"/>
          <w:sz w:val="13"/>
          <w:szCs w:val="13"/>
          <w:color w:val="auto"/>
        </w:rPr>
        <w:t xml:space="preserve"> (No Injunction), </w:t>
      </w:r>
      <w:r>
        <w:rPr>
          <w:rFonts w:ascii="Times New Roman" w:cs="Times New Roman" w:eastAsia="Times New Roman" w:hAnsi="Times New Roman"/>
          <w:sz w:val="13"/>
          <w:szCs w:val="13"/>
          <w:u w:val="single" w:color="auto"/>
          <w:color w:val="auto"/>
        </w:rPr>
        <w:t>6.1(d)</w:t>
      </w:r>
      <w:r>
        <w:rPr>
          <w:rFonts w:ascii="Times New Roman" w:cs="Times New Roman" w:eastAsia="Times New Roman" w:hAnsi="Times New Roman"/>
          <w:sz w:val="13"/>
          <w:szCs w:val="13"/>
          <w:color w:val="auto"/>
        </w:rPr>
        <w:t xml:space="preserve"> (Consents), </w:t>
      </w:r>
      <w:r>
        <w:rPr>
          <w:rFonts w:ascii="Times New Roman" w:cs="Times New Roman" w:eastAsia="Times New Roman" w:hAnsi="Times New Roman"/>
          <w:sz w:val="13"/>
          <w:szCs w:val="13"/>
          <w:u w:val="single" w:color="auto"/>
          <w:color w:val="auto"/>
        </w:rPr>
        <w:t>6.1(f)</w:t>
      </w:r>
      <w:r>
        <w:rPr>
          <w:rFonts w:ascii="Times New Roman" w:cs="Times New Roman" w:eastAsia="Times New Roman" w:hAnsi="Times New Roman"/>
          <w:sz w:val="13"/>
          <w:szCs w:val="13"/>
          <w:color w:val="auto"/>
        </w:rPr>
        <w:t xml:space="preserve"> (Adverse Changes), </w:t>
      </w:r>
      <w:r>
        <w:rPr>
          <w:rFonts w:ascii="Times New Roman" w:cs="Times New Roman" w:eastAsia="Times New Roman" w:hAnsi="Times New Roman"/>
          <w:sz w:val="13"/>
          <w:szCs w:val="13"/>
          <w:u w:val="single" w:color="auto"/>
          <w:color w:val="auto"/>
        </w:rPr>
        <w:t>6.1(k)</w:t>
      </w:r>
      <w:r>
        <w:rPr>
          <w:rFonts w:ascii="Times New Roman" w:cs="Times New Roman" w:eastAsia="Times New Roman" w:hAnsi="Times New Roman"/>
          <w:sz w:val="13"/>
          <w:szCs w:val="13"/>
          <w:color w:val="auto"/>
        </w:rPr>
        <w:t xml:space="preserve"> (Registration Statement; No Stop Orders) </w:t>
      </w:r>
      <w:r>
        <w:rPr>
          <w:rFonts w:ascii="Times New Roman" w:cs="Times New Roman" w:eastAsia="Times New Roman" w:hAnsi="Times New Roman"/>
          <w:sz w:val="13"/>
          <w:szCs w:val="13"/>
          <w:u w:val="single" w:color="auto"/>
          <w:color w:val="auto"/>
        </w:rPr>
        <w:t>6.1(l)</w:t>
      </w:r>
      <w:r>
        <w:rPr>
          <w:rFonts w:ascii="Times New Roman" w:cs="Times New Roman" w:eastAsia="Times New Roman" w:hAnsi="Times New Roman"/>
          <w:sz w:val="13"/>
          <w:szCs w:val="13"/>
          <w:color w:val="auto"/>
        </w:rPr>
        <w:t xml:space="preserve"> (Nasdaq), </w:t>
      </w:r>
      <w:r>
        <w:rPr>
          <w:rFonts w:ascii="Times New Roman" w:cs="Times New Roman" w:eastAsia="Times New Roman" w:hAnsi="Times New Roman"/>
          <w:sz w:val="13"/>
          <w:szCs w:val="13"/>
          <w:u w:val="single" w:color="auto"/>
          <w:color w:val="auto"/>
        </w:rPr>
        <w:t>6.1(m)</w:t>
      </w:r>
      <w:r>
        <w:rPr>
          <w:rFonts w:ascii="Times New Roman" w:cs="Times New Roman" w:eastAsia="Times New Roman" w:hAnsi="Times New Roman"/>
          <w:sz w:val="13"/>
          <w:szCs w:val="13"/>
          <w:color w:val="auto"/>
        </w:rPr>
        <w:t xml:space="preserve"> (Minimum Financing Amount), </w:t>
      </w:r>
      <w:r>
        <w:rPr>
          <w:rFonts w:ascii="Times New Roman" w:cs="Times New Roman" w:eastAsia="Times New Roman" w:hAnsi="Times New Roman"/>
          <w:sz w:val="13"/>
          <w:szCs w:val="13"/>
          <w:u w:val="single" w:color="auto"/>
          <w:color w:val="auto"/>
        </w:rPr>
        <w:t>6.1(n)</w:t>
      </w:r>
      <w:r>
        <w:rPr>
          <w:rFonts w:ascii="Times New Roman" w:cs="Times New Roman" w:eastAsia="Times New Roman" w:hAnsi="Times New Roman"/>
          <w:sz w:val="13"/>
          <w:szCs w:val="13"/>
          <w:color w:val="auto"/>
        </w:rPr>
        <w:t xml:space="preserve"> (Merger) and </w:t>
      </w:r>
      <w:r>
        <w:rPr>
          <w:rFonts w:ascii="Times New Roman" w:cs="Times New Roman" w:eastAsia="Times New Roman" w:hAnsi="Times New Roman"/>
          <w:sz w:val="13"/>
          <w:szCs w:val="13"/>
          <w:u w:val="single" w:color="auto"/>
          <w:color w:val="auto"/>
        </w:rPr>
        <w:t>6.1(o)</w:t>
      </w:r>
      <w:r>
        <w:rPr>
          <w:rFonts w:ascii="Times New Roman" w:cs="Times New Roman" w:eastAsia="Times New Roman" w:hAnsi="Times New Roman"/>
          <w:sz w:val="13"/>
          <w:szCs w:val="13"/>
          <w:color w:val="auto"/>
        </w:rPr>
        <w:t xml:space="preserve"> (Parent Stockholder Approval) of this Agreement have been fulfilled.</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51"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Secretary’s Certificate</w:t>
      </w:r>
      <w:r>
        <w:rPr>
          <w:rFonts w:ascii="Times New Roman" w:cs="Times New Roman" w:eastAsia="Times New Roman" w:hAnsi="Times New Roman"/>
          <w:sz w:val="13"/>
          <w:szCs w:val="13"/>
          <w:color w:val="auto"/>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32"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The Company shall have executed and delivered the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to the Investors.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 No Stop Orders</w:t>
      </w:r>
      <w:r>
        <w:rPr>
          <w:rFonts w:ascii="Times New Roman" w:cs="Times New Roman" w:eastAsia="Times New Roman" w:hAnsi="Times New Roman"/>
          <w:sz w:val="13"/>
          <w:szCs w:val="13"/>
          <w:color w:val="auto"/>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spacing w:after="0" w:line="134" w:lineRule="exact"/>
        <w:rPr>
          <w:rFonts w:ascii="Times New Roman" w:cs="Times New Roman" w:eastAsia="Times New Roman" w:hAnsi="Times New Roman"/>
          <w:sz w:val="13"/>
          <w:szCs w:val="13"/>
          <w:color w:val="auto"/>
        </w:rPr>
      </w:pPr>
    </w:p>
    <w:p>
      <w:pPr>
        <w:jc w:val="both"/>
        <w:ind w:left="640" w:right="939" w:firstLine="1003"/>
        <w:spacing w:after="0" w:line="255"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spacing w:after="0" w:line="130" w:lineRule="exact"/>
        <w:rPr>
          <w:rFonts w:ascii="Times New Roman" w:cs="Times New Roman" w:eastAsia="Times New Roman" w:hAnsi="Times New Roman"/>
          <w:sz w:val="13"/>
          <w:szCs w:val="13"/>
          <w:color w:val="auto"/>
        </w:rPr>
      </w:pPr>
    </w:p>
    <w:p>
      <w:pPr>
        <w:jc w:val="both"/>
        <w:ind w:left="640" w:right="1059" w:firstLine="1003"/>
        <w:spacing w:after="0" w:line="255" w:lineRule="auto"/>
        <w:tabs>
          <w:tab w:leader="none" w:pos="1859"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Minimum Financing Amount</w:t>
      </w:r>
      <w:r>
        <w:rPr>
          <w:rFonts w:ascii="Times New Roman" w:cs="Times New Roman" w:eastAsia="Times New Roman" w:hAnsi="Times New Roman"/>
          <w:sz w:val="13"/>
          <w:szCs w:val="13"/>
          <w:color w:val="auto"/>
        </w:rPr>
        <w:t>. The Company shall receive at Closing aggregate proceeds from the purchase of Securities pursuant to this Agreement of not less than $150,000,000 (including in such proceeds any Convertible Securities Contributed as consideration in accordance with this Agreement).</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w:t>
      </w:r>
      <w:r>
        <w:rPr>
          <w:rFonts w:ascii="Times New Roman" w:cs="Times New Roman" w:eastAsia="Times New Roman" w:hAnsi="Times New Roman"/>
          <w:sz w:val="13"/>
          <w:szCs w:val="13"/>
          <w:u w:val="single" w:color="auto"/>
          <w:color w:val="auto"/>
        </w:rPr>
        <w:t>Section 5.13</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779" w:firstLine="1003"/>
        <w:spacing w:after="0" w:line="267" w:lineRule="auto"/>
        <w:tabs>
          <w:tab w:leader="none" w:pos="1824"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Parent Stockholder Approval</w:t>
      </w:r>
      <w:r>
        <w:rPr>
          <w:rFonts w:ascii="Times New Roman" w:cs="Times New Roman" w:eastAsia="Times New Roman" w:hAnsi="Times New Roman"/>
          <w:sz w:val="13"/>
          <w:szCs w:val="13"/>
          <w:color w:val="auto"/>
        </w:rPr>
        <w:t>. Parent shall have obtained Required Parent Stockholder Vote, including approval of the issuance of shares of Parent Common Stock issuable in exchange for the Initial Shares and the Pre-Funded Warrant Shares.</w:t>
      </w:r>
    </w:p>
    <w:p>
      <w:pPr>
        <w:spacing w:after="0" w:line="122"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Conditions to the Obligation of the Company</w:t>
      </w:r>
      <w:r>
        <w:rPr>
          <w:rFonts w:ascii="Times New Roman" w:cs="Times New Roman" w:eastAsia="Times New Roman" w:hAnsi="Times New Roman"/>
          <w:sz w:val="13"/>
          <w:szCs w:val="13"/>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54" w:lineRule="exact"/>
        <w:rPr>
          <w:sz w:val="20"/>
          <w:szCs w:val="20"/>
          <w:color w:val="auto"/>
        </w:rPr>
      </w:pPr>
    </w:p>
    <w:p>
      <w:pPr>
        <w:ind w:left="640" w:right="719" w:firstLine="1003"/>
        <w:spacing w:after="0" w:line="249"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The representations and warranties of each Investor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pacing w:after="0" w:line="134"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24"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Each Investor shall have performed or complied with in all material respects all obligations and conditions herein required to be performed or observed by such Investor on or prior to the Closing Date.</w:t>
      </w:r>
    </w:p>
    <w:p>
      <w:pPr>
        <w:spacing w:after="0" w:line="122" w:lineRule="exact"/>
        <w:rPr>
          <w:rFonts w:ascii="Times New Roman" w:cs="Times New Roman" w:eastAsia="Times New Roman" w:hAnsi="Times New Roman"/>
          <w:sz w:val="13"/>
          <w:szCs w:val="13"/>
          <w:color w:val="auto"/>
        </w:rPr>
      </w:pPr>
    </w:p>
    <w:p>
      <w:pPr>
        <w:ind w:left="640" w:right="879" w:firstLine="1003"/>
        <w:spacing w:after="0" w:line="267"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Securities by each Investor shall not be prohibited or enjoined by any law or governmental or court order or regulation.</w:t>
      </w:r>
    </w:p>
    <w:p>
      <w:pPr>
        <w:spacing w:after="0" w:line="122"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824"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999" w:firstLine="1003"/>
        <w:spacing w:after="0" w:line="255"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one or more Investors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The obligations of the Company, on the one hand, and each Investor, on the other hand, to effect the Closing shall terminate as follows:</w:t>
      </w:r>
    </w:p>
    <w:p>
      <w:pPr>
        <w:spacing w:after="0" w:line="46" w:lineRule="exact"/>
        <w:rPr>
          <w:sz w:val="20"/>
          <w:szCs w:val="20"/>
          <w:color w:val="auto"/>
        </w:rPr>
      </w:pPr>
    </w:p>
    <w:p>
      <w:pPr>
        <w:ind w:left="1800" w:hanging="157"/>
        <w:spacing w:after="0"/>
        <w:tabs>
          <w:tab w:leader="none" w:pos="180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mutual written consent of the Company and the Investor Majority prior to the Closing;</w:t>
      </w:r>
    </w:p>
    <w:p>
      <w:pPr>
        <w:spacing w:after="0" w:line="153"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31"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any of the conditions set forth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shall have become incapable of fulfillment and shall not have been waived by the Company;</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66"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an Investor, solely as to itself, if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shall have become incapable of fulfillment and shall not have been waived by such Investor; or</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the Company or an Investor, solely as to itself, if the Closing has not occurred on or before October 1, 2026;</w:t>
      </w:r>
    </w:p>
    <w:p>
      <w:pPr>
        <w:spacing w:after="0" w:line="154"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In the event of termination pursuant to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written notice thereof shall be given to each other Investor by or on behalf of the Company. Nothing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33" w:lineRule="exact"/>
        <w:rPr>
          <w:sz w:val="20"/>
          <w:szCs w:val="20"/>
          <w:color w:val="auto"/>
        </w:rPr>
      </w:pPr>
    </w:p>
    <w:p>
      <w:pPr>
        <w:ind w:left="1080" w:hanging="133"/>
        <w:spacing w:after="0"/>
        <w:tabs>
          <w:tab w:leader="none" w:pos="108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Public Statements or Releases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publicly disclose the name of any Investor or any affiliate or investment adviser of any Investor without such Investor’s prior written consent (email being sufficient).</w:t>
      </w:r>
    </w:p>
    <w:p>
      <w:pPr>
        <w:spacing w:after="0" w:line="13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36"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1" w:lineRule="exact"/>
        <w:rPr>
          <w:sz w:val="20"/>
          <w:szCs w:val="20"/>
          <w:color w:val="auto"/>
        </w:rPr>
      </w:pPr>
    </w:p>
    <w:p>
      <w:pPr>
        <w:ind w:left="640" w:right="659" w:hanging="3"/>
        <w:spacing w:after="0" w:line="246" w:lineRule="auto"/>
        <w:tabs>
          <w:tab w:leader="none" w:pos="819"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1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If to the Company, addressed as follows:</w:t>
      </w:r>
    </w:p>
    <w:p>
      <w:pPr>
        <w:spacing w:after="0" w:line="7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Email: ***</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194" w:name="page195"/>
    <w:bookmarkEnd w:id="194"/>
    <w:p>
      <w:pPr>
        <w:ind w:left="20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 (which shall not constitute notice):</w:t>
      </w:r>
    </w:p>
    <w:p>
      <w:pPr>
        <w:spacing w:after="0" w:line="7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right="779" w:firstLine="1003"/>
        <w:spacing w:after="0" w:line="267" w:lineRule="auto"/>
        <w:tabs>
          <w:tab w:leader="none" w:pos="1824"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its address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to such e-mail address or address as subsequently modified by written notice given in accordance with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Any Person may change the address to which notices and communications to it are to be addressed by notification as provided for herein.</w:t>
      </w:r>
    </w:p>
    <w:p>
      <w:pPr>
        <w:spacing w:after="0" w:line="165" w:lineRule="exact"/>
        <w:rPr>
          <w:sz w:val="20"/>
          <w:szCs w:val="20"/>
          <w:color w:val="auto"/>
        </w:rPr>
      </w:pPr>
    </w:p>
    <w:p>
      <w:pPr>
        <w:ind w:left="640" w:right="7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1003"/>
        <w:spacing w:after="0" w:line="267" w:lineRule="auto"/>
        <w:tabs>
          <w:tab w:leader="none" w:pos="1817"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the Investors hereby irrevocably and unconditionally:</w:t>
      </w:r>
    </w:p>
    <w:p>
      <w:pPr>
        <w:spacing w:after="0" w:line="78" w:lineRule="exact"/>
        <w:rPr>
          <w:sz w:val="20"/>
          <w:szCs w:val="20"/>
          <w:color w:val="auto"/>
        </w:rPr>
      </w:pPr>
    </w:p>
    <w:p>
      <w:pPr>
        <w:ind w:left="640" w:right="919" w:firstLine="1003"/>
        <w:spacing w:after="0" w:line="255" w:lineRule="auto"/>
        <w:tabs>
          <w:tab w:leader="none" w:pos="179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30" w:lineRule="exact"/>
        <w:rPr>
          <w:rFonts w:ascii="Times New Roman" w:cs="Times New Roman" w:eastAsia="Times New Roman" w:hAnsi="Times New Roman"/>
          <w:sz w:val="13"/>
          <w:szCs w:val="13"/>
          <w:color w:val="auto"/>
        </w:rPr>
      </w:pPr>
    </w:p>
    <w:p>
      <w:pPr>
        <w:ind w:left="640" w:right="639" w:firstLine="1003"/>
        <w:spacing w:after="0" w:line="255" w:lineRule="auto"/>
        <w:tabs>
          <w:tab w:leader="none" w:pos="1831"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ind w:left="640" w:right="899" w:firstLine="1003"/>
        <w:spacing w:after="0" w:line="255" w:lineRule="auto"/>
        <w:tabs>
          <w:tab w:leader="none" w:pos="186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55" w:lineRule="auto"/>
        <w:tabs>
          <w:tab w:leader="none" w:pos="1859"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819" w:firstLine="1003"/>
        <w:spacing w:after="0" w:line="255" w:lineRule="auto"/>
        <w:tabs>
          <w:tab w:leader="none" w:pos="1859"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1900" w:hanging="257"/>
        <w:spacing w:after="0"/>
        <w:tabs>
          <w:tab w:leader="none" w:pos="19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pacing w:after="0" w:line="154"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30" w:lineRule="exact"/>
        <w:rPr>
          <w:sz w:val="20"/>
          <w:szCs w:val="20"/>
          <w:color w:val="auto"/>
        </w:rPr>
      </w:pPr>
    </w:p>
    <w:p>
      <w:pPr>
        <w:ind w:left="640" w:right="659" w:firstLine="696"/>
        <w:spacing w:after="0" w:line="275" w:lineRule="auto"/>
        <w:rPr>
          <w:sz w:val="20"/>
          <w:szCs w:val="20"/>
          <w:color w:val="auto"/>
        </w:rPr>
      </w:pPr>
      <w:r>
        <w:rPr>
          <w:rFonts w:ascii="Times New Roman" w:cs="Times New Roman" w:eastAsia="Times New Roman" w:hAnsi="Times New Roman"/>
          <w:sz w:val="12"/>
          <w:szCs w:val="12"/>
          <w:color w:val="auto"/>
        </w:rPr>
        <w:t xml:space="preserve">8.7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w:t>
      </w:r>
    </w:p>
    <w:p>
      <w:pPr>
        <w:spacing w:after="0" w:line="119" w:lineRule="exact"/>
        <w:rPr>
          <w:sz w:val="20"/>
          <w:szCs w:val="20"/>
          <w:color w:val="auto"/>
        </w:rPr>
      </w:pPr>
    </w:p>
    <w:p>
      <w:pPr>
        <w:ind w:left="640" w:right="699" w:firstLine="696"/>
        <w:spacing w:after="0" w:line="268" w:lineRule="auto"/>
        <w:rPr>
          <w:sz w:val="20"/>
          <w:szCs w:val="20"/>
          <w:color w:val="auto"/>
        </w:rPr>
      </w:pPr>
      <w:r>
        <w:rPr>
          <w:rFonts w:ascii="Times New Roman" w:cs="Times New Roman" w:eastAsia="Times New Roman" w:hAnsi="Times New Roman"/>
          <w:sz w:val="12"/>
          <w:szCs w:val="12"/>
          <w:color w:val="auto"/>
        </w:rPr>
        <w:t xml:space="preserve">8.8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and makes the same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8.9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75" w:lineRule="auto"/>
        <w:tabs>
          <w:tab w:leader="none" w:pos="1817"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covenants that until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659" w:firstLine="1003"/>
        <w:spacing w:after="0" w:line="246" w:lineRule="auto"/>
        <w:tabs>
          <w:tab w:leader="none" w:pos="1824"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Reliance by and Exculpation of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 xml:space="preserve"> shall survive any termination of this Agreement.</w:t>
      </w:r>
    </w:p>
    <w:p>
      <w:pPr>
        <w:spacing w:after="0" w:line="138" w:lineRule="exact"/>
        <w:rPr>
          <w:rFonts w:ascii="Times New Roman" w:cs="Times New Roman" w:eastAsia="Times New Roman" w:hAnsi="Times New Roman"/>
          <w:sz w:val="13"/>
          <w:szCs w:val="13"/>
          <w:color w:val="auto"/>
        </w:rPr>
      </w:pPr>
    </w:p>
    <w:p>
      <w:pPr>
        <w:jc w:val="both"/>
        <w:ind w:left="640" w:right="779" w:firstLine="1003"/>
        <w:spacing w:after="0" w:line="255" w:lineRule="auto"/>
        <w:tabs>
          <w:tab w:leader="none" w:pos="1824"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17"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197" w:name="page198"/>
    <w:bookmarkEnd w:id="197"/>
    <w:p>
      <w:pPr>
        <w:ind w:left="640" w:right="639" w:firstLine="1003"/>
        <w:spacing w:after="0" w:line="251" w:lineRule="auto"/>
        <w:tabs>
          <w:tab w:leader="none" w:pos="1824"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spacing w:after="0" w:line="133"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Third Parties</w:t>
      </w:r>
      <w:r>
        <w:rPr>
          <w:rFonts w:ascii="Times New Roman" w:cs="Times New Roman" w:eastAsia="Times New Roman" w:hAnsi="Times New Roman"/>
          <w:sz w:val="13"/>
          <w:szCs w:val="13"/>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representations and warranties of each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 xml:space="preserve"> of this Agreement.</w:t>
      </w:r>
    </w:p>
    <w:p>
      <w:pPr>
        <w:spacing w:after="0" w:line="13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8.12 </w:t>
      </w:r>
      <w:r>
        <w:rPr>
          <w:rFonts w:ascii="Times New Roman" w:cs="Times New Roman" w:eastAsia="Times New Roman" w:hAnsi="Times New Roman"/>
          <w:sz w:val="13"/>
          <w:szCs w:val="13"/>
          <w:u w:val="single" w:color="auto"/>
          <w:color w:val="auto"/>
        </w:rPr>
        <w:t>Independent Nature of Investors’ Obligations and Right.</w:t>
      </w:r>
      <w:r>
        <w:rPr>
          <w:rFonts w:ascii="Times New Roman" w:cs="Times New Roman" w:eastAsia="Times New Roman" w:hAnsi="Times New Roman"/>
          <w:sz w:val="13"/>
          <w:szCs w:val="13"/>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37"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8.15 </w:t>
      </w:r>
      <w:r>
        <w:rPr>
          <w:rFonts w:ascii="Times New Roman" w:cs="Times New Roman" w:eastAsia="Times New Roman" w:hAnsi="Times New Roman"/>
          <w:sz w:val="12"/>
          <w:szCs w:val="12"/>
          <w:u w:val="single" w:color="auto"/>
          <w:color w:val="auto"/>
        </w:rPr>
        <w:t>Entire Agreement; Amendments</w:t>
      </w:r>
      <w:r>
        <w:rPr>
          <w:rFonts w:ascii="Times New Roman" w:cs="Times New Roman" w:eastAsia="Times New Roman" w:hAnsi="Times New Roman"/>
          <w:sz w:val="12"/>
          <w:szCs w:val="12"/>
          <w:color w:val="auto"/>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or this </w:t>
      </w:r>
      <w:r>
        <w:rPr>
          <w:rFonts w:ascii="Times New Roman" w:cs="Times New Roman" w:eastAsia="Times New Roman" w:hAnsi="Times New Roman"/>
          <w:sz w:val="12"/>
          <w:szCs w:val="12"/>
          <w:u w:val="single" w:color="auto"/>
          <w:color w:val="auto"/>
        </w:rPr>
        <w:t>Section 8.15</w:t>
      </w:r>
      <w:r>
        <w:rPr>
          <w:rFonts w:ascii="Times New Roman" w:cs="Times New Roman" w:eastAsia="Times New Roman" w:hAnsi="Times New Roman"/>
          <w:sz w:val="12"/>
          <w:szCs w:val="12"/>
          <w:color w:val="auto"/>
        </w:rPr>
        <w:t xml:space="preserve">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cs="Times New Roman" w:eastAsia="Times New Roman" w:hAnsi="Times New Roman"/>
          <w:sz w:val="12"/>
          <w:szCs w:val="12"/>
          <w:u w:val="single" w:color="auto"/>
          <w:color w:val="auto"/>
        </w:rPr>
        <w:t>Section 8.15</w:t>
      </w:r>
      <w:r>
        <w:rPr>
          <w:rFonts w:ascii="Times New Roman" w:cs="Times New Roman" w:eastAsia="Times New Roman" w:hAnsi="Times New Roman"/>
          <w:sz w:val="12"/>
          <w:szCs w:val="12"/>
          <w:color w:val="auto"/>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 w:cs="Times New Roman" w:eastAsia="Times New Roman" w:hAnsi="Times New Roman"/>
          <w:sz w:val="12"/>
          <w:szCs w:val="12"/>
          <w:b w:val="1"/>
          <w:bCs w:val="1"/>
          <w:color w:val="auto"/>
        </w:rPr>
        <w:t>Additional Securities</w:t>
      </w:r>
      <w:r>
        <w:rPr>
          <w:rFonts w:ascii="Times New Roman" w:cs="Times New Roman" w:eastAsia="Times New Roman" w:hAnsi="Times New Roman"/>
          <w:sz w:val="12"/>
          <w:szCs w:val="12"/>
          <w:color w:val="auto"/>
        </w:rPr>
        <w:t xml:space="preserve">”) to one or more Persons (whether or not an existing Investor) shall only require the approval of the Company and the Investor Majority;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price paid for such Additional Securities is at least 15% greater than the Share Price and Pre-Funded Warrant Price, as applicable.</w:t>
      </w:r>
    </w:p>
    <w:p>
      <w:pPr>
        <w:spacing w:after="0" w:line="281"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8.16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30"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Mutual Drafting.</w:t>
      </w:r>
      <w:r>
        <w:rPr>
          <w:rFonts w:ascii="Times New Roman" w:cs="Times New Roman" w:eastAsia="Times New Roman" w:hAnsi="Times New Roman"/>
          <w:sz w:val="13"/>
          <w:szCs w:val="13"/>
          <w:color w:val="auto"/>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8.18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Securities were determined as a result of arm’s-length negotiations.</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199" w:name="page200"/>
    <w:bookmarkEnd w:id="199"/>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KORSANA BIOSCIENCES,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29" w:right="1440" w:bottom="1440" w:gutter="0" w:footer="0" w:header="0"/>
        </w:sectPr>
      </w:pPr>
    </w:p>
    <w:bookmarkStart w:id="200" w:name="page201"/>
    <w:bookmarkEnd w:id="200"/>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3"/>
          <w:szCs w:val="13"/>
          <w:color w:val="auto"/>
        </w:rPr>
        <w:t>Beneficial Ownership Limitation: [•]</w:t>
      </w:r>
    </w:p>
    <w:p>
      <w:pPr>
        <w:sectPr>
          <w:pgSz w:w="11900" w:h="16838" w:orient="portrait"/>
          <w:cols w:equalWidth="0" w:num="1">
            <w:col w:w="9019"/>
          </w:cols>
          <w:pgMar w:left="1440" w:top="229" w:right="1440"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u w:val="single" w:color="auto"/>
          <w:color w:val="auto"/>
        </w:rPr>
        <w:t>Investor Name and Address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-151130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INVESTORS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Commitment</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Pre-Funded</w:t>
            </w:r>
          </w:p>
        </w:tc>
        <w:tc>
          <w:tcPr>
            <w:tcW w:w="760" w:type="dxa"/>
            <w:vAlign w:val="bottom"/>
            <w:gridSpan w:val="2"/>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4"/>
        </w:trPr>
        <w:tc>
          <w:tcPr>
            <w:tcW w:w="820" w:type="dxa"/>
            <w:vAlign w:val="bottom"/>
            <w:gridSpan w:val="2"/>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Initial Shares</w:t>
            </w:r>
          </w:p>
        </w:tc>
        <w:tc>
          <w:tcPr>
            <w:tcW w:w="220" w:type="dxa"/>
            <w:vAlign w:val="bottom"/>
            <w:vMerge w:val="restart"/>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Share Price</w:t>
            </w:r>
          </w:p>
        </w:tc>
        <w:tc>
          <w:tcPr>
            <w:tcW w:w="220" w:type="dxa"/>
            <w:vAlign w:val="bottom"/>
            <w:vMerge w:val="restart"/>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7"/>
              </w:rPr>
              <w:t>Pre-Funded</w:t>
            </w: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Warrant Price</w:t>
            </w:r>
          </w:p>
        </w:tc>
        <w:tc>
          <w:tcPr>
            <w:tcW w:w="22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Purchase Price</w:t>
            </w:r>
          </w:p>
        </w:tc>
        <w:tc>
          <w:tcPr>
            <w:tcW w:w="0" w:type="dxa"/>
            <w:vAlign w:val="bottom"/>
          </w:tcPr>
          <w:p>
            <w:pPr>
              <w:spacing w:after="0"/>
              <w:rPr>
                <w:sz w:val="1"/>
                <w:szCs w:val="1"/>
                <w:color w:val="auto"/>
              </w:rPr>
            </w:pPr>
          </w:p>
        </w:tc>
      </w:tr>
      <w:tr>
        <w:trPr>
          <w:trHeight w:val="369"/>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07"/>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16"/>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89"/>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-1269365</wp:posOffset>
            </wp:positionV>
            <wp:extent cx="4910455" cy="391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10455" cy="391160"/>
                    </a:xfrm>
                    <a:prstGeom prst="rect">
                      <a:avLst/>
                    </a:prstGeom>
                    <a:noFill/>
                  </pic:spPr>
                </pic:pic>
              </a:graphicData>
            </a:graphic>
          </wp:anchor>
        </w:drawing>
        <w:drawing>
          <wp:anchor simplePos="0" relativeHeight="251657728" behindDoc="1" locked="0" layoutInCell="0" allowOverlap="1">
            <wp:simplePos x="0" y="0"/>
            <wp:positionH relativeFrom="column">
              <wp:posOffset>-1474470</wp:posOffset>
            </wp:positionH>
            <wp:positionV relativeFrom="paragraph">
              <wp:posOffset>-487045</wp:posOffset>
            </wp:positionV>
            <wp:extent cx="4910455" cy="391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10455" cy="391160"/>
                    </a:xfrm>
                    <a:prstGeom prst="rect">
                      <a:avLst/>
                    </a:prstGeom>
                    <a:noFill/>
                  </pic:spPr>
                </pic:pic>
              </a:graphicData>
            </a:graphic>
          </wp:anchor>
        </w:drawing>
      </w:r>
    </w:p>
    <w:p>
      <w:pPr>
        <w:spacing w:after="0" w:line="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2">
            <w:col w:w="2240" w:space="720"/>
            <w:col w:w="6059"/>
          </w:cols>
          <w:pgMar w:left="1440" w:top="229"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REGISTRATION RIGHTS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C-1</w:t>
      </w:r>
    </w:p>
    <w:p>
      <w:pPr>
        <w:sectPr>
          <w:pgSz w:w="11900" w:h="16838" w:orient="portrait"/>
          <w:cols w:equalWidth="0" w:num="1">
            <w:col w:w="9019"/>
          </w:cols>
          <w:pgMar w:left="1440" w:top="229" w:right="1440"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INVESTOR REPRESENTATION LETTER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___________, 20 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Whom It May Concern:</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undersigned (the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hereby requests that the federal securities law restrictive legend be removed from the book entries representing</w:t>
      </w:r>
    </w:p>
    <w:p>
      <w:pPr>
        <w:spacing w:after="0" w:line="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_________ of shares (the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of common stock, par value $0.0001 per share (the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of Korsana Biosciences, Inc. (the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legend removal, Holder hereby represents to, and agrees with, you as follows:</w:t>
      </w:r>
    </w:p>
    <w:p>
      <w:pPr>
        <w:spacing w:after="0" w:line="75" w:lineRule="exact"/>
        <w:rPr>
          <w:sz w:val="20"/>
          <w:szCs w:val="20"/>
          <w:color w:val="auto"/>
        </w:rPr>
      </w:pPr>
    </w:p>
    <w:p>
      <w:pPr>
        <w:ind w:left="1320" w:hanging="379"/>
        <w:spacing w:after="0"/>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are owned of record and beneficially by Holder.</w:t>
      </w:r>
    </w:p>
    <w:p>
      <w:pPr>
        <w:spacing w:after="0" w:line="87" w:lineRule="exact"/>
        <w:rPr>
          <w:rFonts w:ascii="Times New Roman" w:cs="Times New Roman" w:eastAsia="Times New Roman" w:hAnsi="Times New Roman"/>
          <w:sz w:val="13"/>
          <w:szCs w:val="13"/>
          <w:color w:val="auto"/>
        </w:rPr>
      </w:pPr>
    </w:p>
    <w:p>
      <w:pPr>
        <w:ind w:left="1320" w:right="679" w:hanging="379"/>
        <w:spacing w:after="0" w:line="246" w:lineRule="auto"/>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 agrees that, if the Shares are not eligible to be sold pursuant to Rule 144 promulgated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any offer, sale or transfer of, or other transaction involving, the Shares will only be made (i) pursuant to the Company’s Registration Statement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pursuant to the Securities Act, in a transaction contemplated in the “</w:t>
      </w:r>
      <w:r>
        <w:rPr>
          <w:rFonts w:ascii="Times New Roman" w:cs="Times New Roman" w:eastAsia="Times New Roman" w:hAnsi="Times New Roman"/>
          <w:sz w:val="13"/>
          <w:szCs w:val="13"/>
          <w:b w:val="1"/>
          <w:bCs w:val="1"/>
          <w:color w:val="auto"/>
        </w:rPr>
        <w:t>Plan of Distribution</w:t>
      </w:r>
      <w:r>
        <w:rPr>
          <w:rFonts w:ascii="Times New Roman" w:cs="Times New Roman" w:eastAsia="Times New Roman" w:hAnsi="Times New Roman"/>
          <w:sz w:val="13"/>
          <w:szCs w:val="13"/>
          <w:color w:val="auto"/>
        </w:rPr>
        <w:t>” section of the prospectus included in the Registration Statement and in accordance with the terms and conditions set forth in the Registration Rights Agreement, dated [__], 2026, by and among Korsana Biosciences, Inc. and the investors named therein (the “</w:t>
      </w:r>
      <w:r>
        <w:rPr>
          <w:rFonts w:ascii="Times New Roman" w:cs="Times New Roman" w:eastAsia="Times New Roman" w:hAnsi="Times New Roman"/>
          <w:sz w:val="13"/>
          <w:szCs w:val="13"/>
          <w:b w:val="1"/>
          <w:bCs w:val="1"/>
          <w:color w:val="auto"/>
        </w:rPr>
        <w:t>RRA</w:t>
      </w:r>
      <w:r>
        <w:rPr>
          <w:rFonts w:ascii="Times New Roman" w:cs="Times New Roman" w:eastAsia="Times New Roman" w:hAnsi="Times New Roman"/>
          <w:sz w:val="13"/>
          <w:szCs w:val="13"/>
          <w:color w:val="auto"/>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p>
      <w:pPr>
        <w:spacing w:after="0" w:line="70" w:lineRule="exact"/>
        <w:rPr>
          <w:rFonts w:ascii="Times New Roman" w:cs="Times New Roman" w:eastAsia="Times New Roman" w:hAnsi="Times New Roman"/>
          <w:sz w:val="13"/>
          <w:szCs w:val="13"/>
          <w:color w:val="auto"/>
        </w:rPr>
      </w:pPr>
    </w:p>
    <w:p>
      <w:pPr>
        <w:ind w:left="1320" w:right="1059" w:hanging="379"/>
        <w:spacing w:after="0" w:line="274" w:lineRule="auto"/>
        <w:tabs>
          <w:tab w:leader="none" w:pos="132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 agrees that it will (i) not offer and sell, or cause or permit to be offered or sold, any Shares in violation of federal and state securities laws, including, without limitation, prospectus delivery requirements of the Securities Act (unless exempt therefrom) and</w:t>
      </w:r>
    </w:p>
    <w:p>
      <w:pPr>
        <w:spacing w:after="0" w:line="1" w:lineRule="exact"/>
        <w:rPr>
          <w:rFonts w:ascii="Times New Roman" w:cs="Times New Roman" w:eastAsia="Times New Roman" w:hAnsi="Times New Roman"/>
          <w:sz w:val="12"/>
          <w:szCs w:val="12"/>
          <w:color w:val="auto"/>
        </w:rPr>
      </w:pPr>
    </w:p>
    <w:p>
      <w:pPr>
        <w:ind w:left="1320" w:right="7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(ii) promptly stop selling or transferring Shares pursuant to the Registration Statement upon receipt of written notice pursuant to the RRA from the Company that the Registration Statement may not be used to effect offers, sales or other transfers of the Shares; and</w:t>
      </w:r>
    </w:p>
    <w:p>
      <w:pPr>
        <w:spacing w:after="0" w:line="69"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D-1</w:t>
      </w:r>
    </w:p>
    <w:p>
      <w:pPr>
        <w:sectPr>
          <w:pgSz w:w="11900" w:h="16838" w:orient="portrait"/>
          <w:cols w:equalWidth="0" w:num="1">
            <w:col w:w="9019"/>
          </w:cols>
          <w:pgMar w:left="1440" w:top="229" w:right="1440" w:bottom="1440" w:gutter="0" w:footer="0" w:header="0"/>
        </w:sectPr>
      </w:pPr>
    </w:p>
    <w:bookmarkStart w:id="205" w:name="page206"/>
    <w:bookmarkEnd w:id="205"/>
    <w:p>
      <w:pPr>
        <w:ind w:left="1320" w:right="699" w:hanging="379"/>
        <w:spacing w:after="0" w:line="255" w:lineRule="auto"/>
        <w:tabs>
          <w:tab w:leader="none" w:pos="132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p>
      <w:pPr>
        <w:spacing w:after="0" w:line="1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[HOLDER]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D-2</w:t>
      </w:r>
    </w:p>
    <w:p>
      <w:pPr>
        <w:sectPr>
          <w:pgSz w:w="11900" w:h="16838" w:orient="portrait"/>
          <w:cols w:equalWidth="0" w:num="1">
            <w:col w:w="9019"/>
          </w:cols>
          <w:pgMar w:left="1440" w:top="231" w:right="1440" w:bottom="1440" w:gutter="0" w:footer="0" w:header="0"/>
        </w:sectPr>
      </w:pPr>
    </w:p>
    <w:bookmarkStart w:id="206" w:name="page207"/>
    <w:bookmarkEnd w:id="20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10.4</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8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THIS REGISTRATION RIGHTS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 2026, is entered into by and among Korsana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Biosciences,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the several investors signatory hereto (individually as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collectively together with their respective permitted assigns,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Capitalized terms used herein and not otherwise defined herein shall have the respective meanings set forth in the Securities Purchase Agreement by and among the Company and the Investors party thereto, dated as of April 1, 2026 (as amended, restated, supplemented or otherwise modified from time to time, the “</w:t>
      </w:r>
      <w:r>
        <w:rPr>
          <w:rFonts w:ascii="Times New Roman" w:cs="Times New Roman" w:eastAsia="Times New Roman" w:hAnsi="Times New Roman"/>
          <w:sz w:val="13"/>
          <w:szCs w:val="13"/>
          <w:b w:val="1"/>
          <w:bCs w:val="1"/>
          <w:color w:val="auto"/>
        </w:rPr>
        <w:t>Purchase Agreement</w:t>
      </w:r>
      <w:r>
        <w:rPr>
          <w:rFonts w:ascii="Times New Roman" w:cs="Times New Roman" w:eastAsia="Times New Roman" w:hAnsi="Times New Roman"/>
          <w:sz w:val="13"/>
          <w:szCs w:val="13"/>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A. The Company is party to that certain Agreement and Plan of Merger and Reorganization by and among the Company, Cyclerion Therapeutics, Inc., a Massachusetts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Cariboos Merger Sub Corp., a Delaware corporation and wholly-owned subsidiary of Parent (“</w:t>
      </w:r>
      <w:r>
        <w:rPr>
          <w:rFonts w:ascii="Times New Roman" w:cs="Times New Roman" w:eastAsia="Times New Roman" w:hAnsi="Times New Roman"/>
          <w:sz w:val="13"/>
          <w:szCs w:val="13"/>
          <w:b w:val="1"/>
          <w:bCs w:val="1"/>
          <w:color w:val="auto"/>
        </w:rPr>
        <w:t>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and Cariboos Merger Sub II, LLC, a Delaware limited liability company and wholly owned subsidiary of Parent (“</w:t>
      </w:r>
      <w:r>
        <w:rPr>
          <w:rFonts w:ascii="Times New Roman" w:cs="Times New Roman" w:eastAsia="Times New Roman" w:hAnsi="Times New Roman"/>
          <w:sz w:val="13"/>
          <w:szCs w:val="13"/>
          <w:b w:val="1"/>
          <w:bCs w:val="1"/>
          <w:color w:val="auto"/>
        </w:rPr>
        <w:t>Second Merger Sub</w:t>
      </w:r>
      <w:r>
        <w:rPr>
          <w:rFonts w:ascii="Times New Roman" w:cs="Times New Roman" w:eastAsia="Times New Roman" w:hAnsi="Times New Roman"/>
          <w:sz w:val="13"/>
          <w:szCs w:val="13"/>
          <w:color w:val="auto"/>
        </w:rPr>
        <w:t>”), dated April 1, 2026 (as amended from time to time,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(i) First Merger Sub will merge with and into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with the Company surviving and becoming a wholly-owned subsidiary of Parent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(ii) immediately following the First Merger and as part of the same overall transaction as the First Merger, the Company will merge with and into Second Merger Sub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 and (iii)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will change its name to Korsana Biosciences, Inc. (“</w:t>
      </w:r>
      <w:r>
        <w:rPr>
          <w:rFonts w:ascii="Times New Roman" w:cs="Times New Roman" w:eastAsia="Times New Roman" w:hAnsi="Times New Roman"/>
          <w:sz w:val="13"/>
          <w:szCs w:val="13"/>
          <w:b w:val="1"/>
          <w:bCs w:val="1"/>
          <w:color w:val="auto"/>
        </w:rPr>
        <w:t>TopCo</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B. Upon the terms and subject to the conditions of the Purchase Agreement, the Company has agreed to issue to certain Investors, and such Investors have agreed to purchase, severally and not jointly, an aggregate of up to $300,000,000 of (x) shares (the “</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of the Company’s common stock, par value $0.0001 per share (the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and/or (y) pre-funded warrants (the “</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to purchase shares of Common Stock, in each case, pursuant to the Purchase Agreement. The Initial Shares and the shares of Common Stock issuable upon exercise of the Pre-Funded Warrants are collectively referred to herein as the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and applicable state securities laws.</w:t>
      </w:r>
    </w:p>
    <w:p>
      <w:pPr>
        <w:spacing w:after="0" w:line="128"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NOW, THEREFORE, </w:t>
      </w:r>
      <w:r>
        <w:rPr>
          <w:rFonts w:ascii="Times New Roman" w:cs="Times New Roman" w:eastAsia="Times New Roman" w:hAnsi="Times New Roman"/>
          <w:sz w:val="13"/>
          <w:szCs w:val="13"/>
          <w:color w:val="auto"/>
        </w:rPr>
        <w:t>in consideration of the promises and the mutual covenants contained herein and other good and valuable consideration,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receipt and sufficiency of which are hereby acknowledged, the Company and the Investors hereby agree as follows:</w:t>
      </w:r>
    </w:p>
    <w:p>
      <w:pPr>
        <w:spacing w:after="0" w:line="52" w:lineRule="exact"/>
        <w:rPr>
          <w:sz w:val="20"/>
          <w:szCs w:val="20"/>
          <w:color w:val="auto"/>
        </w:rPr>
      </w:pPr>
    </w:p>
    <w:p>
      <w:pPr>
        <w:ind w:left="1320" w:hanging="379"/>
        <w:spacing w:after="0"/>
        <w:tabs>
          <w:tab w:leader="none" w:pos="1320" w:val="left"/>
        </w:tabs>
        <w:numPr>
          <w:ilvl w:val="1"/>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55" w:lineRule="exact"/>
        <w:rPr>
          <w:rFonts w:ascii="Times New Roman" w:cs="Times New Roman" w:eastAsia="Times New Roman" w:hAnsi="Times New Roman"/>
          <w:sz w:val="13"/>
          <w:szCs w:val="13"/>
          <w:b w:val="1"/>
          <w:bCs w:val="1"/>
          <w:color w:val="auto"/>
        </w:rPr>
      </w:pPr>
    </w:p>
    <w:p>
      <w:pPr>
        <w:ind w:left="13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5" w:lineRule="exact"/>
        <w:rPr>
          <w:rFonts w:ascii="Times New Roman" w:cs="Times New Roman" w:eastAsia="Times New Roman" w:hAnsi="Times New Roman"/>
          <w:sz w:val="13"/>
          <w:szCs w:val="13"/>
          <w:b w:val="1"/>
          <w:bCs w:val="1"/>
          <w:color w:val="auto"/>
        </w:rPr>
      </w:pPr>
    </w:p>
    <w:p>
      <w:pPr>
        <w:ind w:left="640" w:right="919" w:firstLine="693"/>
        <w:spacing w:after="0" w:line="270" w:lineRule="auto"/>
        <w:tabs>
          <w:tab w:leader="none" w:pos="1508"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Korsana Biosciences, Inc. for all periods prior to the Effective Time (as defined in the Merger Agreement) and TopCo for all periods following the Effective Time.</w:t>
      </w:r>
    </w:p>
    <w:p>
      <w:pPr>
        <w:spacing w:after="0" w:line="118" w:lineRule="exact"/>
        <w:rPr>
          <w:rFonts w:ascii="Times New Roman" w:cs="Times New Roman" w:eastAsia="Times New Roman" w:hAnsi="Times New Roman"/>
          <w:sz w:val="13"/>
          <w:szCs w:val="13"/>
          <w:color w:val="auto"/>
        </w:rPr>
      </w:pPr>
    </w:p>
    <w:p>
      <w:pPr>
        <w:ind w:left="640" w:right="719" w:firstLine="693"/>
        <w:spacing w:after="0" w:line="272" w:lineRule="auto"/>
        <w:tabs>
          <w:tab w:leader="none" w:pos="1515" w:val="left"/>
        </w:tabs>
        <w:numPr>
          <w:ilvl w:val="2"/>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Deadline</w:t>
      </w:r>
      <w:r>
        <w:rPr>
          <w:rFonts w:ascii="Times New Roman" w:cs="Times New Roman" w:eastAsia="Times New Roman" w:hAnsi="Times New Roman"/>
          <w:sz w:val="12"/>
          <w:szCs w:val="12"/>
          <w:color w:val="auto"/>
        </w:rPr>
        <w:t>” means, with respect to the Initial Registration Statement required hereunder, the 30th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w:t>
      </w:r>
    </w:p>
    <w:p>
      <w:pPr>
        <w:ind w:left="820" w:hanging="183"/>
        <w:spacing w:after="0"/>
        <w:tabs>
          <w:tab w:leader="none" w:pos="820"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Company becomes aware of the necessity of filing such New Registration Statement related to the Registrable Securities.</w:t>
      </w:r>
    </w:p>
    <w:p>
      <w:pPr>
        <w:sectPr>
          <w:pgSz w:w="11900" w:h="16838" w:orient="portrait"/>
          <w:cols w:equalWidth="0" w:num="1">
            <w:col w:w="9019"/>
          </w:cols>
          <w:pgMar w:left="1440" w:top="125" w:right="1440" w:bottom="1440" w:gutter="0" w:footer="0" w:header="0"/>
        </w:sectPr>
      </w:pPr>
    </w:p>
    <w:bookmarkStart w:id="207" w:name="page208"/>
    <w:bookmarkEnd w:id="207"/>
    <w:p>
      <w:pPr>
        <w:ind w:left="640" w:right="1239" w:firstLine="693"/>
        <w:spacing w:after="0" w:line="270"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or entity including but not limited to any corporation, limited liability company, association, partnership, organization, business, individual, governmental or political subdivision thereof or a governmental agency.</w:t>
      </w:r>
    </w:p>
    <w:p>
      <w:pPr>
        <w:spacing w:after="0" w:line="118" w:lineRule="exact"/>
        <w:rPr>
          <w:rFonts w:ascii="Times New Roman" w:cs="Times New Roman" w:eastAsia="Times New Roman" w:hAnsi="Times New Roman"/>
          <w:sz w:val="13"/>
          <w:szCs w:val="13"/>
          <w:color w:val="auto"/>
        </w:rPr>
      </w:pPr>
    </w:p>
    <w:p>
      <w:pPr>
        <w:ind w:left="640" w:right="939" w:firstLine="693"/>
        <w:spacing w:after="0" w:line="257"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Registrable Securities</w:t>
      </w:r>
      <w:r>
        <w:rPr>
          <w:rFonts w:ascii="Times New Roman" w:cs="Times New Roman" w:eastAsia="Times New Roman" w:hAnsi="Times New Roman"/>
          <w:sz w:val="13"/>
          <w:szCs w:val="13"/>
          <w:color w:val="auto"/>
        </w:rPr>
        <w:t>” means (i) the Shares, (ii) any Shares of Common Stock of TopCo issued to an Investor on or around the date hereof pursuant to the Merger Agreement, and (iii) any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pursuant to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under an effective registration statement on Form S-4, if available, or if unavailable, another appropriate form filed with the SEC, and (E) five (5) years after the date of this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494"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Expenses</w:t>
      </w:r>
      <w:r>
        <w:rPr>
          <w:rFonts w:ascii="Times New Roman" w:cs="Times New Roman" w:eastAsia="Times New Roman" w:hAnsi="Times New Roman"/>
          <w:sz w:val="13"/>
          <w:szCs w:val="13"/>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Selling Expenses of any Investor or, except to the extent provided for in the Purchase Agreement, any legal fees or other costs of the Investors.</w:t>
      </w:r>
    </w:p>
    <w:p>
      <w:pPr>
        <w:spacing w:after="0" w:line="133"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08" w:name="page209"/>
    <w:bookmarkEnd w:id="208"/>
    <w:p>
      <w:pPr>
        <w:ind w:left="640" w:right="739" w:firstLine="693"/>
        <w:spacing w:after="0" w:line="257" w:lineRule="auto"/>
        <w:tabs>
          <w:tab w:leader="none" w:pos="1515"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26" w:lineRule="exact"/>
        <w:rPr>
          <w:rFonts w:ascii="Times New Roman" w:cs="Times New Roman" w:eastAsia="Times New Roman" w:hAnsi="Times New Roman"/>
          <w:sz w:val="13"/>
          <w:szCs w:val="13"/>
          <w:color w:val="auto"/>
        </w:rPr>
      </w:pPr>
    </w:p>
    <w:p>
      <w:pPr>
        <w:ind w:left="640" w:right="819" w:firstLine="693"/>
        <w:spacing w:after="0" w:line="270" w:lineRule="auto"/>
        <w:tabs>
          <w:tab w:leader="none" w:pos="1487"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an Investor’s disposition of its Registrable Securities.</w:t>
      </w:r>
    </w:p>
    <w:p>
      <w:pPr>
        <w:spacing w:after="0" w:line="13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REGISTRATION.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08"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2"/>
          <w:szCs w:val="12"/>
          <w:b w:val="1"/>
          <w:bCs w:val="1"/>
          <w:color w:val="auto"/>
        </w:rPr>
        <w:t>Initial Registration Statement</w:t>
      </w:r>
      <w:r>
        <w:rPr>
          <w:rFonts w:ascii="Times New Roman" w:cs="Times New Roman" w:eastAsia="Times New Roman" w:hAnsi="Times New Roman"/>
          <w:sz w:val="12"/>
          <w:szCs w:val="12"/>
          <w:color w:val="auto"/>
        </w:rPr>
        <w:t xml:space="preserve">”)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 document prior to being so filed with the SEC, and (b) not file any Registration Statement or related prospectus or any amendment or supplement thereto containing information regarding the Investor to which Investor reasonably believes contains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reasonably requested by the Company with respect to such Investor as shall be reasonably required in connection with any registration referred to in this Agreement.</w:t>
      </w:r>
    </w:p>
    <w:p>
      <w:pPr>
        <w:spacing w:after="0" w:line="123" w:lineRule="exact"/>
        <w:rPr>
          <w:rFonts w:ascii="Times New Roman" w:cs="Times New Roman" w:eastAsia="Times New Roman" w:hAnsi="Times New Roman"/>
          <w:sz w:val="12"/>
          <w:szCs w:val="12"/>
          <w:color w:val="auto"/>
        </w:rPr>
      </w:pPr>
    </w:p>
    <w:p>
      <w:pPr>
        <w:ind w:left="640" w:right="699" w:firstLine="693"/>
        <w:spacing w:after="0" w:line="245" w:lineRule="auto"/>
        <w:tabs>
          <w:tab w:leader="none" w:pos="1515"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its commercially reasonable efforts to have the Initial Registration Statement and any amendment declared effective by the SEC at the earliest possible date but no later than the earlier of the ninetieth (90th)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3"/>
          <w:szCs w:val="13"/>
          <w:b w:val="1"/>
          <w:bCs w:val="1"/>
          <w:color w:val="auto"/>
        </w:rPr>
        <w:t>Effectiveness Deadline</w:t>
      </w:r>
      <w:r>
        <w:rPr>
          <w:rFonts w:ascii="Times New Roman" w:cs="Times New Roman" w:eastAsia="Times New Roman" w:hAnsi="Times New Roman"/>
          <w:sz w:val="13"/>
          <w:szCs w:val="13"/>
          <w:color w:val="auto"/>
        </w:rPr>
        <w:t>”). The Company shall notify the Investor by e-mail as promptly as practicable, and in any event, within twenty-four (24) hours, after the Initial Registration Statement is declared effective or is supplemented and shall provide the Investor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09" w:name="page210"/>
    <w:bookmarkEnd w:id="209"/>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requirement under Rule 144 under the Securities Act or any other rule of similar effect and (iii) five (5) years after the date of this Agreement (the</w:t>
      </w:r>
    </w:p>
    <w:p>
      <w:pPr>
        <w:spacing w:after="0" w:line="15"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Period</w:t>
      </w:r>
      <w:r>
        <w:rPr>
          <w:rFonts w:ascii="Times New Roman" w:cs="Times New Roman" w:eastAsia="Times New Roman" w:hAnsi="Times New Roman"/>
          <w:sz w:val="13"/>
          <w:szCs w:val="13"/>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36" w:lineRule="exact"/>
        <w:rPr>
          <w:sz w:val="20"/>
          <w:szCs w:val="20"/>
          <w:color w:val="auto"/>
        </w:rPr>
      </w:pPr>
    </w:p>
    <w:p>
      <w:pPr>
        <w:ind w:left="640" w:right="659" w:firstLine="693"/>
        <w:spacing w:after="0" w:line="269" w:lineRule="auto"/>
        <w:tabs>
          <w:tab w:leader="none" w:pos="1508"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Sufficient Number of Shares Registered</w:t>
      </w:r>
      <w:r>
        <w:rPr>
          <w:rFonts w:ascii="Times New Roman" w:cs="Times New Roman" w:eastAsia="Times New Roman" w:hAnsi="Times New Roman"/>
          <w:sz w:val="12"/>
          <w:szCs w:val="12"/>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2"/>
          <w:szCs w:val="12"/>
          <w:b w:val="1"/>
          <w:bCs w:val="1"/>
          <w:color w:val="auto"/>
        </w:rPr>
        <w:t>New Registration Statement</w:t>
      </w:r>
      <w:r>
        <w:rPr>
          <w:rFonts w:ascii="Times New Roman" w:cs="Times New Roman" w:eastAsia="Times New Roman" w:hAnsi="Times New Roman"/>
          <w:sz w:val="12"/>
          <w:szCs w:val="12"/>
          <w:color w:val="auto"/>
        </w:rPr>
        <w:t xml:space="preserve">”), so as to cover all of such Registrable Securities as soon as reasonably practicable, but in any event not later than the Filing Deadline. The Company shall use its commercially reasonable efforts to have such amendment and/or New Registration Statement become effective as soon as reasonably practicable following the filing thereof but no later than the earlier of (a) the seventy-fifth (75th) calendar day following the initial filing date of the New Registration Statement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provisions of </w:t>
      </w:r>
      <w:r>
        <w:rPr>
          <w:rFonts w:ascii="Times New Roman" w:cs="Times New Roman" w:eastAsia="Times New Roman" w:hAnsi="Times New Roman"/>
          <w:sz w:val="12"/>
          <w:szCs w:val="12"/>
          <w:u w:val="single" w:color="auto"/>
          <w:color w:val="auto"/>
        </w:rPr>
        <w:t>Sections 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2(b)</w:t>
      </w:r>
      <w:r>
        <w:rPr>
          <w:rFonts w:ascii="Times New Roman" w:cs="Times New Roman" w:eastAsia="Times New Roman" w:hAnsi="Times New Roman"/>
          <w:sz w:val="12"/>
          <w:szCs w:val="12"/>
          <w:color w:val="auto"/>
        </w:rPr>
        <w:t xml:space="preserve"> shall apply to the New Registration Statement, except as modified hereby.</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66" w:lineRule="auto"/>
        <w:tabs>
          <w:tab w:leader="none" w:pos="1515"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Allowable Delays</w:t>
      </w:r>
      <w:r>
        <w:rPr>
          <w:rFonts w:ascii="Times New Roman" w:cs="Times New Roman" w:eastAsia="Times New Roman" w:hAnsi="Times New Roman"/>
          <w:sz w:val="12"/>
          <w:szCs w:val="12"/>
          <w:color w:val="auto"/>
        </w:rPr>
        <w:t>. On no more than two (2) occasions in any twelve (12)-month period and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w:t>
      </w:r>
    </w:p>
    <w:p>
      <w:pPr>
        <w:spacing w:after="0" w:line="2"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4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3"/>
          <w:szCs w:val="13"/>
          <w:b w:val="1"/>
          <w:bCs w:val="1"/>
          <w:color w:val="auto"/>
        </w:rPr>
        <w:t>Allowed Delay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3"/>
          <w:szCs w:val="13"/>
          <w:b w:val="1"/>
          <w:bCs w:val="1"/>
          <w:color w:val="auto"/>
        </w:rPr>
        <w:t>Opt-Out Notice</w:t>
      </w:r>
      <w:r>
        <w:rPr>
          <w:rFonts w:ascii="Times New Roman" w:cs="Times New Roman" w:eastAsia="Times New Roman" w:hAnsi="Times New Roman"/>
          <w:sz w:val="13"/>
          <w:szCs w:val="13"/>
          <w:color w:val="auto"/>
        </w:rPr>
        <w:t xml:space="preserve">”) to the Company requesting that such Investor not receive notices from the Company otherwise required by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such Investor and such Investor shall no longer be entitled to the rights associated with any such notice.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10" w:name="page211"/>
    <w:bookmarkEnd w:id="210"/>
    <w:p>
      <w:pPr>
        <w:ind w:left="640" w:right="679" w:firstLine="693"/>
        <w:spacing w:after="0" w:line="244" w:lineRule="auto"/>
        <w:tabs>
          <w:tab w:leader="none" w:pos="150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Rule 415; Cutback</w:t>
      </w:r>
      <w:r>
        <w:rPr>
          <w:rFonts w:ascii="Times New Roman" w:cs="Times New Roman" w:eastAsia="Times New Roman" w:hAnsi="Times New Roman"/>
          <w:sz w:val="13"/>
          <w:szCs w:val="13"/>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xml:space="preserve">, including to comment on any written submission made to the SEC with respect thereto. In the event that, despite the Company’s commercially reasonable efforts and compliance with the terms of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Restrictions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Company shall not name any Investor as an “underwriter” in such Registration Statement without the prior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consent of such Investor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spacing w:after="0" w:line="14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94"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2(f)</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pacing w:after="0" w:line="152" w:lineRule="exact"/>
        <w:rPr>
          <w:sz w:val="20"/>
          <w:szCs w:val="20"/>
          <w:color w:val="auto"/>
        </w:rPr>
      </w:pPr>
    </w:p>
    <w:p>
      <w:pPr>
        <w:ind w:left="1320" w:hanging="379"/>
        <w:spacing w:after="0"/>
        <w:tabs>
          <w:tab w:leader="none" w:pos="1320" w:val="left"/>
        </w:tabs>
        <w:numPr>
          <w:ilvl w:val="0"/>
          <w:numId w:val="2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p>
    <w:p>
      <w:pPr>
        <w:spacing w:after="0" w:line="15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With respect to the Registration Statement and whenever any Registrable Securities are to be Registered pursuant to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693"/>
        <w:spacing w:after="0" w:line="249" w:lineRule="auto"/>
        <w:tabs>
          <w:tab w:leader="none" w:pos="1508"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11" w:name="page212"/>
    <w:bookmarkEnd w:id="211"/>
    <w:p>
      <w:pPr>
        <w:ind w:left="640" w:right="779" w:firstLine="693"/>
        <w:spacing w:after="0" w:line="249" w:lineRule="auto"/>
        <w:tabs>
          <w:tab w:leader="none" w:pos="1515"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15"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Copies Available</w:t>
      </w:r>
      <w:r>
        <w:rPr>
          <w:rFonts w:ascii="Times New Roman" w:cs="Times New Roman" w:eastAsia="Times New Roman" w:hAnsi="Times New Roman"/>
          <w:sz w:val="12"/>
          <w:szCs w:val="12"/>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be required to furnish any document to such Investor to the extent such document is available on EDGAR.</w:t>
      </w:r>
    </w:p>
    <w:p>
      <w:pPr>
        <w:spacing w:after="0" w:line="127" w:lineRule="exact"/>
        <w:rPr>
          <w:rFonts w:ascii="Times New Roman" w:cs="Times New Roman" w:eastAsia="Times New Roman" w:hAnsi="Times New Roman"/>
          <w:sz w:val="12"/>
          <w:szCs w:val="12"/>
          <w:color w:val="auto"/>
        </w:rPr>
      </w:pPr>
    </w:p>
    <w:p>
      <w:pPr>
        <w:ind w:left="640" w:right="679" w:firstLine="693"/>
        <w:spacing w:after="0" w:line="245" w:lineRule="auto"/>
        <w:tabs>
          <w:tab w:leader="none" w:pos="1508"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 of Stop Orders; Material Changes</w:t>
      </w:r>
      <w:r>
        <w:rPr>
          <w:rFonts w:ascii="Times New Roman" w:cs="Times New Roman" w:eastAsia="Times New Roman" w:hAnsi="Times New Roman"/>
          <w:sz w:val="13"/>
          <w:szCs w:val="13"/>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substance of specific reasons of any of the events set forth in clauses (i) through (iii) of the immediately preceding sentence (each, a “</w:t>
      </w:r>
      <w:r>
        <w:rPr>
          <w:rFonts w:ascii="Times New Roman" w:cs="Times New Roman" w:eastAsia="Times New Roman" w:hAnsi="Times New Roman"/>
          <w:sz w:val="13"/>
          <w:szCs w:val="13"/>
          <w:b w:val="1"/>
          <w:bCs w:val="1"/>
          <w:color w:val="auto"/>
        </w:rPr>
        <w:t>Suspension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Event</w:t>
      </w:r>
      <w:r>
        <w:rPr>
          <w:rFonts w:ascii="Times New Roman" w:cs="Times New Roman" w:eastAsia="Times New Roman" w:hAnsi="Times New Roman"/>
          <w:sz w:val="13"/>
          <w:szCs w:val="13"/>
          <w:color w:val="auto"/>
        </w:rPr>
        <w:t>”), but rather, shall only be required to disclose that the event has occurred; provided that the Company shall not provide any material non-public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3"/>
          <w:szCs w:val="13"/>
          <w:u w:val="single" w:color="auto"/>
          <w:color w:val="auto"/>
        </w:rPr>
        <w:t>Section 3(e)</w:t>
      </w:r>
      <w:r>
        <w:rPr>
          <w:rFonts w:ascii="Times New Roman" w:cs="Times New Roman" w:eastAsia="Times New Roman" w:hAnsi="Times New Roman"/>
          <w:sz w:val="13"/>
          <w:szCs w:val="13"/>
          <w:color w:val="auto"/>
        </w:rPr>
        <w:t>, the Company will use its commercially reasonable efforts to publicly disclose such event as soon as reasonably practicable, or otherwise resolve the matter such that sales under Registration Statements may resume.</w:t>
      </w:r>
    </w:p>
    <w:p>
      <w:pPr>
        <w:spacing w:after="0" w:line="138" w:lineRule="exact"/>
        <w:rPr>
          <w:sz w:val="20"/>
          <w:szCs w:val="20"/>
          <w:color w:val="auto"/>
        </w:rPr>
      </w:pPr>
    </w:p>
    <w:p>
      <w:pPr>
        <w:ind w:left="640" w:right="679" w:firstLine="693"/>
        <w:spacing w:after="0" w:line="251" w:lineRule="auto"/>
        <w:tabs>
          <w:tab w:leader="none" w:pos="149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32" w:lineRule="exact"/>
        <w:rPr>
          <w:rFonts w:ascii="Times New Roman" w:cs="Times New Roman" w:eastAsia="Times New Roman" w:hAnsi="Times New Roman"/>
          <w:sz w:val="13"/>
          <w:szCs w:val="13"/>
          <w:color w:val="auto"/>
        </w:rPr>
      </w:pPr>
    </w:p>
    <w:p>
      <w:pPr>
        <w:ind w:left="640" w:right="1179" w:firstLine="693"/>
        <w:spacing w:after="0" w:line="309" w:lineRule="auto"/>
        <w:tabs>
          <w:tab w:leader="none" w:pos="1515"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The Company shall use commercially reasonable efforts to cause all Registrable Securities covered by a Registration Statement to be listed on the Nasdaq Capital Market and/or any other National Exchange upon which the Common Stock is listed.</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34" w:lineRule="auto"/>
        <w:tabs>
          <w:tab w:leader="none" w:pos="1515"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of the event requiring disclosure,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is the last quarter of the Company’s fiscal year, “Availability Date”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Blue-Sky</w:t>
      </w:r>
      <w:r>
        <w:rPr>
          <w:rFonts w:ascii="Times New Roman" w:cs="Times New Roman" w:eastAsia="Times New Roman" w:hAnsi="Times New Roman"/>
          <w:sz w:val="13"/>
          <w:szCs w:val="13"/>
          <w:color w:val="auto"/>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xml:space="preserve">, (ii) subject itself to general taxation in any jurisdiction where it would not otherwise be so subject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or (iii) file a general consent to service of process in any such jurisdiction.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13" w:name="page214"/>
    <w:bookmarkEnd w:id="213"/>
    <w:p>
      <w:pPr>
        <w:ind w:left="640" w:right="699" w:firstLine="693"/>
        <w:spacing w:after="0" w:line="268" w:lineRule="auto"/>
        <w:tabs>
          <w:tab w:leader="none" w:pos="1487" w:val="left"/>
        </w:tabs>
        <w:numPr>
          <w:ilvl w:val="2"/>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Rule 144</w:t>
      </w:r>
      <w:r>
        <w:rPr>
          <w:rFonts w:ascii="Times New Roman" w:cs="Times New Roman" w:eastAsia="Times New Roman" w:hAnsi="Times New Roman"/>
          <w:sz w:val="12"/>
          <w:szCs w:val="12"/>
          <w:color w:val="auto"/>
        </w:rPr>
        <w:t>. With a view to making available to the Investors the benefits of Rule 144 (or its successor rule) and any other rule or regulation of the SEC that may at any time permit the Investors to sell shares of TopCo Common Stock to the public without registration, the Company covenants and agrees to use commercially reasonable efforts to make and keep adequate current public information available, as those terms are understood and defined in Rule 144, until the date as all of the Initial Shares may be sold without restriction by the holders thereof pursuant to Rule 144 or any other rule of similar effect (without the requirement for the Company to be in compliance with any current public information requirements). In addition for so long as any Registrable Securities are outstanding, the Company covenants and agrees to use commercially reasonable efforts to (i) file with the SEC in a timely manner all reports and other documents required of the Company under the Exchange Act; and (ii)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24"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2"/>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1" w:lineRule="auto"/>
        <w:tabs>
          <w:tab w:leader="none" w:pos="1487" w:val="left"/>
        </w:tabs>
        <w:numPr>
          <w:ilvl w:val="2"/>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Removal of Restrictive Legends</w:t>
      </w:r>
      <w:r>
        <w:rPr>
          <w:rFonts w:ascii="Times New Roman" w:cs="Times New Roman" w:eastAsia="Times New Roman" w:hAnsi="Times New Roman"/>
          <w:sz w:val="13"/>
          <w:szCs w:val="13"/>
          <w:color w:val="auto"/>
        </w:rPr>
        <w:t>. Without limiting Section 5.5 of the Purchase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149"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OBLIGATIONS OF THE INVESTORS.</w:t>
      </w:r>
    </w:p>
    <w:p>
      <w:pPr>
        <w:spacing w:after="0" w:line="155" w:lineRule="exact"/>
        <w:rPr>
          <w:rFonts w:ascii="Times New Roman" w:cs="Times New Roman" w:eastAsia="Times New Roman" w:hAnsi="Times New Roman"/>
          <w:sz w:val="13"/>
          <w:szCs w:val="13"/>
          <w:b w:val="1"/>
          <w:bCs w:val="1"/>
          <w:color w:val="auto"/>
        </w:rPr>
      </w:pPr>
    </w:p>
    <w:p>
      <w:pPr>
        <w:ind w:left="640" w:right="739" w:firstLine="693"/>
        <w:spacing w:after="0" w:line="274" w:lineRule="auto"/>
        <w:tabs>
          <w:tab w:leader="none" w:pos="1508" w:val="left"/>
        </w:tabs>
        <w:numPr>
          <w:ilvl w:val="2"/>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Investor Information</w:t>
      </w:r>
      <w:r>
        <w:rPr>
          <w:rFonts w:ascii="Times New Roman" w:cs="Times New Roman" w:eastAsia="Times New Roman" w:hAnsi="Times New Roman"/>
          <w:sz w:val="12"/>
          <w:szCs w:val="12"/>
          <w:color w:val="auto"/>
        </w:rPr>
        <w:t xml:space="preserve">. Each Investor shall provide a completed Investor Questionnaire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or such other form of questionnaire or information required by the Company in connection with the registration of the Registrable Securities within three</w:t>
      </w:r>
    </w:p>
    <w:p>
      <w:pPr>
        <w:spacing w:after="0" w:line="1" w:lineRule="exact"/>
        <w:rPr>
          <w:rFonts w:ascii="Times New Roman" w:cs="Times New Roman" w:eastAsia="Times New Roman" w:hAnsi="Times New Roman"/>
          <w:sz w:val="12"/>
          <w:szCs w:val="12"/>
          <w:color w:val="auto"/>
        </w:rPr>
      </w:pPr>
    </w:p>
    <w:p>
      <w:pPr>
        <w:ind w:left="640" w:right="1039" w:hanging="3"/>
        <w:spacing w:after="0" w:line="246" w:lineRule="auto"/>
        <w:tabs>
          <w:tab w:leader="none" w:pos="819"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of request by the Company and no later than the end of the third (3rd) Business Day following the date on which such Investor receives draft materials in accordance with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2"/>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8" w:val="left"/>
        </w:tabs>
        <w:numPr>
          <w:ilvl w:val="2"/>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Cooperation</w:t>
      </w:r>
      <w:r>
        <w:rPr>
          <w:rFonts w:ascii="Times New Roman" w:cs="Times New Roman" w:eastAsia="Times New Roman" w:hAnsi="Times New Roman"/>
          <w:sz w:val="13"/>
          <w:szCs w:val="13"/>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14" w:name="page215"/>
    <w:bookmarkEnd w:id="214"/>
    <w:p>
      <w:pPr>
        <w:ind w:left="1320" w:hanging="379"/>
        <w:spacing w:after="0"/>
        <w:tabs>
          <w:tab w:leader="none" w:pos="1320" w:val="left"/>
        </w:tabs>
        <w:numPr>
          <w:ilvl w:val="0"/>
          <w:numId w:val="2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EXPENSES OF REGISTRATION.</w:t>
      </w:r>
    </w:p>
    <w:p>
      <w:pPr>
        <w:spacing w:after="0" w:line="15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shall be borne by the Company. All Selling Expenses relating to securities registered on behalf of an Investor shall be borne by such Investor.</w:t>
      </w:r>
    </w:p>
    <w:p>
      <w:pPr>
        <w:spacing w:after="0" w:line="139" w:lineRule="exact"/>
        <w:rPr>
          <w:sz w:val="20"/>
          <w:szCs w:val="20"/>
          <w:color w:val="auto"/>
        </w:rPr>
      </w:pPr>
    </w:p>
    <w:p>
      <w:pPr>
        <w:ind w:left="1320" w:hanging="379"/>
        <w:spacing w:after="0"/>
        <w:tabs>
          <w:tab w:leader="none" w:pos="1320" w:val="left"/>
        </w:tabs>
        <w:numPr>
          <w:ilvl w:val="0"/>
          <w:numId w:val="2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5" w:lineRule="auto"/>
        <w:tabs>
          <w:tab w:leader="none" w:pos="150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Investor, each Person, if any, who controls each Investor, the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2"/>
          <w:szCs w:val="12"/>
          <w:b w:val="1"/>
          <w:bCs w:val="1"/>
          <w:color w:val="auto"/>
        </w:rPr>
        <w:t>Indemnified Damages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2"/>
          <w:szCs w:val="12"/>
          <w:b w:val="1"/>
          <w:bCs w:val="1"/>
          <w:color w:val="auto"/>
        </w:rPr>
        <w:t>Violations</w:t>
      </w:r>
      <w:r>
        <w:rPr>
          <w:rFonts w:ascii="Times New Roman" w:cs="Times New Roman" w:eastAsia="Times New Roman" w:hAnsi="Times New Roman"/>
          <w:sz w:val="12"/>
          <w:szCs w:val="12"/>
          <w:color w:val="auto"/>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6(a)</w:t>
      </w:r>
      <w:r>
        <w:rPr>
          <w:rFonts w:ascii="Times New Roman" w:cs="Times New Roman" w:eastAsia="Times New Roman" w:hAnsi="Times New Roman"/>
          <w:sz w:val="12"/>
          <w:szCs w:val="12"/>
          <w:color w:val="auto"/>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15" w:name="page216"/>
    <w:bookmarkEnd w:id="215"/>
    <w:p>
      <w:pPr>
        <w:ind w:left="640" w:right="679" w:firstLine="693"/>
        <w:spacing w:after="0" w:line="269" w:lineRule="auto"/>
        <w:tabs>
          <w:tab w:leader="none" w:pos="1515" w:val="left"/>
        </w:tabs>
        <w:numPr>
          <w:ilvl w:val="1"/>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against any losses, claims, damages, liabilities and expense (including reasonable attorney fees) resulting from</w:t>
      </w:r>
    </w:p>
    <w:p>
      <w:pPr>
        <w:ind w:left="780" w:hanging="143"/>
        <w:spacing w:after="0"/>
        <w:tabs>
          <w:tab w:leader="none" w:pos="780"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or alleged untrue statement or omission or alleged omission of any material fact contained in any Registration Statement or</w:t>
      </w:r>
    </w:p>
    <w:p>
      <w:pPr>
        <w:spacing w:after="0" w:line="2" w:lineRule="exact"/>
        <w:rPr>
          <w:rFonts w:ascii="Times New Roman" w:cs="Times New Roman" w:eastAsia="Times New Roman" w:hAnsi="Times New Roman"/>
          <w:sz w:val="13"/>
          <w:szCs w:val="13"/>
          <w:color w:val="auto"/>
        </w:rPr>
      </w:pPr>
    </w:p>
    <w:p>
      <w:pPr>
        <w:ind w:left="640" w:right="679" w:hanging="3"/>
        <w:spacing w:after="0" w:line="243" w:lineRule="auto"/>
        <w:tabs>
          <w:tab w:leader="none" w:pos="826"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violation or alleged violation by such Investor of its obligations under this Agreement, in each case to the extent, and only to the extent, that such violation occurs in reliance upon and in conformity with information about such Investor furnished in writing by such Investor to the Company expressly for use in connection with the preparation of the Registration Statement.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3"/>
          <w:szCs w:val="13"/>
          <w:u w:val="single" w:color="auto"/>
          <w:color w:val="auto"/>
        </w:rPr>
        <w:t>Section 6(b)</w:t>
      </w:r>
      <w:r>
        <w:rPr>
          <w:rFonts w:ascii="Times New Roman" w:cs="Times New Roman" w:eastAsia="Times New Roman" w:hAnsi="Times New Roman"/>
          <w:sz w:val="13"/>
          <w:szCs w:val="13"/>
          <w:color w:val="auto"/>
        </w:rPr>
        <w:t xml:space="preserve">, shall not apply to amounts paid in settlement of any Claim if such settlement is effected without the prior written consent of the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w:t>
      </w:r>
    </w:p>
    <w:p>
      <w:pPr>
        <w:spacing w:after="0" w:line="141" w:lineRule="exact"/>
        <w:rPr>
          <w:rFonts w:ascii="Times New Roman" w:cs="Times New Roman" w:eastAsia="Times New Roman" w:hAnsi="Times New Roman"/>
          <w:sz w:val="13"/>
          <w:szCs w:val="13"/>
          <w:color w:val="auto"/>
        </w:rPr>
      </w:pPr>
    </w:p>
    <w:p>
      <w:pPr>
        <w:ind w:left="640" w:right="659" w:firstLine="693"/>
        <w:spacing w:after="0" w:line="244" w:lineRule="auto"/>
        <w:tabs>
          <w:tab w:leader="none" w:pos="1508"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by an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16" w:name="page217"/>
    <w:bookmarkEnd w:id="21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except to the extent that the indemnifying party is prejudiced in its ability to defend such action.</w:t>
      </w:r>
    </w:p>
    <w:p>
      <w:pPr>
        <w:spacing w:after="0" w:line="135" w:lineRule="exact"/>
        <w:rPr>
          <w:sz w:val="20"/>
          <w:szCs w:val="20"/>
          <w:color w:val="auto"/>
        </w:rPr>
      </w:pPr>
    </w:p>
    <w:p>
      <w:pPr>
        <w:ind w:left="640" w:right="839" w:firstLine="693"/>
        <w:spacing w:after="0" w:line="251" w:lineRule="auto"/>
        <w:tabs>
          <w:tab w:leader="none" w:pos="1515" w:val="left"/>
        </w:tabs>
        <w:numPr>
          <w:ilvl w:val="1"/>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indemnification required by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which person is later determined to not be entitled to such payment shall return such payment (including reimbursement of expenses) to the person making it.</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508" w:val="left"/>
        </w:tabs>
        <w:numPr>
          <w:ilvl w:val="1"/>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16"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p>
    <w:p>
      <w:pPr>
        <w:spacing w:after="0" w:line="155" w:lineRule="exact"/>
        <w:rPr>
          <w:rFonts w:ascii="Times New Roman" w:cs="Times New Roman" w:eastAsia="Times New Roman" w:hAnsi="Times New Roman"/>
          <w:sz w:val="13"/>
          <w:szCs w:val="13"/>
          <w:b w:val="1"/>
          <w:bCs w:val="1"/>
          <w:color w:val="auto"/>
        </w:rPr>
      </w:pPr>
    </w:p>
    <w:p>
      <w:pPr>
        <w:ind w:left="13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the extent any indemnification by an indemnifying party is prohibited or limited by law, the indemnifying party agrees to make the</w:t>
      </w:r>
    </w:p>
    <w:p>
      <w:pPr>
        <w:spacing w:after="0" w:line="15" w:lineRule="exact"/>
        <w:rPr>
          <w:sz w:val="20"/>
          <w:szCs w:val="20"/>
          <w:color w:val="auto"/>
        </w:rPr>
      </w:pPr>
    </w:p>
    <w:p>
      <w:pPr>
        <w:ind w:left="640" w:right="1059"/>
        <w:spacing w:after="0" w:line="263" w:lineRule="auto"/>
        <w:rPr>
          <w:sz w:val="20"/>
          <w:szCs w:val="20"/>
          <w:color w:val="auto"/>
        </w:rPr>
      </w:pPr>
      <w:r>
        <w:rPr>
          <w:rFonts w:ascii="Times New Roman" w:cs="Times New Roman" w:eastAsia="Times New Roman" w:hAnsi="Times New Roman"/>
          <w:sz w:val="12"/>
          <w:szCs w:val="12"/>
          <w:color w:val="auto"/>
        </w:rPr>
        <w:t xml:space="preserve">maximum contribution with respect to any amounts for which it would otherwise be liable under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to the fullest extent permitted by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1" w:lineRule="exact"/>
        <w:rPr>
          <w:sz w:val="20"/>
          <w:szCs w:val="20"/>
          <w:color w:val="auto"/>
        </w:rPr>
      </w:pPr>
    </w:p>
    <w:p>
      <w:pPr>
        <w:jc w:val="both"/>
        <w:ind w:left="640" w:right="699" w:hanging="3"/>
        <w:spacing w:after="0" w:line="244" w:lineRule="auto"/>
        <w:tabs>
          <w:tab w:leader="none" w:pos="826"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54"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ASSIGNMENT OF REGISTRATION RIGHTS.</w:t>
      </w:r>
    </w:p>
    <w:p>
      <w:pPr>
        <w:spacing w:after="0" w:line="156"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The Company shall not assign this Agreement or any rights or obligations hereunder (whether by operation of law or otherwise) without the prior written consent of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(determined as if all of the Pre-Funded Warrants then outstanding have been exercised in full without regard to any limitations on the exercise of such Pre-Funded Warrants)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17" w:name="page218"/>
    <w:bookmarkEnd w:id="217"/>
    <w:p>
      <w:pPr>
        <w:ind w:left="1320" w:hanging="379"/>
        <w:spacing w:after="0"/>
        <w:tabs>
          <w:tab w:leader="none" w:pos="1320"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 AND WAIVERS.</w:t>
      </w:r>
    </w:p>
    <w:p>
      <w:pPr>
        <w:spacing w:after="0" w:line="156"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The provisions of this Agreement, including the provisions of this sentence, may be amended, modified or supplemented, or waived only by a written instrument executed by (a) the Company and (b) the holders of a majority of the then outstanding Registrable Securities (determined as if all of the Pre-Funded Warrants then outstanding have been exercised in full without regard to any limitations on the exercise of such Pre-Funded Warrants) (voting together as a single class),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w:t>
      </w:r>
    </w:p>
    <w:p>
      <w:pPr>
        <w:spacing w:after="0" w:line="142" w:lineRule="exact"/>
        <w:rPr>
          <w:sz w:val="20"/>
          <w:szCs w:val="20"/>
          <w:color w:val="auto"/>
        </w:rPr>
      </w:pPr>
    </w:p>
    <w:p>
      <w:pPr>
        <w:ind w:left="1320" w:hanging="379"/>
        <w:spacing w:after="0"/>
        <w:tabs>
          <w:tab w:leader="none" w:pos="1320" w:val="left"/>
        </w:tabs>
        <w:numPr>
          <w:ilvl w:val="1"/>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55" w:lineRule="exact"/>
        <w:rPr>
          <w:rFonts w:ascii="Times New Roman" w:cs="Times New Roman" w:eastAsia="Times New Roman" w:hAnsi="Times New Roman"/>
          <w:sz w:val="13"/>
          <w:szCs w:val="13"/>
          <w:b w:val="1"/>
          <w:bCs w:val="1"/>
          <w:color w:val="auto"/>
        </w:rPr>
      </w:pPr>
    </w:p>
    <w:p>
      <w:pPr>
        <w:ind w:left="640" w:right="699" w:firstLine="693"/>
        <w:spacing w:after="0" w:line="269" w:lineRule="auto"/>
        <w:tabs>
          <w:tab w:leader="none" w:pos="1508" w:val="left"/>
        </w:tabs>
        <w:numPr>
          <w:ilvl w:val="2"/>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ind w:left="640" w:right="699" w:hanging="3"/>
        <w:spacing w:after="0" w:line="246" w:lineRule="auto"/>
        <w:tabs>
          <w:tab w:leader="none" w:pos="819"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59" w:lineRule="exact"/>
        <w:rPr>
          <w:rFonts w:ascii="Times New Roman" w:cs="Times New Roman" w:eastAsia="Times New Roman" w:hAnsi="Times New Roman"/>
          <w:sz w:val="13"/>
          <w:szCs w:val="13"/>
          <w:color w:val="auto"/>
        </w:rPr>
      </w:pPr>
    </w:p>
    <w:p>
      <w:pPr>
        <w:ind w:left="1720" w:hanging="105"/>
        <w:spacing w:after="0"/>
        <w:tabs>
          <w:tab w:leader="none" w:pos="1720" w:val="left"/>
        </w:tabs>
        <w:numPr>
          <w:ilvl w:val="3"/>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addressed as follows:</w:t>
      </w:r>
    </w:p>
    <w:p>
      <w:pPr>
        <w:spacing w:after="0" w:line="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with a copy (which shall not constitute notice):</w:t>
      </w:r>
    </w:p>
    <w:p>
      <w:pPr>
        <w:spacing w:after="0" w:line="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Email: ***</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18" w:name="page219"/>
    <w:bookmarkEnd w:id="218"/>
    <w:p>
      <w:pPr>
        <w:ind w:left="1340" w:right="799" w:firstLine="275"/>
        <w:spacing w:after="0" w:line="267" w:lineRule="auto"/>
        <w:tabs>
          <w:tab w:leader="none" w:pos="1755"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to any Investor, at its e-mail address or address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to the Purchase Agreement or to such e-mail address, or address as subsequently modified by written notice given in accordance with this </w:t>
      </w:r>
      <w:r>
        <w:rPr>
          <w:rFonts w:ascii="Times New Roman" w:cs="Times New Roman" w:eastAsia="Times New Roman" w:hAnsi="Times New Roman"/>
          <w:sz w:val="13"/>
          <w:szCs w:val="13"/>
          <w:u w:val="single" w:color="auto"/>
          <w:color w:val="auto"/>
        </w:rPr>
        <w:t>Section 10(a)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Any Person may change the address to which notices and communications to it are to be addressed by notification as provided for herein.</w:t>
      </w:r>
    </w:p>
    <w:p>
      <w:pPr>
        <w:spacing w:after="0" w:line="154" w:lineRule="exact"/>
        <w:rPr>
          <w:sz w:val="20"/>
          <w:szCs w:val="20"/>
          <w:color w:val="auto"/>
        </w:rPr>
      </w:pPr>
    </w:p>
    <w:p>
      <w:pPr>
        <w:ind w:left="640" w:right="77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508"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8.5 of the Purchase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49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30" w:lineRule="exact"/>
        <w:rPr>
          <w:rFonts w:ascii="Times New Roman" w:cs="Times New Roman" w:eastAsia="Times New Roman" w:hAnsi="Times New Roman"/>
          <w:sz w:val="13"/>
          <w:szCs w:val="13"/>
          <w:color w:val="auto"/>
        </w:rPr>
      </w:pPr>
    </w:p>
    <w:p>
      <w:pPr>
        <w:ind w:left="640" w:right="919" w:firstLine="693"/>
        <w:spacing w:after="0" w:line="267"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487"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19" w:name="page220"/>
    <w:bookmarkEnd w:id="219"/>
    <w:p>
      <w:pPr>
        <w:ind w:left="640" w:right="819" w:firstLine="693"/>
        <w:spacing w:after="0" w:line="251" w:lineRule="auto"/>
        <w:tabs>
          <w:tab w:leader="none" w:pos="1487"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38" w:lineRule="exact"/>
        <w:rPr>
          <w:rFonts w:ascii="Times New Roman" w:cs="Times New Roman" w:eastAsia="Times New Roman" w:hAnsi="Times New Roman"/>
          <w:sz w:val="13"/>
          <w:szCs w:val="13"/>
          <w:color w:val="auto"/>
        </w:rPr>
      </w:pPr>
    </w:p>
    <w:p>
      <w:pPr>
        <w:ind w:left="640" w:right="1019" w:firstLine="693"/>
        <w:spacing w:after="0" w:line="255" w:lineRule="auto"/>
        <w:tabs>
          <w:tab w:leader="none" w:pos="1487"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30"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1" w:name="page222"/>
    <w:bookmarkEnd w:id="221"/>
    <w:p>
      <w:pPr>
        <w:ind w:left="13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40" w:hanging="303"/>
        <w:spacing w:after="0"/>
        <w:tabs>
          <w:tab w:leader="none" w:pos="940" w:val="left"/>
        </w:tabs>
        <w:numPr>
          <w:ilvl w:val="0"/>
          <w:numId w:val="2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333"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333" w:lineRule="exact"/>
        <w:rPr>
          <w:rFonts w:ascii="Times New Roman" w:cs="Times New Roman" w:eastAsia="Times New Roman" w:hAnsi="Times New Roman"/>
          <w:sz w:val="13"/>
          <w:szCs w:val="13"/>
          <w:color w:val="auto"/>
        </w:rPr>
      </w:pPr>
    </w:p>
    <w:p>
      <w:pPr>
        <w:ind w:left="1320" w:right="899" w:hanging="379"/>
        <w:spacing w:after="0" w:line="267" w:lineRule="auto"/>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3"/>
          <w:szCs w:val="13"/>
          <w:color w:val="auto"/>
        </w:rPr>
      </w:pPr>
    </w:p>
    <w:p>
      <w:pPr>
        <w:spacing w:after="0" w:line="270"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-963295</wp:posOffset>
            </wp:positionV>
            <wp:extent cx="40259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-656590</wp:posOffset>
            </wp:positionV>
            <wp:extent cx="40259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-253365</wp:posOffset>
            </wp:positionV>
            <wp:extent cx="40259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407670</wp:posOffset>
            </wp:positionV>
            <wp:extent cx="491045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215265</wp:posOffset>
            </wp:positionV>
            <wp:extent cx="491045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-92075</wp:posOffset>
            </wp:positionV>
            <wp:extent cx="491045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-7620</wp:posOffset>
            </wp:positionV>
            <wp:extent cx="38506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50640"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23" w:name="page224"/>
    <w:bookmarkEnd w:id="223"/>
    <w:p>
      <w:pPr>
        <w:ind w:left="940" w:hanging="303"/>
        <w:spacing w:after="0"/>
        <w:tabs>
          <w:tab w:leader="none" w:pos="940" w:val="left"/>
        </w:tabs>
        <w:numPr>
          <w:ilvl w:val="0"/>
          <w:numId w:val="2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Broker-Dealer Status:</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49"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ind w:left="3920" w:right="879" w:hanging="2979"/>
        <w:spacing w:after="0" w:line="206" w:lineRule="exact"/>
        <w:tabs>
          <w:tab w:leader="none" w:pos="1319"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Note:  If “no” to Section 3(b), the SEC’s staff has indicated that you should be identified as an underwriter in the Registration Statement.</w:t>
      </w:r>
    </w:p>
    <w:p>
      <w:pPr>
        <w:spacing w:after="0" w:line="87" w:lineRule="exact"/>
        <w:rPr>
          <w:sz w:val="20"/>
          <w:szCs w:val="20"/>
          <w:color w:val="auto"/>
        </w:rPr>
      </w:pPr>
    </w:p>
    <w:p>
      <w:pPr>
        <w:ind w:left="1320" w:hanging="379"/>
        <w:spacing w:after="0"/>
        <w:tabs>
          <w:tab w:leader="none" w:pos="1320"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49"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ind w:left="1320" w:right="639" w:hanging="379"/>
        <w:spacing w:after="0" w:line="255" w:lineRule="auto"/>
        <w:tabs>
          <w:tab w:leader="none" w:pos="1320" w:val="left"/>
        </w:tabs>
        <w:numPr>
          <w:ilvl w:val="0"/>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6"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256" w:lineRule="exact"/>
        <w:rPr>
          <w:sz w:val="20"/>
          <w:szCs w:val="20"/>
          <w:color w:val="auto"/>
        </w:rPr>
      </w:pPr>
    </w:p>
    <w:p>
      <w:pPr>
        <w:ind w:left="940" w:hanging="303"/>
        <w:spacing w:after="0"/>
        <w:tabs>
          <w:tab w:leader="none" w:pos="94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77" w:lineRule="exact"/>
        <w:rPr>
          <w:rFonts w:ascii="Times New Roman" w:cs="Times New Roman" w:eastAsia="Times New Roman" w:hAnsi="Times New Roman"/>
          <w:sz w:val="13"/>
          <w:szCs w:val="13"/>
          <w:b w:val="1"/>
          <w:bCs w:val="1"/>
          <w:color w:val="auto"/>
        </w:rPr>
      </w:pPr>
    </w:p>
    <w:p>
      <w:pPr>
        <w:ind w:left="940" w:right="759"/>
        <w:spacing w:after="0" w:line="27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54"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352425</wp:posOffset>
            </wp:positionV>
            <wp:extent cx="402590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160020</wp:posOffset>
            </wp:positionV>
            <wp:extent cx="402590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259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24" w:name="page225"/>
    <w:bookmarkEnd w:id="224"/>
    <w:p>
      <w:pPr>
        <w:ind w:left="940" w:hanging="303"/>
        <w:spacing w:after="0"/>
        <w:tabs>
          <w:tab w:leader="none" w:pos="940" w:val="left"/>
        </w:tabs>
        <w:numPr>
          <w:ilvl w:val="0"/>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Relationships with the Company:</w:t>
      </w:r>
    </w:p>
    <w:p>
      <w:pPr>
        <w:spacing w:after="0" w:line="77" w:lineRule="exact"/>
        <w:rPr>
          <w:rFonts w:ascii="Times New Roman" w:cs="Times New Roman" w:eastAsia="Times New Roman" w:hAnsi="Times New Roman"/>
          <w:sz w:val="13"/>
          <w:szCs w:val="13"/>
          <w:b w:val="1"/>
          <w:bCs w:val="1"/>
          <w:color w:val="auto"/>
        </w:rPr>
      </w:pPr>
    </w:p>
    <w:p>
      <w:pPr>
        <w:ind w:left="940" w:right="71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52" w:lineRule="exact"/>
        <w:rPr>
          <w:rFonts w:ascii="Times New Roman" w:cs="Times New Roman" w:eastAsia="Times New Roman" w:hAnsi="Times New Roman"/>
          <w:sz w:val="13"/>
          <w:szCs w:val="13"/>
          <w:b w:val="1"/>
          <w:bCs w:val="1"/>
          <w:color w:val="auto"/>
        </w:rPr>
      </w:pPr>
    </w:p>
    <w:p>
      <w:pPr>
        <w:ind w:left="9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406400</wp:posOffset>
            </wp:positionV>
            <wp:extent cx="40259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213995</wp:posOffset>
            </wp:positionV>
            <wp:extent cx="40259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259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3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33"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 xml:space="preserve">Date:                                                                       </w:t>
      </w:r>
      <w:r>
        <w:rPr>
          <w:sz w:val="20"/>
          <w:szCs w:val="20"/>
          <w:color w:val="auto"/>
        </w:rPr>
        <w:tab/>
      </w:r>
      <w:r>
        <w:rPr>
          <w:rFonts w:ascii="Times New Roman" w:cs="Times New Roman" w:eastAsia="Times New Roman" w:hAnsi="Times New Roman"/>
          <w:sz w:val="13"/>
          <w:szCs w:val="13"/>
          <w:color w:val="auto"/>
        </w:rPr>
        <w:t xml:space="preserve">Beneficial Owner: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-7620</wp:posOffset>
            </wp:positionV>
            <wp:extent cx="46101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610100" cy="571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9525</wp:posOffset>
            </wp:positionV>
            <wp:extent cx="22567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56790" cy="571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PLEASE EMAIL A .PDF COPY OF THE COMPLETED AND EXECUTED QUESTIONNAIRE TO: ***</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See attached</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26" w:name="page227"/>
    <w:bookmarkEnd w:id="226"/>
    <w:p>
      <w:pPr>
        <w:ind w:left="7720"/>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16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LOCK-UP AGREEMENT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April 1,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Therapeutics, Inc.</w:t>
      </w:r>
    </w:p>
    <w:p>
      <w:pPr>
        <w:ind w:left="640"/>
        <w:spacing w:after="0" w:line="194" w:lineRule="auto"/>
        <w:rPr>
          <w:sz w:val="20"/>
          <w:szCs w:val="20"/>
          <w:color w:val="auto"/>
        </w:rPr>
      </w:pPr>
      <w:r>
        <w:rPr>
          <w:rFonts w:ascii="Times New Roman" w:cs="Times New Roman" w:eastAsia="Times New Roman" w:hAnsi="Times New Roman"/>
          <w:sz w:val="13"/>
          <w:szCs w:val="13"/>
          <w:color w:val="auto"/>
        </w:rPr>
        <w:t>245 First Street,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Floor</w:t>
      </w:r>
    </w:p>
    <w:p>
      <w:pPr>
        <w:ind w:left="640"/>
        <w:spacing w:after="0"/>
        <w:rPr>
          <w:sz w:val="20"/>
          <w:szCs w:val="20"/>
          <w:color w:val="auto"/>
        </w:rPr>
      </w:pPr>
      <w:r>
        <w:rPr>
          <w:rFonts w:ascii="Times New Roman" w:cs="Times New Roman" w:eastAsia="Times New Roman" w:hAnsi="Times New Roman"/>
          <w:sz w:val="13"/>
          <w:szCs w:val="13"/>
          <w:color w:val="auto"/>
        </w:rPr>
        <w:t>Cambridge, Massachusetts 02142</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Regina Graul, Ph.D.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8" w:lineRule="exact"/>
        <w:rPr>
          <w:sz w:val="20"/>
          <w:szCs w:val="20"/>
          <w:color w:val="auto"/>
        </w:rPr>
      </w:pPr>
    </w:p>
    <w:p>
      <w:pPr>
        <w:ind w:left="640" w:right="639"/>
        <w:spacing w:after="0" w:line="248" w:lineRule="auto"/>
        <w:rPr>
          <w:sz w:val="20"/>
          <w:szCs w:val="20"/>
          <w:color w:val="auto"/>
        </w:rPr>
      </w:pPr>
      <w:r>
        <w:rPr>
          <w:rFonts w:ascii="Times New Roman" w:cs="Times New Roman" w:eastAsia="Times New Roman" w:hAnsi="Times New Roman"/>
          <w:sz w:val="13"/>
          <w:szCs w:val="13"/>
          <w:color w:val="auto"/>
        </w:rPr>
        <w:t>The undersigned signatory of this lock-up agreement (this “</w:t>
      </w:r>
      <w:r>
        <w:rPr>
          <w:rFonts w:ascii="Times New Roman" w:cs="Times New Roman" w:eastAsia="Times New Roman" w:hAnsi="Times New Roman"/>
          <w:sz w:val="13"/>
          <w:szCs w:val="13"/>
          <w:u w:val="single" w:color="auto"/>
          <w:color w:val="auto"/>
        </w:rPr>
        <w:t>Lock-Up Agreement</w:t>
      </w:r>
      <w:r>
        <w:rPr>
          <w:rFonts w:ascii="Times New Roman" w:cs="Times New Roman" w:eastAsia="Times New Roman" w:hAnsi="Times New Roman"/>
          <w:sz w:val="13"/>
          <w:szCs w:val="13"/>
          <w:color w:val="auto"/>
        </w:rPr>
        <w:t>”) understands that Cyclerion Therapeutics, Inc., a Massachusetts corporation (including any successor thereto,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has entered into an Agreement and Plan of Merger and Reorganization, dated as of April 1, 2026 (as the same may be amended from time to time,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Capitalized terms used but not otherwise defined herein shall have the respective meanings ascribed to such terms in the Merger Agreement.</w:t>
      </w:r>
    </w:p>
    <w:p>
      <w:pPr>
        <w:spacing w:after="0" w:line="68" w:lineRule="exact"/>
        <w:rPr>
          <w:sz w:val="20"/>
          <w:szCs w:val="20"/>
          <w:color w:val="auto"/>
        </w:rPr>
      </w:pPr>
    </w:p>
    <w:p>
      <w:pPr>
        <w:ind w:left="1320" w:right="659" w:hanging="379"/>
        <w:spacing w:after="0" w:line="246" w:lineRule="auto"/>
        <w:tabs>
          <w:tab w:leader="none" w:pos="132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this Lock-Up Agreement shall terminate immediately upon the undersigned’s termination of employment with Parent or its subsidiaries:</w:t>
      </w:r>
    </w:p>
    <w:p>
      <w:pPr>
        <w:spacing w:after="0" w:line="69" w:lineRule="exact"/>
        <w:rPr>
          <w:rFonts w:ascii="Times New Roman" w:cs="Times New Roman" w:eastAsia="Times New Roman" w:hAnsi="Times New Roman"/>
          <w:sz w:val="13"/>
          <w:szCs w:val="13"/>
          <w:color w:val="auto"/>
        </w:rPr>
      </w:pPr>
    </w:p>
    <w:p>
      <w:pPr>
        <w:ind w:left="1640" w:right="799" w:hanging="311"/>
        <w:spacing w:after="0" w:line="248" w:lineRule="auto"/>
        <w:tabs>
          <w:tab w:leader="none" w:pos="164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227" w:name="page228"/>
    <w:bookmarkEnd w:id="227"/>
    <w:p>
      <w:pPr>
        <w:ind w:left="1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(ii) settlement of Parent Restricted Stock Units or (iii) any warrant to purchase shares of Parent Common Stock) that are currently or hereafter owned by the undersigned, except as set forth below (collectively, the “</w:t>
      </w:r>
      <w:r>
        <w:rPr>
          <w:rFonts w:ascii="Times New Roman" w:cs="Times New Roman" w:eastAsia="Times New Roman" w:hAnsi="Times New Roman"/>
          <w:sz w:val="13"/>
          <w:szCs w:val="13"/>
          <w:u w:val="single" w:color="auto"/>
          <w:color w:val="auto"/>
        </w:rPr>
        <w:t>Undersigned’s Shares</w:t>
      </w:r>
      <w:r>
        <w:rPr>
          <w:rFonts w:ascii="Times New Roman" w:cs="Times New Roman" w:eastAsia="Times New Roman" w:hAnsi="Times New Roman"/>
          <w:sz w:val="13"/>
          <w:szCs w:val="13"/>
          <w:color w:val="auto"/>
        </w:rPr>
        <w:t>”);</w:t>
      </w:r>
    </w:p>
    <w:p>
      <w:pPr>
        <w:spacing w:after="0" w:line="55" w:lineRule="exact"/>
        <w:rPr>
          <w:sz w:val="20"/>
          <w:szCs w:val="20"/>
          <w:color w:val="auto"/>
        </w:rPr>
      </w:pPr>
    </w:p>
    <w:p>
      <w:pPr>
        <w:ind w:left="1640" w:right="739" w:hanging="311"/>
        <w:spacing w:after="0" w:line="255" w:lineRule="auto"/>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p>
      <w:pPr>
        <w:spacing w:after="0" w:line="63" w:lineRule="exact"/>
        <w:rPr>
          <w:rFonts w:ascii="Times New Roman" w:cs="Times New Roman" w:eastAsia="Times New Roman" w:hAnsi="Times New Roman"/>
          <w:sz w:val="13"/>
          <w:szCs w:val="13"/>
          <w:color w:val="auto"/>
        </w:rPr>
      </w:pPr>
    </w:p>
    <w:p>
      <w:pPr>
        <w:jc w:val="both"/>
        <w:ind w:left="1640" w:right="799" w:hanging="311"/>
        <w:spacing w:after="0" w:line="255" w:lineRule="auto"/>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demand for, or exercise any right with respect to, the registration of any shares of Parent Common Stock or any security convertible into or exercisable or exchangeable for shares of Parent Common Stock (other than such rights set forth in the Merger Agreement);</w:t>
      </w:r>
    </w:p>
    <w:p>
      <w:pPr>
        <w:spacing w:after="0" w:line="63" w:lineRule="exact"/>
        <w:rPr>
          <w:rFonts w:ascii="Times New Roman" w:cs="Times New Roman" w:eastAsia="Times New Roman" w:hAnsi="Times New Roman"/>
          <w:sz w:val="13"/>
          <w:szCs w:val="13"/>
          <w:color w:val="auto"/>
        </w:rPr>
      </w:pPr>
    </w:p>
    <w:p>
      <w:pPr>
        <w:ind w:left="1640" w:right="859" w:hanging="311"/>
        <w:spacing w:after="0" w:line="286" w:lineRule="auto"/>
        <w:tabs>
          <w:tab w:leader="none" w:pos="1640"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w:t>
      </w:r>
    </w:p>
    <w:p>
      <w:pPr>
        <w:spacing w:after="0" w:line="46"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restrictions and obligations contemplated by this Lock-Up Agreement shall not apply to:</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the Undersigned’s Shares:</w:t>
      </w:r>
    </w:p>
    <w:p>
      <w:pPr>
        <w:spacing w:after="0" w:line="87" w:lineRule="exact"/>
        <w:rPr>
          <w:sz w:val="20"/>
          <w:szCs w:val="20"/>
          <w:color w:val="auto"/>
        </w:rPr>
      </w:pPr>
    </w:p>
    <w:p>
      <w:pPr>
        <w:ind w:left="2020" w:right="639" w:hanging="378"/>
        <w:spacing w:after="0" w:line="271" w:lineRule="auto"/>
        <w:tabs>
          <w:tab w:leader="none" w:pos="2020"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cs="Times New Roman" w:eastAsia="Times New Roman" w:hAnsi="Times New Roman"/>
          <w:sz w:val="12"/>
          <w:szCs w:val="12"/>
          <w:u w:val="single" w:color="auto"/>
          <w:color w:val="auto"/>
        </w:rPr>
        <w:t>Family Member</w:t>
      </w:r>
      <w:r>
        <w:rPr>
          <w:rFonts w:ascii="Times New Roman" w:cs="Times New Roman" w:eastAsia="Times New Roman" w:hAnsi="Times New Roman"/>
          <w:sz w:val="12"/>
          <w:szCs w:val="12"/>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55" w:lineRule="exact"/>
        <w:rPr>
          <w:rFonts w:ascii="Times New Roman" w:cs="Times New Roman" w:eastAsia="Times New Roman" w:hAnsi="Times New Roman"/>
          <w:sz w:val="12"/>
          <w:szCs w:val="12"/>
          <w:color w:val="auto"/>
        </w:rPr>
      </w:pPr>
    </w:p>
    <w:p>
      <w:pPr>
        <w:ind w:left="2020" w:right="699" w:hanging="378"/>
        <w:spacing w:after="0" w:line="249" w:lineRule="auto"/>
        <w:tabs>
          <w:tab w:leader="none" w:pos="2020"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28" w:name="page229"/>
    <w:bookmarkEnd w:id="228"/>
    <w:p>
      <w:pPr>
        <w:ind w:left="2020" w:right="6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50" w:lineRule="exact"/>
        <w:rPr>
          <w:sz w:val="20"/>
          <w:szCs w:val="20"/>
          <w:color w:val="auto"/>
        </w:rPr>
      </w:pPr>
    </w:p>
    <w:p>
      <w:pPr>
        <w:ind w:left="2020" w:hanging="378"/>
        <w:spacing w:after="0"/>
        <w:tabs>
          <w:tab w:leader="none" w:pos="2020"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undersigned is a trust, to any grantors or beneficiaries of the trust;</w:t>
      </w:r>
    </w:p>
    <w:p>
      <w:pPr>
        <w:spacing w:after="0" w:line="78" w:lineRule="exact"/>
        <w:rPr>
          <w:sz w:val="20"/>
          <w:szCs w:val="20"/>
          <w:color w:val="auto"/>
        </w:rPr>
      </w:pPr>
    </w:p>
    <w:p>
      <w:pPr>
        <w:ind w:left="1640" w:right="659"/>
        <w:spacing w:after="0" w:line="251"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66" w:lineRule="exact"/>
        <w:rPr>
          <w:sz w:val="20"/>
          <w:szCs w:val="20"/>
          <w:color w:val="auto"/>
        </w:rPr>
      </w:pPr>
    </w:p>
    <w:p>
      <w:pPr>
        <w:ind w:left="1640" w:right="699" w:hanging="311"/>
        <w:spacing w:after="0" w:line="249"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Parent Common Stock shall continue to be subject to the restrictions on transfer set forth in this Lock-Up Agreement;</w:t>
      </w:r>
    </w:p>
    <w:p>
      <w:pPr>
        <w:spacing w:after="0" w:line="67" w:lineRule="exact"/>
        <w:rPr>
          <w:rFonts w:ascii="Times New Roman" w:cs="Times New Roman" w:eastAsia="Times New Roman" w:hAnsi="Times New Roman"/>
          <w:sz w:val="13"/>
          <w:szCs w:val="13"/>
          <w:color w:val="auto"/>
        </w:rPr>
      </w:pPr>
    </w:p>
    <w:p>
      <w:pPr>
        <w:jc w:val="both"/>
        <w:ind w:left="1640" w:right="679" w:hanging="311"/>
        <w:spacing w:after="0" w:line="251"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Parent Common Stock shall continue to be subject to the restrictions on transfer set forth in this Lock-Up Agreement;</w:t>
      </w:r>
    </w:p>
    <w:p>
      <w:pPr>
        <w:spacing w:after="0" w:line="66" w:lineRule="exact"/>
        <w:rPr>
          <w:rFonts w:ascii="Times New Roman" w:cs="Times New Roman" w:eastAsia="Times New Roman" w:hAnsi="Times New Roman"/>
          <w:sz w:val="13"/>
          <w:szCs w:val="13"/>
          <w:color w:val="auto"/>
        </w:rPr>
      </w:pPr>
    </w:p>
    <w:p>
      <w:pPr>
        <w:ind w:left="1640" w:right="779" w:hanging="311"/>
        <w:spacing w:after="0" w:line="255"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establishment of, or amendment to, a trading plan pursuant to Rule 10b5-1 under the Exchange Act for the transfer of shares of Parent Common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plan does not provide for any transfers of shares of Parent Common Stock during the Restricted Period;</w:t>
      </w:r>
    </w:p>
    <w:p>
      <w:pPr>
        <w:spacing w:after="0" w:line="63" w:lineRule="exact"/>
        <w:rPr>
          <w:rFonts w:ascii="Times New Roman" w:cs="Times New Roman" w:eastAsia="Times New Roman" w:hAnsi="Times New Roman"/>
          <w:sz w:val="13"/>
          <w:szCs w:val="13"/>
          <w:color w:val="auto"/>
        </w:rPr>
      </w:pPr>
    </w:p>
    <w:p>
      <w:pPr>
        <w:ind w:left="1640" w:right="859" w:hanging="311"/>
        <w:spacing w:after="0" w:line="255"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disposition (including a forfeiture or repurchase) to Parent of any shares of Parent Common Stock issued pursuant to a Parent Restricted Stock Award or otherwise granted pursuant to the terms of any employee benefit plan or restricted stock purchase agreement;</w:t>
      </w:r>
    </w:p>
    <w:p>
      <w:pPr>
        <w:spacing w:after="0" w:line="63" w:lineRule="exact"/>
        <w:rPr>
          <w:rFonts w:ascii="Times New Roman" w:cs="Times New Roman" w:eastAsia="Times New Roman" w:hAnsi="Times New Roman"/>
          <w:sz w:val="13"/>
          <w:szCs w:val="13"/>
          <w:color w:val="auto"/>
        </w:rPr>
      </w:pPr>
    </w:p>
    <w:p>
      <w:pPr>
        <w:ind w:left="1640" w:right="1219" w:hanging="311"/>
        <w:spacing w:after="0" w:line="309" w:lineRule="auto"/>
        <w:tabs>
          <w:tab w:leader="none" w:pos="1640"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distributions, sales or other transactions by the undersigned of shares of Parent Common Stock purchased by the undersigned on the open market or in a public offering by Parent, in each case following the date of the Closing;</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29" w:name="page230"/>
    <w:bookmarkEnd w:id="229"/>
    <w:p>
      <w:pPr>
        <w:ind w:left="1640" w:right="679" w:hanging="311"/>
        <w:spacing w:after="0" w:line="251" w:lineRule="auto"/>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transfers pursuant to a bona fide third party tender offer, merger, consolidation or other similar transaction made to all holders of Parent’s capital stock involving a change of control of Parent;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66"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pursuant to an order of a court or regulatory agency; or</w:t>
      </w:r>
    </w:p>
    <w:p>
      <w:pPr>
        <w:spacing w:after="0" w:line="87" w:lineRule="exact"/>
        <w:rPr>
          <w:rFonts w:ascii="Times New Roman" w:cs="Times New Roman" w:eastAsia="Times New Roman" w:hAnsi="Times New Roman"/>
          <w:sz w:val="13"/>
          <w:szCs w:val="13"/>
          <w:color w:val="auto"/>
        </w:rPr>
      </w:pPr>
    </w:p>
    <w:p>
      <w:pPr>
        <w:ind w:left="1640" w:right="719" w:hanging="311"/>
        <w:spacing w:after="0" w:line="267" w:lineRule="auto"/>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by the undersigned of shares of Parent Common Stock issued pursuant to the Merger Agreement in respect of shares of the Company, if any, purchased from the Company on or about the Closing Date but prior to the Closing;</w:t>
      </w:r>
    </w:p>
    <w:p>
      <w:pPr>
        <w:spacing w:after="0" w:line="46" w:lineRule="exact"/>
        <w:rPr>
          <w:sz w:val="20"/>
          <w:szCs w:val="20"/>
          <w:color w:val="auto"/>
        </w:rPr>
      </w:pPr>
    </w:p>
    <w:p>
      <w:pPr>
        <w:ind w:left="1340" w:right="719"/>
        <w:spacing w:after="0" w:line="270" w:lineRule="auto"/>
        <w:rPr>
          <w:sz w:val="20"/>
          <w:szCs w:val="20"/>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spacing w:after="0" w:line="47" w:lineRule="exact"/>
        <w:rPr>
          <w:sz w:val="20"/>
          <w:szCs w:val="20"/>
          <w:color w:val="auto"/>
        </w:rPr>
      </w:pPr>
    </w:p>
    <w:p>
      <w:pPr>
        <w:ind w:left="1340" w:right="679"/>
        <w:spacing w:after="0" w:line="251" w:lineRule="auto"/>
        <w:rPr>
          <w:sz w:val="20"/>
          <w:szCs w:val="20"/>
          <w:color w:val="auto"/>
        </w:rPr>
      </w:pPr>
      <w:r>
        <w:rPr>
          <w:rFonts w:ascii="Times New Roman" w:cs="Times New Roman" w:eastAsia="Times New Roman" w:hAnsi="Times New Roman"/>
          <w:sz w:val="13"/>
          <w:szCs w:val="13"/>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spacing w:after="0" w:line="66" w:lineRule="exact"/>
        <w:rPr>
          <w:sz w:val="20"/>
          <w:szCs w:val="20"/>
          <w:color w:val="auto"/>
        </w:rPr>
      </w:pPr>
    </w:p>
    <w:p>
      <w:pPr>
        <w:ind w:left="1320" w:right="659" w:hanging="379"/>
        <w:spacing w:after="0" w:line="246" w:lineRule="auto"/>
        <w:tabs>
          <w:tab w:leader="none" w:pos="13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p>
      <w:pPr>
        <w:spacing w:after="0" w:line="63" w:lineRule="exact"/>
        <w:rPr>
          <w:sz w:val="20"/>
          <w:szCs w:val="20"/>
          <w:color w:val="auto"/>
        </w:rPr>
      </w:pPr>
    </w:p>
    <w:p>
      <w:pPr>
        <w:ind w:left="1640" w:right="779"/>
        <w:spacing w:after="0" w:line="255" w:lineRule="auto"/>
        <w:rPr>
          <w:sz w:val="20"/>
          <w:szCs w:val="20"/>
          <w:color w:val="auto"/>
        </w:rPr>
      </w:pPr>
      <w:r>
        <w:rPr>
          <w:rFonts w:ascii="Times New Roman" w:cs="Times New Roman" w:eastAsia="Times New Roman" w:hAnsi="Times New Roman"/>
          <w:sz w:val="13"/>
          <w:szCs w:val="13"/>
          <w:color w:val="auto"/>
        </w:rPr>
        <w:t>THE SHARES REPRESENTED BY THIS CERTIFICATE ARE SUBJECT TO AND MAY ONLY BE TRANSFERRED IN COMPLIANCE WITH A LOCK-UP AGREEMENT, A COPY OF WHICH IS ON FILE AT THE PRINCIPAL OFFICE OF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30" w:name="page231"/>
    <w:bookmarkEnd w:id="230"/>
    <w:p>
      <w:pPr>
        <w:ind w:left="1320" w:right="779" w:hanging="379"/>
        <w:spacing w:after="0" w:line="255"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63" w:lineRule="exact"/>
        <w:rPr>
          <w:rFonts w:ascii="Times New Roman" w:cs="Times New Roman" w:eastAsia="Times New Roman" w:hAnsi="Times New Roman"/>
          <w:sz w:val="13"/>
          <w:szCs w:val="13"/>
          <w:color w:val="auto"/>
        </w:rPr>
      </w:pPr>
    </w:p>
    <w:p>
      <w:pPr>
        <w:ind w:left="1320" w:right="819" w:hanging="379"/>
        <w:spacing w:after="0" w:line="251"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w:t>
      </w:r>
    </w:p>
    <w:p>
      <w:pPr>
        <w:spacing w:after="0" w:line="66" w:lineRule="exact"/>
        <w:rPr>
          <w:rFonts w:ascii="Times New Roman" w:cs="Times New Roman" w:eastAsia="Times New Roman" w:hAnsi="Times New Roman"/>
          <w:sz w:val="13"/>
          <w:szCs w:val="13"/>
          <w:color w:val="auto"/>
        </w:rPr>
      </w:pPr>
    </w:p>
    <w:p>
      <w:pPr>
        <w:ind w:left="1320" w:right="659" w:hanging="379"/>
        <w:spacing w:after="0" w:line="245"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74" w:lineRule="exact"/>
        <w:rPr>
          <w:rFonts w:ascii="Times New Roman" w:cs="Times New Roman" w:eastAsia="Times New Roman" w:hAnsi="Times New Roman"/>
          <w:sz w:val="13"/>
          <w:szCs w:val="13"/>
          <w:color w:val="auto"/>
        </w:rPr>
      </w:pPr>
    </w:p>
    <w:p>
      <w:pPr>
        <w:ind w:left="1320" w:right="679" w:hanging="379"/>
        <w:spacing w:after="0" w:line="246"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3"/>
          <w:szCs w:val="13"/>
          <w:u w:val="single" w:color="auto"/>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has been granted by Parent to an equity holder or equity holders to sell or otherwise transfer or dispose of all or a portion of such equity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1" w:name="page232"/>
    <w:bookmarkEnd w:id="231"/>
    <w:p>
      <w:pPr>
        <w:ind w:left="132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p>
      <w:pPr>
        <w:spacing w:after="0" w:line="66" w:lineRule="exact"/>
        <w:rPr>
          <w:sz w:val="20"/>
          <w:szCs w:val="20"/>
          <w:color w:val="auto"/>
        </w:rPr>
      </w:pPr>
    </w:p>
    <w:p>
      <w:pPr>
        <w:ind w:left="1320" w:right="679" w:hanging="379"/>
        <w:spacing w:after="0" w:line="251" w:lineRule="auto"/>
        <w:tabs>
          <w:tab w:leader="none" w:pos="132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p>
      <w:pPr>
        <w:spacing w:after="0" w:line="66" w:lineRule="exact"/>
        <w:rPr>
          <w:rFonts w:ascii="Times New Roman" w:cs="Times New Roman" w:eastAsia="Times New Roman" w:hAnsi="Times New Roman"/>
          <w:sz w:val="13"/>
          <w:szCs w:val="13"/>
          <w:color w:val="auto"/>
        </w:rPr>
      </w:pPr>
    </w:p>
    <w:p>
      <w:pPr>
        <w:ind w:left="1320" w:right="1459" w:hanging="379"/>
        <w:spacing w:after="0" w:line="267" w:lineRule="auto"/>
        <w:tabs>
          <w:tab w:leader="none" w:pos="132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understands that this Lock-Up Agreement is irrevocable and is binding upon the undersigned’s heirs, legal representatives, successors and assigns.</w:t>
      </w:r>
    </w:p>
    <w:p>
      <w:pPr>
        <w:spacing w:after="0" w:line="55"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w:t>
      </w:r>
    </w:p>
    <w:p>
      <w:pPr>
        <w:spacing w:after="0" w:line="1" w:lineRule="exact"/>
        <w:rPr>
          <w:rFonts w:ascii="Times New Roman" w:cs="Times New Roman" w:eastAsia="Times New Roman" w:hAnsi="Times New Roman"/>
          <w:sz w:val="12"/>
          <w:szCs w:val="12"/>
          <w:color w:val="auto"/>
        </w:rPr>
      </w:pPr>
    </w:p>
    <w:p>
      <w:pPr>
        <w:ind w:left="1320" w:right="73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61" w:lineRule="exact"/>
        <w:rPr>
          <w:sz w:val="20"/>
          <w:szCs w:val="20"/>
          <w:color w:val="auto"/>
        </w:rPr>
      </w:pPr>
    </w:p>
    <w:p>
      <w:pPr>
        <w:ind w:left="1340" w:right="939"/>
        <w:spacing w:after="0" w:line="255" w:lineRule="auto"/>
        <w:rPr>
          <w:sz w:val="20"/>
          <w:szCs w:val="20"/>
          <w:color w:val="auto"/>
        </w:rPr>
      </w:pPr>
      <w:r>
        <w:rPr>
          <w:rFonts w:ascii="Times New Roman" w:cs="Times New Roman" w:eastAsia="Times New Roman" w:hAnsi="Times New Roman"/>
          <w:sz w:val="13"/>
          <w:szCs w:val="13"/>
          <w:color w:val="auto"/>
        </w:rPr>
        <w:t>THE PARTIES HERETO HEREBY WAIVE ANY RIGHT TO TRIAL BY JURY WITH RESPECT TO ANY ACTION OR LEGAL PROCEEDING RELATED TO OR ARISING OUT OF THIS LOCK-UP AGREEMENT, ANY DOCUMENT EXECUTED IN CONNECTION HEREWITH AND THE MATTERS CONTEMPLATED HEREBY AND THEREBY.</w:t>
      </w:r>
    </w:p>
    <w:p>
      <w:pPr>
        <w:spacing w:after="0" w:line="64" w:lineRule="exact"/>
        <w:rPr>
          <w:sz w:val="20"/>
          <w:szCs w:val="20"/>
          <w:color w:val="auto"/>
        </w:rPr>
      </w:pPr>
    </w:p>
    <w:p>
      <w:pPr>
        <w:ind w:left="1320" w:right="679" w:hanging="379"/>
        <w:spacing w:after="0" w:line="249" w:lineRule="auto"/>
        <w:tabs>
          <w:tab w:leader="none" w:pos="132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32" w:name="page233"/>
    <w:bookmarkEnd w:id="232"/>
    <w:p>
      <w:pPr>
        <w:ind w:left="1320" w:right="659" w:hanging="379"/>
        <w:spacing w:after="0" w:line="251" w:lineRule="auto"/>
        <w:tabs>
          <w:tab w:leader="none" w:pos="132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3" w:name="page234"/>
    <w:bookmarkEnd w:id="233"/>
    <w:p>
      <w:pPr>
        <w:ind w:left="52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Very truly yours,</w:t>
      </w:r>
    </w:p>
    <w:p>
      <w:pPr>
        <w:spacing w:after="0" w:line="154"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3"/>
          <w:szCs w:val="13"/>
          <w:color w:val="auto"/>
        </w:rPr>
        <w:t>Print Name of Stockholder: [NAME]</w:t>
      </w:r>
    </w:p>
    <w:p>
      <w:pPr>
        <w:spacing w:after="0" w:line="3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9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Lock-Up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31" w:right="1440" w:bottom="1440" w:gutter="0" w:footer="0" w:header="0"/>
        </w:sectPr>
      </w:pPr>
    </w:p>
    <w:bookmarkStart w:id="234" w:name="page235"/>
    <w:bookmarkEnd w:id="23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Accepted and Agreed by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Lock-Up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9" w:right="1440" w:bottom="1440" w:gutter="0" w:footer="0" w:header="0"/>
        </w:sectPr>
      </w:pPr>
    </w:p>
    <w:bookmarkStart w:id="235" w:name="page236"/>
    <w:bookmarkEnd w:id="23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10.6</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CONTINGENT VALUE RIGHTS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[__], 2026, is entered into by and between Cyclerion Therapeutics, Inc., a Massachusetts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[__], a [__], as the “Rights Agent” (as defined herein), and [__], a [__], solely in its capacity as the initial representative, agent and attorney in fact of the Holders (the “</w:t>
      </w:r>
      <w:r>
        <w:rPr>
          <w:rFonts w:ascii="Times New Roman" w:cs="Times New Roman" w:eastAsia="Times New Roman" w:hAnsi="Times New Roman"/>
          <w:sz w:val="13"/>
          <w:szCs w:val="13"/>
          <w:b w:val="1"/>
          <w:bCs w:val="1"/>
          <w:color w:val="auto"/>
        </w:rPr>
        <w:t>Representative</w:t>
      </w:r>
      <w:r>
        <w:rPr>
          <w:rFonts w:ascii="Times New Roman" w:cs="Times New Roman" w:eastAsia="Times New Roman" w:hAnsi="Times New Roman"/>
          <w:sz w:val="13"/>
          <w:szCs w:val="13"/>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Cariboos Merger Sub Corp., a Delaware corporation and wholly-owned subsidiary of the Company (“</w:t>
      </w:r>
      <w:r>
        <w:rPr>
          <w:rFonts w:ascii="Times New Roman" w:cs="Times New Roman" w:eastAsia="Times New Roman" w:hAnsi="Times New Roman"/>
          <w:sz w:val="13"/>
          <w:szCs w:val="13"/>
          <w:b w:val="1"/>
          <w:bCs w:val="1"/>
          <w:color w:val="auto"/>
        </w:rPr>
        <w:t>First Merger Sub</w:t>
      </w:r>
      <w:r>
        <w:rPr>
          <w:rFonts w:ascii="Times New Roman" w:cs="Times New Roman" w:eastAsia="Times New Roman" w:hAnsi="Times New Roman"/>
          <w:sz w:val="13"/>
          <w:szCs w:val="13"/>
          <w:color w:val="auto"/>
        </w:rPr>
        <w:t>”), Cariboos Merger Sub II, LLC, a Delaware limited liability company and wholly-owned subsidiary of the Company (“</w:t>
      </w:r>
      <w:r>
        <w:rPr>
          <w:rFonts w:ascii="Times New Roman" w:cs="Times New Roman" w:eastAsia="Times New Roman" w:hAnsi="Times New Roman"/>
          <w:sz w:val="13"/>
          <w:szCs w:val="13"/>
          <w:b w:val="1"/>
          <w:bCs w:val="1"/>
          <w:color w:val="auto"/>
        </w:rPr>
        <w:t>Second Merger Sub</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Korsana Biosciences, Inc., a Delaware corporation (“</w:t>
      </w:r>
      <w:r>
        <w:rPr>
          <w:rFonts w:ascii="Times New Roman" w:cs="Times New Roman" w:eastAsia="Times New Roman" w:hAnsi="Times New Roman"/>
          <w:sz w:val="13"/>
          <w:szCs w:val="13"/>
          <w:b w:val="1"/>
          <w:bCs w:val="1"/>
          <w:color w:val="auto"/>
        </w:rPr>
        <w:t>Korsana</w:t>
      </w:r>
      <w:r>
        <w:rPr>
          <w:rFonts w:ascii="Times New Roman" w:cs="Times New Roman" w:eastAsia="Times New Roman" w:hAnsi="Times New Roman"/>
          <w:sz w:val="13"/>
          <w:szCs w:val="13"/>
          <w:color w:val="auto"/>
        </w:rPr>
        <w:t>”), have entered into an Agreement and Plan of Merger and Reorganization, dated as of April 1, 2026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w:t>
      </w:r>
    </w:p>
    <w:p>
      <w:pPr>
        <w:spacing w:after="0" w:line="132"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pursuant to the Merger Agreement, and in accordance with the terms and conditions thereof, the Company has agreed to issue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defined herein) contingent value rights as hereinafter described;</w:t>
      </w:r>
    </w:p>
    <w:p>
      <w:pPr>
        <w:spacing w:after="0" w:line="119"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to this Agreement have done all things reasonably necessary to make the contingent value rights, when issued pursuant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Merger Agreement and hereunder, the valid obligations of the Company and to make this Agreement a valid and binding agreement of the Company, in accordance with its terms; and</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initial Holders desire that the Representative act as their agent for the purposes of accomplishing the intent and implementing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provisions of this Agreement and facilitating the consummation of the transactions contemplated hereby and performing the other services described in this Agreement.</w:t>
      </w:r>
    </w:p>
    <w:p>
      <w:pPr>
        <w:spacing w:after="0" w:line="126"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premises and the consummation of the transactions referred to above, it is mutually covenanted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agreed, for the proportionate benefit of all Holders,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1.1 </w:t>
      </w: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color w:val="auto"/>
        </w:rPr>
        <w:t>. Capitalized terms used but not otherwise defined herein have the meanings ascribed thereto in the Merger Agreement.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terms have the meanings ascribed to them as follows:</w:t>
      </w:r>
    </w:p>
    <w:p>
      <w:pPr>
        <w:spacing w:after="0" w:line="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Acting Holders</w:t>
      </w:r>
      <w:r>
        <w:rPr>
          <w:rFonts w:ascii="Times New Roman" w:cs="Times New Roman" w:eastAsia="Times New Roman" w:hAnsi="Times New Roman"/>
          <w:sz w:val="12"/>
          <w:szCs w:val="12"/>
          <w:color w:val="auto"/>
        </w:rPr>
        <w:t>” means, at the time of determination, the Holders of more than 35% of the outstanding CVRs, as reflected on the CVR Register.</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640" w:right="83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Shares</w:t>
      </w:r>
      <w:r>
        <w:rPr>
          <w:rFonts w:ascii="Times New Roman" w:cs="Times New Roman" w:eastAsia="Times New Roman" w:hAnsi="Times New Roman"/>
          <w:sz w:val="12"/>
          <w:szCs w:val="12"/>
          <w:color w:val="auto"/>
        </w:rPr>
        <w:t>” means shares of Parent Common Stock (including, for the avoidance of doubt, those shares of Parent Common Stock with respect to Parent Restricted Stock Awards accelerated pursuant to Section 6.6(e) of the Merger Agreement) and shares of Parent Preferred Stock.</w:t>
      </w:r>
    </w:p>
    <w:p>
      <w:pPr>
        <w:sectPr>
          <w:pgSz w:w="11900" w:h="16838" w:orient="portrait"/>
          <w:cols w:equalWidth="0" w:num="1">
            <w:col w:w="9019"/>
          </w:cols>
          <w:pgMar w:left="1440" w:top="125" w:right="1440" w:bottom="1440" w:gutter="0" w:footer="0" w:header="0"/>
        </w:sectPr>
      </w:pPr>
    </w:p>
    <w:bookmarkStart w:id="236" w:name="page237"/>
    <w:bookmarkEnd w:id="23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means a contingent contractual right of Holders to receive CVR Proceeds pursuant to the Merger Agreement and this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Expense Cap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Amount</w:t>
      </w:r>
      <w:r>
        <w:rPr>
          <w:rFonts w:ascii="Times New Roman" w:cs="Times New Roman" w:eastAsia="Times New Roman" w:hAnsi="Times New Roman"/>
          <w:sz w:val="13"/>
          <w:szCs w:val="13"/>
          <w:color w:val="auto"/>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spacing w:after="0" w:line="130"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Date</w:t>
      </w:r>
      <w:r>
        <w:rPr>
          <w:rFonts w:ascii="Times New Roman" w:cs="Times New Roman" w:eastAsia="Times New Roman" w:hAnsi="Times New Roman"/>
          <w:sz w:val="13"/>
          <w:szCs w:val="13"/>
          <w:color w:val="auto"/>
        </w:rPr>
        <w:t>” means a date that is no later than thirty (30) days following the receipt of the corresponding portion of Gross Proceeds by the Company or any of its Affiliates, pursuant to which CVR Proceeds are payable to Holders.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Proceeds</w:t>
      </w:r>
      <w:r>
        <w:rPr>
          <w:rFonts w:ascii="Times New Roman" w:cs="Times New Roman" w:eastAsia="Times New Roman" w:hAnsi="Times New Roman"/>
          <w:sz w:val="13"/>
          <w:szCs w:val="13"/>
          <w:color w:val="auto"/>
        </w:rPr>
        <w:t>” means, without duplication, 100% of the Net Proceeds in the case of any Legacy Assets Transaction.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“CVR Register</w:t>
      </w:r>
      <w:r>
        <w:rPr>
          <w:rFonts w:ascii="Times New Roman" w:cs="Times New Roman" w:eastAsia="Times New Roman" w:hAnsi="Times New Roman"/>
          <w:sz w:val="13"/>
          <w:szCs w:val="13"/>
          <w:color w:val="auto"/>
        </w:rPr>
        <w:t>” has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Term</w:t>
      </w:r>
      <w:r>
        <w:rPr>
          <w:rFonts w:ascii="Times New Roman" w:cs="Times New Roman" w:eastAsia="Times New Roman" w:hAnsi="Times New Roman"/>
          <w:sz w:val="12"/>
          <w:szCs w:val="12"/>
          <w:color w:val="auto"/>
        </w:rPr>
        <w:t xml:space="preserve">” means the period beginning on the Closing Date and ending upon the second (2nd) anniversary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w:t>
      </w:r>
    </w:p>
    <w:p>
      <w:pPr>
        <w:spacing w:after="0" w:line="29" w:lineRule="exact"/>
        <w:rPr>
          <w:sz w:val="20"/>
          <w:szCs w:val="20"/>
          <w:color w:val="auto"/>
        </w:rPr>
      </w:pPr>
    </w:p>
    <w:p>
      <w:pPr>
        <w:ind w:left="640" w:right="679" w:hanging="3"/>
        <w:spacing w:after="0" w:line="222" w:lineRule="auto"/>
        <w:tabs>
          <w:tab w:leader="none" w:pos="791"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the Legacy Assets Transaction Agreement set forth on </w:t>
      </w:r>
      <w:r>
        <w:rPr>
          <w:rFonts w:ascii="Times New Roman" w:cs="Times New Roman" w:eastAsia="Times New Roman" w:hAnsi="Times New Roman"/>
          <w:sz w:val="13"/>
          <w:szCs w:val="13"/>
          <w:u w:val="single" w:color="auto"/>
          <w:color w:val="auto"/>
        </w:rPr>
        <w:t>Schedule 1.1</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w:t>
      </w:r>
    </w:p>
    <w:p>
      <w:pPr>
        <w:spacing w:after="0" w:line="137"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Gross Proceeds</w:t>
      </w:r>
      <w:r>
        <w:rPr>
          <w:rFonts w:ascii="Times New Roman" w:cs="Times New Roman" w:eastAsia="Times New Roman" w:hAnsi="Times New Roman"/>
          <w:sz w:val="13"/>
          <w:szCs w:val="13"/>
          <w:color w:val="auto"/>
        </w:rPr>
        <w:t>”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means, at the relevant time, a Person in whose name CVRs are registered in the CVR Register.</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w:t>
      </w:r>
      <w:r>
        <w:rPr>
          <w:rFonts w:ascii="Times New Roman" w:cs="Times New Roman" w:eastAsia="Times New Roman" w:hAnsi="Times New Roman"/>
          <w:sz w:val="13"/>
          <w:szCs w:val="13"/>
          <w:color w:val="auto"/>
        </w:rPr>
        <w:t>” means all of the Company’s and the Company’s Subsidiaries’ right, title and interest in and to the tangible and intangible assets of the Company or any of its Subsidiaries as of immediately prior to the Closing Date.</w:t>
      </w:r>
    </w:p>
    <w:p>
      <w:pPr>
        <w:spacing w:after="0" w:line="119"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 Transaction</w:t>
      </w:r>
      <w:r>
        <w:rPr>
          <w:rFonts w:ascii="Times New Roman" w:cs="Times New Roman" w:eastAsia="Times New Roman" w:hAnsi="Times New Roman"/>
          <w:sz w:val="13"/>
          <w:szCs w:val="13"/>
          <w:color w:val="auto"/>
        </w:rPr>
        <w:t>”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w:t>
      </w:r>
    </w:p>
    <w:p>
      <w:pPr>
        <w:spacing w:after="0" w:line="12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 Transaction Agreement</w:t>
      </w:r>
      <w:r>
        <w:rPr>
          <w:rFonts w:ascii="Times New Roman" w:cs="Times New Roman" w:eastAsia="Times New Roman" w:hAnsi="Times New Roman"/>
          <w:sz w:val="13"/>
          <w:szCs w:val="13"/>
          <w:color w:val="auto"/>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1.2</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hereto or entered into during the Legacy Assets Transaction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50800</wp:posOffset>
            </wp:positionV>
            <wp:extent cx="54165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1" w:lineRule="exact"/>
        <w:rPr>
          <w:sz w:val="20"/>
          <w:szCs w:val="20"/>
          <w:color w:val="auto"/>
        </w:rPr>
      </w:pPr>
    </w:p>
    <w:p>
      <w:pPr>
        <w:ind w:left="940" w:hanging="303"/>
        <w:spacing w:after="0"/>
        <w:tabs>
          <w:tab w:leader="none" w:pos="940" w:val="left"/>
        </w:tabs>
        <w:numPr>
          <w:ilvl w:val="0"/>
          <w:numId w:val="2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color w:val="auto"/>
        </w:rPr>
        <w:t>Note to Draft</w:t>
      </w:r>
      <w:r>
        <w:rPr>
          <w:rFonts w:ascii="Times New Roman" w:cs="Times New Roman" w:eastAsia="Times New Roman" w:hAnsi="Times New Roman"/>
          <w:sz w:val="13"/>
          <w:szCs w:val="13"/>
          <w:color w:val="auto"/>
        </w:rPr>
        <w:t>: Schedule to list the Akebia License Agreement.</w:t>
      </w:r>
    </w:p>
    <w:p>
      <w:pPr>
        <w:spacing w:after="0" w:line="1" w:lineRule="exact"/>
        <w:rPr>
          <w:sz w:val="20"/>
          <w:szCs w:val="20"/>
          <w:color w:val="auto"/>
        </w:rPr>
      </w:pPr>
    </w:p>
    <w:p>
      <w:pPr>
        <w:jc w:val="center"/>
        <w:ind w:left="4480" w:right="1259" w:hanging="3843"/>
        <w:spacing w:after="0" w:line="302" w:lineRule="auto"/>
        <w:tabs>
          <w:tab w:leader="none" w:pos="948" w:val="left"/>
        </w:tabs>
        <w:numPr>
          <w:ilvl w:val="0"/>
          <w:numId w:val="2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color w:val="auto"/>
        </w:rPr>
        <w:t>Note to Draft</w:t>
      </w:r>
      <w:r>
        <w:rPr>
          <w:rFonts w:ascii="Times New Roman" w:cs="Times New Roman" w:eastAsia="Times New Roman" w:hAnsi="Times New Roman"/>
          <w:sz w:val="13"/>
          <w:szCs w:val="13"/>
          <w:color w:val="auto"/>
        </w:rPr>
        <w:t>: Schedule to list the Akebia License Agreement and any Parent Legacy Transaction entered into prior to Closing, if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37" w:name="page238"/>
    <w:bookmarkEnd w:id="237"/>
    <w:p>
      <w:pPr>
        <w:ind w:left="640" w:right="719" w:firstLine="309"/>
        <w:spacing w:after="0" w:line="28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Legacy Assets Transaction Period</w:t>
      </w:r>
      <w:r>
        <w:rPr>
          <w:rFonts w:ascii="Times New Roman" w:cs="Times New Roman" w:eastAsia="Times New Roman" w:hAnsi="Times New Roman"/>
          <w:sz w:val="12"/>
          <w:szCs w:val="12"/>
          <w:color w:val="auto"/>
        </w:rPr>
        <w:t>”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Loss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Officer’s Certificate</w:t>
      </w:r>
      <w:r>
        <w:rPr>
          <w:rFonts w:ascii="Times New Roman" w:cs="Times New Roman" w:eastAsia="Times New Roman" w:hAnsi="Times New Roman"/>
          <w:sz w:val="13"/>
          <w:szCs w:val="13"/>
          <w:color w:val="auto"/>
        </w:rPr>
        <w:t>” means a certificate signed by the chief executive officer and the chief financial officer of the Company, in their respective official capacities.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means the Company or the Rights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Deductions</w:t>
      </w:r>
      <w:r>
        <w:rPr>
          <w:rFonts w:ascii="Times New Roman" w:cs="Times New Roman" w:eastAsia="Times New Roman" w:hAnsi="Times New Roman"/>
          <w:sz w:val="13"/>
          <w:szCs w:val="13"/>
          <w:color w:val="auto"/>
        </w:rPr>
        <w:t>” means the sum of:</w:t>
      </w:r>
    </w:p>
    <w:p>
      <w:pPr>
        <w:spacing w:after="0" w:line="80" w:lineRule="exact"/>
        <w:rPr>
          <w:sz w:val="20"/>
          <w:szCs w:val="20"/>
          <w:color w:val="auto"/>
        </w:rPr>
      </w:pPr>
    </w:p>
    <w:p>
      <w:pPr>
        <w:ind w:left="640" w:right="699" w:firstLine="307"/>
        <w:spacing w:after="0" w:line="246" w:lineRule="auto"/>
        <w:tabs>
          <w:tab w:leader="none" w:pos="1121"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spacing w:after="0" w:line="135"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8"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21"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38" w:name="page239"/>
    <w:bookmarkEnd w:id="238"/>
    <w:p>
      <w:pPr>
        <w:ind w:left="640" w:right="859" w:firstLine="307"/>
        <w:spacing w:after="0" w:line="255"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spacing w:after="0" w:line="130" w:lineRule="exact"/>
        <w:rPr>
          <w:rFonts w:ascii="Times New Roman" w:cs="Times New Roman" w:eastAsia="Times New Roman" w:hAnsi="Times New Roman"/>
          <w:sz w:val="13"/>
          <w:szCs w:val="13"/>
          <w:color w:val="auto"/>
        </w:rPr>
      </w:pPr>
    </w:p>
    <w:p>
      <w:pPr>
        <w:ind w:left="640" w:right="1039" w:firstLine="307"/>
        <w:spacing w:after="0" w:line="267" w:lineRule="auto"/>
        <w:tabs>
          <w:tab w:leader="none" w:pos="1121"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proceeds in consideration for a Legacy Assets Transaction pursuant to a Legacy Assets Transaction Agreement included in the final determination of the Parent Net Cash in accordance with the Merger Agreement;</w:t>
      </w:r>
    </w:p>
    <w:p>
      <w:pPr>
        <w:spacing w:after="0" w:line="122"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royalties or other amounts payable by the Company or any of its Affiliates to any third party in connection with any Legacy Assets;</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borne by the Company or any of its Affiliates pursuant to Contracts related to Legacy Assets, including costs arising from the termination thereof (in each case, only to the extent not included in the calculation of Parent Net Cash); and</w:t>
      </w:r>
    </w:p>
    <w:p>
      <w:pPr>
        <w:spacing w:after="0" w:line="122"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existing or incurred during the CVR Term that would have been required to be included in the calculation of the Parent Net Cash to the extent not taken account in the calculation of the Parent Net Cash in accordance with the Merger Agreement.</w:t>
      </w:r>
    </w:p>
    <w:p>
      <w:pPr>
        <w:spacing w:after="0" w:line="120" w:lineRule="exact"/>
        <w:rPr>
          <w:sz w:val="20"/>
          <w:szCs w:val="20"/>
          <w:color w:val="auto"/>
        </w:rPr>
      </w:pPr>
    </w:p>
    <w:p>
      <w:pPr>
        <w:ind w:left="640" w:right="7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w:t>
      </w:r>
      <w:r>
        <w:rPr>
          <w:rFonts w:ascii="Times New Roman" w:cs="Times New Roman" w:eastAsia="Times New Roman" w:hAnsi="Times New Roman"/>
          <w:sz w:val="12"/>
          <w:szCs w:val="12"/>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640" w:right="9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95"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Sale of Tisento</w:t>
      </w:r>
      <w:r>
        <w:rPr>
          <w:rFonts w:ascii="Times New Roman" w:cs="Times New Roman" w:eastAsia="Times New Roman" w:hAnsi="Times New Roman"/>
          <w:sz w:val="12"/>
          <w:szCs w:val="12"/>
          <w:color w:val="auto"/>
        </w:rPr>
        <w:t>”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Tisento</w:t>
      </w:r>
      <w:r>
        <w:rPr>
          <w:rFonts w:ascii="Times New Roman" w:cs="Times New Roman" w:eastAsia="Times New Roman" w:hAnsi="Times New Roman"/>
          <w:sz w:val="13"/>
          <w:szCs w:val="13"/>
          <w:color w:val="auto"/>
        </w:rPr>
        <w:t>” means Tisento Therapeutics Holdings Inc.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Tisento Shares</w:t>
      </w:r>
      <w:r>
        <w:rPr>
          <w:rFonts w:ascii="Times New Roman" w:cs="Times New Roman" w:eastAsia="Times New Roman" w:hAnsi="Times New Roman"/>
          <w:sz w:val="13"/>
          <w:szCs w:val="13"/>
          <w:color w:val="auto"/>
        </w:rPr>
        <w:t>” means the equity interests of Tisento owned by the Company.</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CONTINGENT VALUE RIGHTS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2.1 </w:t>
      </w:r>
      <w:r>
        <w:rPr>
          <w:rFonts w:ascii="Times New Roman" w:cs="Times New Roman" w:eastAsia="Times New Roman" w:hAnsi="Times New Roman"/>
          <w:sz w:val="13"/>
          <w:szCs w:val="13"/>
          <w:b w:val="1"/>
          <w:bCs w:val="1"/>
          <w:u w:val="single" w:color="auto"/>
          <w:color w:val="auto"/>
        </w:rPr>
        <w:t>Holders of CVRs; Appointment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307"/>
        <w:spacing w:after="0" w:line="255" w:lineRule="auto"/>
        <w:tabs>
          <w:tab w:leader="none" w:pos="1121"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39" w:name="page240"/>
    <w:bookmarkEnd w:id="239"/>
    <w:p>
      <w:pPr>
        <w:ind w:left="640" w:right="759" w:firstLine="307"/>
        <w:spacing w:after="0" w:line="267" w:lineRule="auto"/>
        <w:tabs>
          <w:tab w:leader="none" w:pos="1128"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hereby appoints the Rights Agent to act as Rights Agent for the Company in accordance with the express terms and conditions set forth in this Agreement, and the Rights Agent hereby accepts such appointment.</w:t>
      </w:r>
    </w:p>
    <w:p>
      <w:pPr>
        <w:spacing w:after="0" w:line="120" w:lineRule="exact"/>
        <w:rPr>
          <w:sz w:val="20"/>
          <w:szCs w:val="20"/>
          <w:color w:val="auto"/>
        </w:rPr>
      </w:pPr>
    </w:p>
    <w:p>
      <w:pPr>
        <w:ind w:left="640" w:right="7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Section 2.2 </w:t>
      </w:r>
      <w:r>
        <w:rPr>
          <w:rFonts w:ascii="Times New Roman" w:cs="Times New Roman" w:eastAsia="Times New Roman" w:hAnsi="Times New Roman"/>
          <w:sz w:val="13"/>
          <w:szCs w:val="13"/>
          <w:b w:val="1"/>
          <w:bCs w:val="1"/>
          <w:u w:val="single" w:color="auto"/>
          <w:color w:val="auto"/>
        </w:rPr>
        <w:t>Non-transferable</w:t>
      </w:r>
      <w:r>
        <w:rPr>
          <w:rFonts w:ascii="Times New Roman" w:cs="Times New Roman" w:eastAsia="Times New Roman" w:hAnsi="Times New Roman"/>
          <w:sz w:val="13"/>
          <w:szCs w:val="13"/>
          <w:color w:val="auto"/>
        </w:rPr>
        <w:t>. The CVRs may not be sold, assigned, transferred, pledged, encumbered or in any other manner transferred or disposed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shall be void ab initio and of no effect.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2.3 </w:t>
      </w:r>
      <w:r>
        <w:rPr>
          <w:rFonts w:ascii="Times New Roman" w:cs="Times New Roman" w:eastAsia="Times New Roman" w:hAnsi="Times New Roman"/>
          <w:sz w:val="13"/>
          <w:szCs w:val="13"/>
          <w:b w:val="1"/>
          <w:bCs w:val="1"/>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1120" w:hanging="173"/>
        <w:spacing w:after="0"/>
        <w:tabs>
          <w:tab w:leader="none" w:pos="1120" w:val="left"/>
        </w:tabs>
        <w:numPr>
          <w:ilvl w:val="0"/>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be issued in book-entry form only and will not be evidenced by a certificate or other instrument.</w:t>
      </w:r>
    </w:p>
    <w:p>
      <w:pPr>
        <w:spacing w:after="0" w:line="151" w:lineRule="exact"/>
        <w:rPr>
          <w:rFonts w:ascii="Times New Roman" w:cs="Times New Roman" w:eastAsia="Times New Roman" w:hAnsi="Times New Roman"/>
          <w:sz w:val="13"/>
          <w:szCs w:val="13"/>
          <w:color w:val="auto"/>
        </w:rPr>
      </w:pPr>
    </w:p>
    <w:p>
      <w:pPr>
        <w:ind w:left="640" w:right="699" w:firstLine="307"/>
        <w:spacing w:after="0" w:line="272" w:lineRule="auto"/>
        <w:tabs>
          <w:tab w:leader="none" w:pos="11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create and maintain a register (the “</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w:t>
      </w:r>
    </w:p>
    <w:p>
      <w:pPr>
        <w:spacing w:after="0" w:line="120" w:lineRule="exact"/>
        <w:rPr>
          <w:rFonts w:ascii="Times New Roman" w:cs="Times New Roman" w:eastAsia="Times New Roman" w:hAnsi="Times New Roman"/>
          <w:sz w:val="12"/>
          <w:szCs w:val="12"/>
          <w:color w:val="auto"/>
        </w:rPr>
      </w:pPr>
    </w:p>
    <w:p>
      <w:pPr>
        <w:ind w:left="640" w:right="699" w:firstLine="307"/>
        <w:spacing w:after="0" w:line="267" w:lineRule="auto"/>
        <w:tabs>
          <w:tab w:leader="none" w:pos="1121"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restrictions on transferability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spacing w:after="0" w:line="127" w:lineRule="exact"/>
        <w:rPr>
          <w:rFonts w:ascii="Times New Roman" w:cs="Times New Roman" w:eastAsia="Times New Roman" w:hAnsi="Times New Roman"/>
          <w:sz w:val="12"/>
          <w:szCs w:val="12"/>
          <w:color w:val="auto"/>
        </w:rPr>
      </w:pPr>
    </w:p>
    <w:p>
      <w:pPr>
        <w:ind w:left="640" w:right="719" w:firstLine="307"/>
        <w:spacing w:after="0" w:line="272" w:lineRule="auto"/>
        <w:tabs>
          <w:tab w:leader="none" w:pos="11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40" w:name="page241"/>
    <w:bookmarkEnd w:id="240"/>
    <w:p>
      <w:pPr>
        <w:ind w:left="640" w:right="899" w:firstLine="307"/>
        <w:spacing w:after="0" w:line="251" w:lineRule="auto"/>
        <w:tabs>
          <w:tab w:leader="none" w:pos="1121"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will provide written instructions to the Rights Agent for the distribution of CVRs to holders of Company Shares as of immediately prior to the Effective Time (the “</w:t>
      </w:r>
      <w:r>
        <w:rPr>
          <w:rFonts w:ascii="Times New Roman" w:cs="Times New Roman" w:eastAsia="Times New Roman" w:hAnsi="Times New Roman"/>
          <w:sz w:val="13"/>
          <w:szCs w:val="13"/>
          <w:b w:val="1"/>
          <w:bCs w:val="1"/>
          <w:color w:val="auto"/>
        </w:rPr>
        <w:t>Record Time</w:t>
      </w:r>
      <w:r>
        <w:rPr>
          <w:rFonts w:ascii="Times New Roman" w:cs="Times New Roman" w:eastAsia="Times New Roman" w:hAnsi="Times New Roman"/>
          <w:sz w:val="13"/>
          <w:szCs w:val="13"/>
          <w:color w:val="auto"/>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2.4 </w:t>
      </w:r>
      <w:r>
        <w:rPr>
          <w:rFonts w:ascii="Times New Roman" w:cs="Times New Roman" w:eastAsia="Times New Roman" w:hAnsi="Times New Roman"/>
          <w:sz w:val="13"/>
          <w:szCs w:val="13"/>
          <w:b w:val="1"/>
          <w:bCs w:val="1"/>
          <w:u w:val="single" w:color="auto"/>
          <w:color w:val="auto"/>
        </w:rPr>
        <w:t>Payment Procedures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99" w:firstLine="307"/>
        <w:spacing w:after="0" w:line="255" w:lineRule="auto"/>
        <w:tabs>
          <w:tab w:leader="none" w:pos="1121"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4"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or prior to each CVR Payment Date and 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Payment Notice</w:t>
      </w:r>
      <w:r>
        <w:rPr>
          <w:rFonts w:ascii="Times New Roman" w:cs="Times New Roman" w:eastAsia="Times New Roman" w:hAnsi="Times New Roman"/>
          <w:sz w:val="13"/>
          <w:szCs w:val="13"/>
          <w:color w:val="auto"/>
        </w:rPr>
        <w:t>”), (ii) a letter of instruction setting forth, for each CVR, the CVR Payment Amount with respect thereto (including each component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included in the calculation thereof) and (iii) any other letter of instruction reasonably required by the Rights Agent. On or prior to any CVR Payment Date and 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the Company shall deliver to the Rights Agent the CVR Payment Amounts required by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the satisfaction of each of the Company’s obligations set forth in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xml:space="preserve"> herein. The Rights Agent shall have no responsibility or liability for any diminution of funds that may result from any deposit made by the Rights Agent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41" w:name="page242"/>
    <w:bookmarkEnd w:id="241"/>
    <w:p>
      <w:pPr>
        <w:ind w:left="640" w:right="699" w:firstLine="307"/>
        <w:spacing w:after="0" w:line="247"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spacing w:after="0" w:line="136"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28"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2.5 </w:t>
      </w:r>
      <w:r>
        <w:rPr>
          <w:rFonts w:ascii="Times New Roman" w:cs="Times New Roman" w:eastAsia="Times New Roman" w:hAnsi="Times New Roman"/>
          <w:sz w:val="13"/>
          <w:szCs w:val="13"/>
          <w:b w:val="1"/>
          <w:bCs w:val="1"/>
          <w:u w:val="single" w:color="auto"/>
          <w:color w:val="auto"/>
        </w:rPr>
        <w:t>No Voting, Dividends or Interest; No Equity or Ownership Interest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59" w:firstLine="307"/>
        <w:spacing w:after="0" w:line="267" w:lineRule="auto"/>
        <w:tabs>
          <w:tab w:leader="none" w:pos="1121"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have any voting or dividend rights, and interest will not accrue on any amounts payable in respect of CVRs to any Holder.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represent any equity or ownership interest in the Company or in any constituent company to the Merger. It is hereby acknowledged and agreed that a CVR shall not constitute a security of the Company.</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1"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8"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42" w:name="page243"/>
    <w:bookmarkEnd w:id="242"/>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3"/>
          <w:szCs w:val="13"/>
          <w:u w:val="single" w:color="auto"/>
          <w:color w:val="auto"/>
        </w:rPr>
        <w:t>Section 2.5(d)</w:t>
      </w:r>
      <w:r>
        <w:rPr>
          <w:rFonts w:ascii="Times New Roman" w:cs="Times New Roman" w:eastAsia="Times New Roman" w:hAnsi="Times New Roman"/>
          <w:sz w:val="13"/>
          <w:szCs w:val="13"/>
          <w:color w:val="auto"/>
        </w:rPr>
        <w:t xml:space="preserve"> is an essential and material term of this Agreement and that in no event shall the Company, its board of directors or its officers and Affiliates be deemed to have any fiduciary or similar duties to any Holder by virtue of this Agreement.</w:t>
      </w:r>
    </w:p>
    <w:p>
      <w:pPr>
        <w:spacing w:after="0" w:line="132"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2.6 </w:t>
      </w:r>
      <w:r>
        <w:rPr>
          <w:rFonts w:ascii="Times New Roman" w:cs="Times New Roman" w:eastAsia="Times New Roman" w:hAnsi="Times New Roman"/>
          <w:sz w:val="13"/>
          <w:szCs w:val="13"/>
          <w:b w:val="1"/>
          <w:bCs w:val="1"/>
          <w:u w:val="single" w:color="auto"/>
          <w:color w:val="auto"/>
        </w:rPr>
        <w:t>Ability to Abandon CVR</w:t>
      </w:r>
      <w:r>
        <w:rPr>
          <w:rFonts w:ascii="Times New Roman" w:cs="Times New Roman" w:eastAsia="Times New Roman" w:hAnsi="Times New Roman"/>
          <w:sz w:val="13"/>
          <w:szCs w:val="13"/>
          <w:color w:val="auto"/>
        </w:rPr>
        <w:t>. A Holder may at any time, at such Holder’s option, abandon all of such Holder’s remaining rights represented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2.7 </w:t>
      </w:r>
      <w:r>
        <w:rPr>
          <w:rFonts w:ascii="Times New Roman" w:cs="Times New Roman" w:eastAsia="Times New Roman" w:hAnsi="Times New Roman"/>
          <w:sz w:val="13"/>
          <w:szCs w:val="13"/>
          <w:b w:val="1"/>
          <w:bCs w:val="1"/>
          <w:u w:val="single" w:color="auto"/>
          <w:color w:val="auto"/>
        </w:rPr>
        <w:t>Tax Matters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7"/>
        <w:spacing w:after="0" w:line="246" w:lineRule="auto"/>
        <w:tabs>
          <w:tab w:leader="none" w:pos="1121"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44" w:lineRule="auto"/>
        <w:tabs>
          <w:tab w:leader="none" w:pos="1128"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the Rights Agent will (and the Company shall instruct the Rights Agent to) provide the opportunity for the Holders to provide properly completed and duly executed Internal Revenue Service Forms W-9 or applicable Form W-8, as applicable, or any other reasonably appropriate 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ARTICLE 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RIGHTS AGENT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3.1 </w:t>
      </w:r>
      <w:r>
        <w:rPr>
          <w:rFonts w:ascii="Times New Roman" w:cs="Times New Roman" w:eastAsia="Times New Roman" w:hAnsi="Times New Roman"/>
          <w:sz w:val="13"/>
          <w:szCs w:val="13"/>
          <w:b w:val="1"/>
          <w:bCs w:val="1"/>
          <w:u w:val="single" w:color="auto"/>
          <w:color w:val="auto"/>
        </w:rPr>
        <w:t>Certain Duties and Responsibilities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46" w:lineRule="auto"/>
        <w:tabs>
          <w:tab w:leader="none" w:pos="1121"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8"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3.2 </w:t>
      </w:r>
      <w:r>
        <w:rPr>
          <w:rFonts w:ascii="Times New Roman" w:cs="Times New Roman" w:eastAsia="Times New Roman" w:hAnsi="Times New Roman"/>
          <w:sz w:val="13"/>
          <w:szCs w:val="13"/>
          <w:b w:val="1"/>
          <w:bCs w:val="1"/>
          <w:u w:val="single" w:color="auto"/>
          <w:color w:val="auto"/>
        </w:rPr>
        <w:t>Certain Rights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59" w:firstLine="307"/>
        <w:spacing w:after="0" w:line="267" w:lineRule="auto"/>
        <w:tabs>
          <w:tab w:leader="none" w:pos="11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22"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cs="Times New Roman" w:eastAsia="Times New Roman" w:hAnsi="Times New Roman"/>
          <w:sz w:val="13"/>
          <w:szCs w:val="13"/>
          <w:u w:val="single" w:color="auto"/>
          <w:color w:val="auto"/>
        </w:rPr>
        <w:t>Section 2.3(d)</w:t>
      </w:r>
      <w:r>
        <w:rPr>
          <w:rFonts w:ascii="Times New Roman" w:cs="Times New Roman" w:eastAsia="Times New Roman" w:hAnsi="Times New Roman"/>
          <w:sz w:val="13"/>
          <w:szCs w:val="13"/>
          <w:color w:val="auto"/>
        </w:rPr>
        <w:t>, the Representative.</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2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44" w:name="page245"/>
    <w:bookmarkEnd w:id="244"/>
    <w:p>
      <w:pPr>
        <w:ind w:left="1120" w:hanging="173"/>
        <w:spacing w:after="0"/>
        <w:tabs>
          <w:tab w:leader="none" w:pos="112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permissive rights of the Rights Agent hereunder will not be construed as a duty.</w:t>
      </w:r>
    </w:p>
    <w:p>
      <w:pPr>
        <w:spacing w:after="0" w:line="153"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will not be required to give any note or surety in respect of the execution of its powers or otherwise under this Agreement.</w:t>
      </w:r>
    </w:p>
    <w:p>
      <w:pPr>
        <w:spacing w:after="0" w:line="165" w:lineRule="exact"/>
        <w:rPr>
          <w:rFonts w:ascii="Times New Roman" w:cs="Times New Roman" w:eastAsia="Times New Roman" w:hAnsi="Times New Roman"/>
          <w:sz w:val="12"/>
          <w:szCs w:val="12"/>
          <w:color w:val="auto"/>
        </w:rPr>
      </w:pPr>
    </w:p>
    <w:p>
      <w:pPr>
        <w:ind w:left="640" w:right="699" w:firstLine="307"/>
        <w:spacing w:after="0" w:line="270"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shall not apply with respect to income, receipt, franchise or similar Taxes levied against the Rights Agent by a Governmental Authority.</w:t>
      </w:r>
    </w:p>
    <w:p>
      <w:pPr>
        <w:spacing w:after="0" w:line="122"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(i) to pay the fees of the Rights Agent in connection with the Rights Agent’s performance of its obligations hereunder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w:t>
      </w:r>
    </w:p>
    <w:p>
      <w:pPr>
        <w:spacing w:after="0" w:line="124" w:lineRule="exact"/>
        <w:rPr>
          <w:rFonts w:ascii="Times New Roman" w:cs="Times New Roman" w:eastAsia="Times New Roman" w:hAnsi="Times New Roman"/>
          <w:sz w:val="12"/>
          <w:szCs w:val="12"/>
          <w:color w:val="auto"/>
        </w:rPr>
      </w:pPr>
    </w:p>
    <w:p>
      <w:pPr>
        <w:ind w:left="640" w:right="799" w:firstLine="307"/>
        <w:spacing w:after="0" w:line="255"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have no responsibility to the Company, any holders of CVRs, any holders of Company Shares or any other Person for interest or earnings on any moneys held by the Rights Agent pursuant to this Agreement.</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w:t>
      </w:r>
    </w:p>
    <w:p>
      <w:pPr>
        <w:spacing w:after="0" w:line="113" w:lineRule="exact"/>
        <w:rPr>
          <w:rFonts w:ascii="Times New Roman" w:cs="Times New Roman" w:eastAsia="Times New Roman" w:hAnsi="Times New Roman"/>
          <w:sz w:val="12"/>
          <w:szCs w:val="12"/>
          <w:color w:val="auto"/>
        </w:rPr>
      </w:pPr>
    </w:p>
    <w:p>
      <w:pPr>
        <w:jc w:val="both"/>
        <w:ind w:left="640" w:right="679" w:firstLine="307"/>
        <w:spacing w:after="0" w:line="251"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45" w:name="page246"/>
    <w:bookmarkEnd w:id="245"/>
    <w:p>
      <w:pPr>
        <w:ind w:left="640" w:right="659" w:firstLine="307"/>
        <w:spacing w:after="0" w:line="248" w:lineRule="auto"/>
        <w:tabs>
          <w:tab w:leader="none" w:pos="1163"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34" w:lineRule="exact"/>
        <w:rPr>
          <w:rFonts w:ascii="Times New Roman" w:cs="Times New Roman" w:eastAsia="Times New Roman" w:hAnsi="Times New Roman"/>
          <w:sz w:val="13"/>
          <w:szCs w:val="13"/>
          <w:color w:val="auto"/>
        </w:rPr>
      </w:pPr>
    </w:p>
    <w:p>
      <w:pPr>
        <w:ind w:left="640" w:right="1019" w:firstLine="307"/>
        <w:spacing w:after="0" w:line="255"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9" w:lineRule="auto"/>
        <w:tabs>
          <w:tab w:leader="none" w:pos="1128"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07"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30" w:lineRule="exact"/>
        <w:rPr>
          <w:rFonts w:ascii="Times New Roman" w:cs="Times New Roman" w:eastAsia="Times New Roman" w:hAnsi="Times New Roman"/>
          <w:sz w:val="13"/>
          <w:szCs w:val="13"/>
          <w:color w:val="auto"/>
        </w:rPr>
      </w:pPr>
    </w:p>
    <w:p>
      <w:pPr>
        <w:ind w:left="640" w:right="1099" w:firstLine="307"/>
        <w:spacing w:after="0" w:line="267" w:lineRule="auto"/>
        <w:tabs>
          <w:tab w:leader="none" w:pos="1114"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of the Company and the rights of the Rights Agent under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shall survive the expiration of the CVRs and the termination of this Agreement and the resignation, replacement or removal of the Rights Agent.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3.3 </w:t>
      </w:r>
      <w:r>
        <w:rPr>
          <w:rFonts w:ascii="Times New Roman" w:cs="Times New Roman" w:eastAsia="Times New Roman" w:hAnsi="Times New Roman"/>
          <w:sz w:val="13"/>
          <w:szCs w:val="13"/>
          <w:b w:val="1"/>
          <w:bCs w:val="1"/>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7"/>
        <w:spacing w:after="0" w:line="255" w:lineRule="auto"/>
        <w:tabs>
          <w:tab w:leader="none" w:pos="1121"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28"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46" w:name="page247"/>
    <w:bookmarkEnd w:id="246"/>
    <w:p>
      <w:pPr>
        <w:ind w:left="640" w:right="859" w:firstLine="307"/>
        <w:spacing w:after="0" w:line="248" w:lineRule="auto"/>
        <w:tabs>
          <w:tab w:leader="none" w:pos="1121"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become the Rights Agent for all purposes hereunder.</w:t>
      </w:r>
    </w:p>
    <w:p>
      <w:pPr>
        <w:spacing w:after="0" w:line="134" w:lineRule="exact"/>
        <w:rPr>
          <w:rFonts w:ascii="Times New Roman" w:cs="Times New Roman" w:eastAsia="Times New Roman" w:hAnsi="Times New Roman"/>
          <w:sz w:val="13"/>
          <w:szCs w:val="13"/>
          <w:color w:val="auto"/>
        </w:rPr>
      </w:pPr>
    </w:p>
    <w:p>
      <w:pPr>
        <w:jc w:val="both"/>
        <w:ind w:left="640" w:right="779" w:firstLine="307"/>
        <w:spacing w:after="0" w:line="251" w:lineRule="auto"/>
        <w:tabs>
          <w:tab w:leader="none" w:pos="112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Representative, the Company will not appoint as a successor Rights Agent any Person that is not a stock transfer agent of national reputation or the corporate trust department of a commercial bank.</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07"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31"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3.4 </w:t>
      </w:r>
      <w:r>
        <w:rPr>
          <w:rFonts w:ascii="Times New Roman" w:cs="Times New Roman" w:eastAsia="Times New Roman" w:hAnsi="Times New Roman"/>
          <w:sz w:val="13"/>
          <w:szCs w:val="13"/>
          <w:b w:val="1"/>
          <w:bCs w:val="1"/>
          <w:u w:val="single" w:color="auto"/>
          <w:color w:val="auto"/>
        </w:rPr>
        <w:t>Acceptance of Appointment by Successor</w:t>
      </w:r>
      <w:r>
        <w:rPr>
          <w:rFonts w:ascii="Times New Roman" w:cs="Times New Roman" w:eastAsia="Times New Roman" w:hAnsi="Times New Roman"/>
          <w:sz w:val="13"/>
          <w:szCs w:val="13"/>
          <w:color w:val="auto"/>
        </w:rPr>
        <w:t>. Every successor Rights Agent appointed hereunder will, at or prior to such appointment,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39"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4.1 </w:t>
      </w:r>
      <w:r>
        <w:rPr>
          <w:rFonts w:ascii="Times New Roman" w:cs="Times New Roman" w:eastAsia="Times New Roman" w:hAnsi="Times New Roman"/>
          <w:sz w:val="13"/>
          <w:szCs w:val="13"/>
          <w:b w:val="1"/>
          <w:bCs w:val="1"/>
          <w:u w:val="single" w:color="auto"/>
          <w:color w:val="auto"/>
        </w:rPr>
        <w:t>List of Holders</w:t>
      </w:r>
      <w:r>
        <w:rPr>
          <w:rFonts w:ascii="Times New Roman" w:cs="Times New Roman" w:eastAsia="Times New Roman" w:hAnsi="Times New Roman"/>
          <w:sz w:val="13"/>
          <w:szCs w:val="13"/>
          <w:color w:val="auto"/>
        </w:rPr>
        <w:t>. The Company will furnish or cause to be furnished to the Rights Agent, in such form as the Company receives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Company’s transfer agent (or other agent performing similar services for the Company), the names and addresses of the Holders within fifteen (15) Business Days following the Closing Date.</w:t>
      </w:r>
    </w:p>
    <w:p>
      <w:pPr>
        <w:spacing w:after="0" w:line="126"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b w:val="1"/>
          <w:bCs w:val="1"/>
          <w:color w:val="auto"/>
        </w:rPr>
        <w:t xml:space="preserve">Section 4.2 </w:t>
      </w:r>
      <w:r>
        <w:rPr>
          <w:rFonts w:ascii="Times New Roman" w:cs="Times New Roman" w:eastAsia="Times New Roman" w:hAnsi="Times New Roman"/>
          <w:sz w:val="12"/>
          <w:szCs w:val="12"/>
          <w:b w:val="1"/>
          <w:bCs w:val="1"/>
          <w:u w:val="single" w:color="auto"/>
          <w:color w:val="auto"/>
        </w:rPr>
        <w:t>No Obligations of Public Company</w:t>
      </w:r>
      <w:r>
        <w:rPr>
          <w:rFonts w:ascii="Times New Roman" w:cs="Times New Roman" w:eastAsia="Times New Roman" w:hAnsi="Times New Roman"/>
          <w:sz w:val="12"/>
          <w:szCs w:val="12"/>
          <w:color w:val="auto"/>
        </w:rPr>
        <w:t>. Notwithstanding anything herein to the contrary, and for the avoidance of doubt, (a) the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w:t>
      </w:r>
    </w:p>
    <w:p>
      <w:pPr>
        <w:ind w:left="640" w:right="679" w:hanging="3"/>
        <w:spacing w:after="0" w:line="244" w:lineRule="auto"/>
        <w:tabs>
          <w:tab w:leader="none" w:pos="819"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$50,000 (the “</w:t>
      </w:r>
      <w:r>
        <w:rPr>
          <w:rFonts w:ascii="Times New Roman" w:cs="Times New Roman" w:eastAsia="Times New Roman" w:hAnsi="Times New Roman"/>
          <w:sz w:val="13"/>
          <w:szCs w:val="13"/>
          <w:b w:val="1"/>
          <w:bCs w:val="1"/>
          <w:color w:val="auto"/>
        </w:rPr>
        <w:t>CVR Expense Cap</w:t>
      </w:r>
      <w:r>
        <w:rPr>
          <w:rFonts w:ascii="Times New Roman" w:cs="Times New Roman" w:eastAsia="Times New Roman" w:hAnsi="Times New Roman"/>
          <w:sz w:val="13"/>
          <w:szCs w:val="13"/>
          <w:color w:val="auto"/>
        </w:rPr>
        <w:t>”)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w:t>
      </w:r>
    </w:p>
    <w:p>
      <w:pPr>
        <w:spacing w:after="0" w:line="139" w:lineRule="exact"/>
        <w:rPr>
          <w:sz w:val="20"/>
          <w:szCs w:val="20"/>
          <w:color w:val="auto"/>
        </w:rPr>
      </w:pPr>
    </w:p>
    <w:p>
      <w:pPr>
        <w:jc w:val="both"/>
        <w:ind w:left="640" w:right="73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4.3 </w:t>
      </w:r>
      <w:r>
        <w:rPr>
          <w:rFonts w:ascii="Times New Roman" w:cs="Times New Roman" w:eastAsia="Times New Roman" w:hAnsi="Times New Roman"/>
          <w:sz w:val="13"/>
          <w:szCs w:val="13"/>
          <w:b w:val="1"/>
          <w:bCs w:val="1"/>
          <w:u w:val="single" w:color="auto"/>
          <w:color w:val="auto"/>
        </w:rPr>
        <w:t>Books and Records</w:t>
      </w:r>
      <w:r>
        <w:rPr>
          <w:rFonts w:ascii="Times New Roman" w:cs="Times New Roman" w:eastAsia="Times New Roman" w:hAnsi="Times New Roman"/>
          <w:sz w:val="13"/>
          <w:szCs w:val="13"/>
          <w:color w:val="auto"/>
        </w:rPr>
        <w:t>. Until the end of the CVR Term, the Company shall, and shall cause its Affiliates to, keep true, complete and accurate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records in sufficient detail to enable the Rights Agent to confirm the applicable CVR Payment Amount payable hereunder in accordance with the terms specified in this Agreement.</w:t>
      </w:r>
    </w:p>
    <w:p>
      <w:pPr>
        <w:spacing w:after="0" w:line="126"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b w:val="1"/>
          <w:bCs w:val="1"/>
          <w:color w:val="auto"/>
        </w:rPr>
        <w:t xml:space="preserve">Section 4.4 </w:t>
      </w:r>
      <w:r>
        <w:rPr>
          <w:rFonts w:ascii="Times New Roman" w:cs="Times New Roman" w:eastAsia="Times New Roman" w:hAnsi="Times New Roman"/>
          <w:sz w:val="12"/>
          <w:szCs w:val="12"/>
          <w:b w:val="1"/>
          <w:bCs w:val="1"/>
          <w:u w:val="single" w:color="auto"/>
          <w:color w:val="auto"/>
        </w:rPr>
        <w:t>Audits</w:t>
      </w:r>
      <w:r>
        <w:rPr>
          <w:rFonts w:ascii="Times New Roman" w:cs="Times New Roman" w:eastAsia="Times New Roman" w:hAnsi="Times New Roman"/>
          <w:sz w:val="12"/>
          <w:szCs w:val="12"/>
          <w:color w:val="auto"/>
        </w:rPr>
        <w:t>. Until the expiration of this Agreement and for a period of one (1) year thereafter, the Company shall keep complete and accurate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48" w:name="page249"/>
    <w:bookmarkEnd w:id="248"/>
    <w:p>
      <w:pPr>
        <w:ind w:left="640" w:right="659"/>
        <w:spacing w:after="0" w:line="265"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4.5 </w:t>
      </w:r>
      <w:r>
        <w:rPr>
          <w:rFonts w:ascii="Times New Roman" w:cs="Times New Roman" w:eastAsia="Times New Roman" w:hAnsi="Times New Roman"/>
          <w:sz w:val="12"/>
          <w:szCs w:val="12"/>
          <w:b w:val="1"/>
          <w:bCs w:val="1"/>
          <w:u w:val="single" w:color="auto"/>
          <w:color w:val="auto"/>
        </w:rPr>
        <w:t>Representative</w:t>
      </w:r>
      <w:r>
        <w:rPr>
          <w:rFonts w:ascii="Times New Roman" w:cs="Times New Roman" w:eastAsia="Times New Roman" w:hAnsi="Times New Roman"/>
          <w:sz w:val="12"/>
          <w:szCs w:val="12"/>
          <w:color w:val="auto"/>
        </w:rPr>
        <w:t>. Certain Holders may enter into an engagement agreement (the “Representative Engagement Agreement”)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w:t>
      </w:r>
    </w:p>
    <w:p>
      <w:pPr>
        <w:spacing w:after="0" w:line="150" w:lineRule="exact"/>
        <w:rPr>
          <w:sz w:val="20"/>
          <w:szCs w:val="20"/>
          <w:color w:val="auto"/>
        </w:rPr>
      </w:pPr>
    </w:p>
    <w:p>
      <w:pPr>
        <w:ind w:left="640" w:right="659" w:hanging="3"/>
        <w:spacing w:after="0" w:line="243" w:lineRule="auto"/>
        <w:tabs>
          <w:tab w:leader="none" w:pos="847"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49" w:name="page250"/>
    <w:bookmarkEnd w:id="249"/>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spacing w:after="0" w:line="131"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4.6 </w:t>
      </w:r>
      <w:r>
        <w:rPr>
          <w:rFonts w:ascii="Times New Roman" w:cs="Times New Roman" w:eastAsia="Times New Roman" w:hAnsi="Times New Roman"/>
          <w:sz w:val="13"/>
          <w:szCs w:val="13"/>
          <w:b w:val="1"/>
          <w:bCs w:val="1"/>
          <w:u w:val="single" w:color="auto"/>
          <w:color w:val="auto"/>
        </w:rPr>
        <w:t>Payment of CVR Payment Amounts</w:t>
      </w:r>
      <w:r>
        <w:rPr>
          <w:rFonts w:ascii="Times New Roman" w:cs="Times New Roman" w:eastAsia="Times New Roman" w:hAnsi="Times New Roman"/>
          <w:sz w:val="13"/>
          <w:szCs w:val="13"/>
          <w:color w:val="auto"/>
        </w:rPr>
        <w:t>. The Company shall, promptly following receipt of a payment of CVR Proceeds, deposit with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Rights Agent, for payment to the Holders in accordance with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spacing w:after="0" w:line="135" w:lineRule="exact"/>
        <w:rPr>
          <w:sz w:val="20"/>
          <w:szCs w:val="20"/>
          <w:color w:val="auto"/>
        </w:rPr>
      </w:pPr>
    </w:p>
    <w:p>
      <w:pPr>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4.7 </w:t>
      </w:r>
      <w:r>
        <w:rPr>
          <w:rFonts w:ascii="Times New Roman" w:cs="Times New Roman" w:eastAsia="Times New Roman" w:hAnsi="Times New Roman"/>
          <w:sz w:val="13"/>
          <w:szCs w:val="13"/>
          <w:b w:val="1"/>
          <w:bCs w:val="1"/>
          <w:u w:val="single" w:color="auto"/>
          <w:color w:val="auto"/>
        </w:rPr>
        <w:t>Prohibited Actions</w:t>
      </w:r>
      <w:r>
        <w:rPr>
          <w:rFonts w:ascii="Times New Roman" w:cs="Times New Roman" w:eastAsia="Times New Roman" w:hAnsi="Times New Roman"/>
          <w:sz w:val="13"/>
          <w:szCs w:val="13"/>
          <w:color w:val="auto"/>
        </w:rPr>
        <w:t>. Unless approved by the Representative (not to be unreasonably withheld, conditioned or delayed), prior to the end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CVR Term, the Company shall not grant any lien, security interest, pledge or similar interest solely in respect of any Legacy Assets or any Net Proceeds separate and apart from any other assets of the Company.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5.1 </w:t>
      </w:r>
      <w:r>
        <w:rPr>
          <w:rFonts w:ascii="Times New Roman" w:cs="Times New Roman" w:eastAsia="Times New Roman" w:hAnsi="Times New Roman"/>
          <w:sz w:val="13"/>
          <w:szCs w:val="13"/>
          <w:b w:val="1"/>
          <w:bCs w:val="1"/>
          <w:u w:val="single" w:color="auto"/>
          <w:color w:val="auto"/>
        </w:rPr>
        <w:t>Amendments Without Consent of Holders or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309" w:lineRule="auto"/>
        <w:tabs>
          <w:tab w:leader="none" w:pos="1121" w:val="left"/>
        </w:tabs>
        <w:numPr>
          <w:ilvl w:val="0"/>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23" w:lineRule="exact"/>
        <w:rPr>
          <w:rFonts w:ascii="Times New Roman" w:cs="Times New Roman" w:eastAsia="Times New Roman" w:hAnsi="Times New Roman"/>
          <w:sz w:val="12"/>
          <w:szCs w:val="12"/>
          <w:color w:val="auto"/>
        </w:rPr>
      </w:pPr>
    </w:p>
    <w:p>
      <w:pPr>
        <w:ind w:left="640" w:right="819" w:firstLine="693"/>
        <w:spacing w:after="0" w:line="267" w:lineRule="auto"/>
        <w:tabs>
          <w:tab w:leader="none" w:pos="1487"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the Company and the assumption of any such successor of the covenants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w:t>
      </w:r>
    </w:p>
    <w:p>
      <w:pPr>
        <w:spacing w:after="0" w:line="140"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57"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5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122" w:lineRule="exact"/>
        <w:rPr>
          <w:rFonts w:ascii="Times New Roman" w:cs="Times New Roman" w:eastAsia="Times New Roman" w:hAnsi="Times New Roman"/>
          <w:sz w:val="13"/>
          <w:szCs w:val="13"/>
          <w:color w:val="auto"/>
        </w:rPr>
      </w:pPr>
    </w:p>
    <w:p>
      <w:pPr>
        <w:ind w:left="640" w:right="799" w:firstLine="693"/>
        <w:spacing w:after="0" w:line="267" w:lineRule="auto"/>
        <w:tabs>
          <w:tab w:leader="none" w:pos="155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Company is not required to produce a prospectus or an admission document in order to comply with applicable Law;</w:t>
      </w:r>
    </w:p>
    <w:p>
      <w:pPr>
        <w:spacing w:after="0" w:line="122"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85"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cancel the CVRs (i) in the event that any Holder has abandoned its rights in accordance with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(ii) in order to give effect to the provisions of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or (iii) following a transfer of such CVRs to the Company or its Affiliates in accordance with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50" w:name="page251"/>
    <w:bookmarkEnd w:id="250"/>
    <w:p>
      <w:pPr>
        <w:ind w:left="1620" w:hanging="287"/>
        <w:spacing w:after="0"/>
        <w:tabs>
          <w:tab w:leader="none" w:pos="162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may be necessary or appropriate to ensure that the Company complies with applicable Law; or</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5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in each case, such additions, eliminations or changes do not adversely affect the interests of the Holders.</w:t>
      </w:r>
    </w:p>
    <w:p>
      <w:pPr>
        <w:spacing w:after="0" w:line="122" w:lineRule="exact"/>
        <w:rPr>
          <w:sz w:val="20"/>
          <w:szCs w:val="20"/>
          <w:color w:val="auto"/>
        </w:rPr>
      </w:pPr>
    </w:p>
    <w:p>
      <w:pPr>
        <w:ind w:left="640" w:right="979" w:firstLine="307"/>
        <w:spacing w:after="0" w:line="267" w:lineRule="auto"/>
        <w:tabs>
          <w:tab w:leader="none" w:pos="1128"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of any amendment pursuant to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5.2 </w:t>
      </w:r>
      <w:r>
        <w:rPr>
          <w:rFonts w:ascii="Times New Roman" w:cs="Times New Roman" w:eastAsia="Times New Roman" w:hAnsi="Times New Roman"/>
          <w:sz w:val="13"/>
          <w:szCs w:val="13"/>
          <w:b w:val="1"/>
          <w:bCs w:val="1"/>
          <w:u w:val="single" w:color="auto"/>
          <w:color w:val="auto"/>
        </w:rPr>
        <w:t>Amendments with Consent of Holders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In addition to any amendments to this Agreement that may be made by the Company without the consent of any Holder pursuant to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with the consent of the Representative (whether evidenced in a writing or taken at a meeting of the Holders), the Company and the Rights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Agent may enter into one or more amendments to this Agreement for the purpose of adding, eliminating or amending any provisions of this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even if such addition, elimination or amendment is adverse to the interests of the Holders.</w:t>
      </w:r>
    </w:p>
    <w:p>
      <w:pPr>
        <w:spacing w:after="0" w:line="141" w:lineRule="exact"/>
        <w:rPr>
          <w:sz w:val="20"/>
          <w:szCs w:val="20"/>
          <w:color w:val="auto"/>
        </w:rPr>
      </w:pPr>
    </w:p>
    <w:p>
      <w:pPr>
        <w:ind w:left="640" w:right="999" w:firstLine="307"/>
        <w:spacing w:after="0" w:line="255" w:lineRule="auto"/>
        <w:tabs>
          <w:tab w:leader="none" w:pos="112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5.3 </w:t>
      </w:r>
      <w:r>
        <w:rPr>
          <w:rFonts w:ascii="Times New Roman" w:cs="Times New Roman" w:eastAsia="Times New Roman" w:hAnsi="Times New Roman"/>
          <w:sz w:val="13"/>
          <w:szCs w:val="13"/>
          <w:b w:val="1"/>
          <w:bCs w:val="1"/>
          <w:u w:val="single" w:color="auto"/>
          <w:color w:val="auto"/>
        </w:rPr>
        <w:t>Effect of Amendments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 xml:space="preserve">Upon the execution of any amendment under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6</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6.1 </w:t>
      </w:r>
      <w:r>
        <w:rPr>
          <w:rFonts w:ascii="Times New Roman" w:cs="Times New Roman" w:eastAsia="Times New Roman" w:hAnsi="Times New Roman"/>
          <w:sz w:val="13"/>
          <w:szCs w:val="13"/>
          <w:b w:val="1"/>
          <w:bCs w:val="1"/>
          <w:u w:val="single" w:color="auto"/>
          <w:color w:val="auto"/>
        </w:rPr>
        <w:t>Notices to Rights Agent and to the Company</w:t>
      </w:r>
      <w:r>
        <w:rPr>
          <w:rFonts w:ascii="Times New Roman" w:cs="Times New Roman" w:eastAsia="Times New Roman" w:hAnsi="Times New Roman"/>
          <w:sz w:val="13"/>
          <w:szCs w:val="13"/>
          <w:color w:val="auto"/>
        </w:rPr>
        <w:t>. All notices, requests and other communications (each, a “</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to any party hereunder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Rights Agent,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51" w:name="page252"/>
    <w:bookmarkEnd w:id="25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Company,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203 Crescent Street, Buildings 3/3A/4, Suite 503</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Waltham, Massachusetts 02453</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auto"/>
        </w:rPr>
        <w:t>maddy.zeylikman@korsana.com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rmurr@gibsondunn.com, bberns@gibsondunn.com, eshepherd@gibsondunn.com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 to such other address or facsimile number as such party may hereafter specify for the purpose by notice to the other parties hereto.</w:t>
      </w:r>
    </w:p>
    <w:p>
      <w:pPr>
        <w:spacing w:after="0" w:line="152"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6.2 </w:t>
      </w:r>
      <w:r>
        <w:rPr>
          <w:rFonts w:ascii="Times New Roman" w:cs="Times New Roman" w:eastAsia="Times New Roman" w:hAnsi="Times New Roman"/>
          <w:sz w:val="13"/>
          <w:szCs w:val="13"/>
          <w:b w:val="1"/>
          <w:bCs w:val="1"/>
          <w:u w:val="single" w:color="auto"/>
          <w:color w:val="auto"/>
        </w:rPr>
        <w:t>Notice to Holders</w:t>
      </w:r>
      <w:r>
        <w:rPr>
          <w:rFonts w:ascii="Times New Roman" w:cs="Times New Roman" w:eastAsia="Times New Roman" w:hAnsi="Times New Roman"/>
          <w:sz w:val="13"/>
          <w:szCs w:val="13"/>
          <w:color w:val="auto"/>
        </w:rPr>
        <w:t>. All Notices required to be given to the Holders will be given (unless otherwise herein expressly provided)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31"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6.3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As between the Company and the Rights Agent, this Agreement constitutes the entire agreement between the parties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2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6.4 </w:t>
      </w:r>
      <w:r>
        <w:rPr>
          <w:rFonts w:ascii="Times New Roman" w:cs="Times New Roman" w:eastAsia="Times New Roman" w:hAnsi="Times New Roman"/>
          <w:sz w:val="12"/>
          <w:szCs w:val="12"/>
          <w:b w:val="1"/>
          <w:bCs w:val="1"/>
          <w:u w:val="single" w:color="auto"/>
          <w:color w:val="auto"/>
        </w:rPr>
        <w:t>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spacing w:after="0" w:line="3"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Section 6.5 </w:t>
      </w:r>
      <w:r>
        <w:rPr>
          <w:rFonts w:ascii="Times New Roman" w:cs="Times New Roman" w:eastAsia="Times New Roman" w:hAnsi="Times New Roman"/>
          <w:sz w:val="12"/>
          <w:szCs w:val="12"/>
          <w:b w:val="1"/>
          <w:bCs w:val="1"/>
          <w:u w:val="single" w:color="auto"/>
          <w:color w:val="auto"/>
        </w:rPr>
        <w:t>Successors and Assigns</w:t>
      </w:r>
      <w:r>
        <w:rPr>
          <w:rFonts w:ascii="Times New Roman" w:cs="Times New Roman" w:eastAsia="Times New Roman" w:hAnsi="Times New Roman"/>
          <w:sz w:val="12"/>
          <w:szCs w:val="12"/>
          <w:color w:val="auto"/>
        </w:rPr>
        <w:t>. This Agreement will be binding upon, and will be enforceable by and inure solely to the benefit of, the 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Company and the Rights Agent and their respective successors and assigns. Except for assignments pursuant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the Rights Agent may not assign this Agreement without the Company’s prior written consent. Subject to </w:t>
      </w:r>
      <w:r>
        <w:rPr>
          <w:rFonts w:ascii="Times New Roman" w:cs="Times New Roman" w:eastAsia="Times New Roman" w:hAnsi="Times New Roman"/>
          <w:sz w:val="12"/>
          <w:szCs w:val="12"/>
          <w:u w:val="single" w:color="auto"/>
          <w:color w:val="auto"/>
        </w:rPr>
        <w:t>Section 5.1(a)(ii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6</w:t>
      </w:r>
      <w:r>
        <w:rPr>
          <w:rFonts w:ascii="Times New Roman" w:cs="Times New Roman" w:eastAsia="Times New Roman" w:hAnsi="Times New Roman"/>
          <w:sz w:val="12"/>
          <w:szCs w:val="12"/>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will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effect.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52" w:name="page253"/>
    <w:bookmarkEnd w:id="252"/>
    <w:p>
      <w:pPr>
        <w:ind w:left="640" w:right="699"/>
        <w:spacing w:after="0" w:line="27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Section 6.6 </w:t>
      </w:r>
      <w:r>
        <w:rPr>
          <w:rFonts w:ascii="Times New Roman" w:cs="Times New Roman" w:eastAsia="Times New Roman" w:hAnsi="Times New Roman"/>
          <w:sz w:val="12"/>
          <w:szCs w:val="12"/>
          <w:b w:val="1"/>
          <w:bCs w:val="1"/>
          <w:u w:val="single" w:color="auto"/>
          <w:color w:val="auto"/>
        </w:rPr>
        <w:t>Benefits of Agreement; Action by Representative</w:t>
      </w:r>
      <w:r>
        <w:rPr>
          <w:rFonts w:ascii="Times New Roman" w:cs="Times New Roman" w:eastAsia="Times New Roman" w:hAnsi="Times New Roman"/>
          <w:sz w:val="12"/>
          <w:szCs w:val="12"/>
          <w:color w:val="auto"/>
        </w:rPr>
        <w:t>. Nothing in this Agreement, express or implied, will give to any Person (other than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18"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6.7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and the CVRs will be governed by, and construed in accordance with, the laws of the State of Delaware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the conflicts of law rules of such state.</w:t>
      </w:r>
    </w:p>
    <w:p>
      <w:pPr>
        <w:spacing w:after="0" w:line="119"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6.8 </w:t>
      </w:r>
      <w:r>
        <w:rPr>
          <w:rFonts w:ascii="Times New Roman" w:cs="Times New Roman" w:eastAsia="Times New Roman" w:hAnsi="Times New Roman"/>
          <w:sz w:val="13"/>
          <w:szCs w:val="13"/>
          <w:b w:val="1"/>
          <w:bCs w:val="1"/>
          <w:u w:val="single" w:color="auto"/>
          <w:color w:val="auto"/>
        </w:rPr>
        <w:t>Jurisdiction</w:t>
      </w:r>
      <w:r>
        <w:rPr>
          <w:rFonts w:ascii="Times New Roman" w:cs="Times New Roman" w:eastAsia="Times New Roman" w:hAnsi="Times New Roman"/>
          <w:sz w:val="13"/>
          <w:szCs w:val="13"/>
          <w:color w:val="auto"/>
        </w:rPr>
        <w:t>. In any action or proceeding between any of the parties hereto arising out of or relating to this Agreement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w:t>
      </w:r>
    </w:p>
    <w:p>
      <w:pPr>
        <w:spacing w:after="0" w:line="134"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6.9 </w:t>
      </w:r>
      <w:r>
        <w:rPr>
          <w:rFonts w:ascii="Times New Roman" w:cs="Times New Roman" w:eastAsia="Times New Roman" w:hAnsi="Times New Roman"/>
          <w:sz w:val="13"/>
          <w:szCs w:val="13"/>
          <w:b w:val="1"/>
          <w:bCs w:val="1"/>
          <w:u w:val="single" w:color="auto"/>
          <w:color w:val="auto"/>
        </w:rPr>
        <w:t>WAIVER OF JURY TRIAL</w:t>
      </w:r>
      <w:r>
        <w:rPr>
          <w:rFonts w:ascii="Times New Roman" w:cs="Times New Roman" w:eastAsia="Times New Roman" w:hAnsi="Times New Roman"/>
          <w:sz w:val="13"/>
          <w:szCs w:val="13"/>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3"/>
          <w:szCs w:val="13"/>
          <w:b w:val="1"/>
          <w:bCs w:val="1"/>
          <w:u w:val="single" w:color="auto"/>
          <w:color w:val="auto"/>
        </w:rPr>
        <w:t>SECTION 6.9</w:t>
      </w:r>
      <w:r>
        <w:rPr>
          <w:rFonts w:ascii="Times New Roman" w:cs="Times New Roman" w:eastAsia="Times New Roman" w:hAnsi="Times New Roman"/>
          <w:sz w:val="13"/>
          <w:szCs w:val="13"/>
          <w:b w:val="1"/>
          <w:bCs w:val="1"/>
          <w:color w:val="auto"/>
        </w:rPr>
        <w:t>.</w:t>
      </w:r>
    </w:p>
    <w:p>
      <w:pPr>
        <w:spacing w:after="0" w:line="134"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6.10 </w:t>
      </w:r>
      <w:r>
        <w:rPr>
          <w:rFonts w:ascii="Times New Roman" w:cs="Times New Roman" w:eastAsia="Times New Roman" w:hAnsi="Times New Roman"/>
          <w:sz w:val="13"/>
          <w:szCs w:val="13"/>
          <w:b w:val="1"/>
          <w:bCs w:val="1"/>
          <w:u w:val="single" w:color="auto"/>
          <w:color w:val="auto"/>
        </w:rPr>
        <w:t>Severability Clause</w:t>
      </w:r>
      <w:r>
        <w:rPr>
          <w:rFonts w:ascii="Times New Roman" w:cs="Times New Roman" w:eastAsia="Times New Roman" w:hAnsi="Times New Roman"/>
          <w:sz w:val="13"/>
          <w:szCs w:val="13"/>
          <w:color w:val="auto"/>
        </w:rPr>
        <w:t>. In the event that any provision of this Agreement, or the application of any such provision to any Person or set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an excluded provision shall affect the rights, immunities, liabilities, duties or obligations of the Rights Agent, the Rights Agent shall be entitled to resign immediately upon written Notice to the Company.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253" w:name="page254"/>
    <w:bookmarkEnd w:id="253"/>
    <w:p>
      <w:pPr>
        <w:ind w:left="640" w:right="67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6.11 </w:t>
      </w:r>
      <w:r>
        <w:rPr>
          <w:rFonts w:ascii="Times New Roman" w:cs="Times New Roman" w:eastAsia="Times New Roman" w:hAnsi="Times New Roman"/>
          <w:sz w:val="13"/>
          <w:szCs w:val="13"/>
          <w:b w:val="1"/>
          <w:bCs w:val="1"/>
          <w:u w:val="single" w:color="auto"/>
          <w:color w:val="auto"/>
        </w:rPr>
        <w:t>Counterparts; Effectiveness</w:t>
      </w:r>
      <w:r>
        <w:rPr>
          <w:rFonts w:ascii="Times New Roman" w:cs="Times New Roman" w:eastAsia="Times New Roman" w:hAnsi="Times New Roman"/>
          <w:sz w:val="13"/>
          <w:szCs w:val="13"/>
          <w:color w:val="auto"/>
        </w:rPr>
        <w:t>. This Agreement may be signed in any number of counterparts, each of which will be deemed an original,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35" w:lineRule="exact"/>
        <w:rPr>
          <w:sz w:val="20"/>
          <w:szCs w:val="20"/>
          <w:color w:val="auto"/>
        </w:rPr>
      </w:pPr>
    </w:p>
    <w:p>
      <w:pPr>
        <w:ind w:left="640" w:right="67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Section 6.12 </w:t>
      </w:r>
      <w:r>
        <w:rPr>
          <w:rFonts w:ascii="Times New Roman" w:cs="Times New Roman" w:eastAsia="Times New Roman" w:hAnsi="Times New Roman"/>
          <w:sz w:val="12"/>
          <w:szCs w:val="12"/>
          <w:b w:val="1"/>
          <w:bCs w:val="1"/>
          <w:u w:val="single" w:color="auto"/>
          <w:color w:val="auto"/>
        </w:rPr>
        <w:t>Termination</w:t>
      </w:r>
      <w:r>
        <w:rPr>
          <w:rFonts w:ascii="Times New Roman" w:cs="Times New Roman" w:eastAsia="Times New Roman" w:hAnsi="Times New Roman"/>
          <w:sz w:val="12"/>
          <w:szCs w:val="12"/>
          <w:color w:val="auto"/>
        </w:rPr>
        <w:t>. This Agreement will automatically terminate and be of no further force or effect and,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spacing w:after="0" w:line="11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Section 6.13 </w:t>
      </w:r>
      <w:r>
        <w:rPr>
          <w:rFonts w:ascii="Times New Roman" w:cs="Times New Roman" w:eastAsia="Times New Roman" w:hAnsi="Times New Roman"/>
          <w:sz w:val="13"/>
          <w:szCs w:val="13"/>
          <w:b w:val="1"/>
          <w:bCs w:val="1"/>
          <w:u w:val="single" w:color="auto"/>
          <w:color w:val="auto"/>
        </w:rPr>
        <w:t>Funds</w:t>
      </w:r>
      <w:r>
        <w:rPr>
          <w:rFonts w:ascii="Times New Roman" w:cs="Times New Roman" w:eastAsia="Times New Roman" w:hAnsi="Times New Roman"/>
          <w:sz w:val="13"/>
          <w:szCs w:val="13"/>
          <w:color w:val="auto"/>
        </w:rPr>
        <w:t>. All funds received by Rights Agent under this Agreement that are to be distributed or applied by Rights Agent in the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services hereunder (the “</w:t>
      </w:r>
      <w:r>
        <w:rPr>
          <w:rFonts w:ascii="Times New Roman" w:cs="Times New Roman" w:eastAsia="Times New Roman" w:hAnsi="Times New Roman"/>
          <w:sz w:val="13"/>
          <w:szCs w:val="13"/>
          <w:b w:val="1"/>
          <w:bCs w:val="1"/>
          <w:color w:val="auto"/>
        </w:rPr>
        <w:t>Funds</w:t>
      </w:r>
      <w:r>
        <w:rPr>
          <w:rFonts w:ascii="Times New Roman" w:cs="Times New Roman" w:eastAsia="Times New Roman" w:hAnsi="Times New Roman"/>
          <w:sz w:val="13"/>
          <w:szCs w:val="13"/>
          <w:color w:val="auto"/>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spacing w:after="0" w:line="136"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Section 6.14 </w:t>
      </w:r>
      <w:r>
        <w:rPr>
          <w:rFonts w:ascii="Times New Roman" w:cs="Times New Roman" w:eastAsia="Times New Roman" w:hAnsi="Times New Roman"/>
          <w:sz w:val="13"/>
          <w:szCs w:val="13"/>
          <w:b w:val="1"/>
          <w:bCs w:val="1"/>
          <w:u w:val="single" w:color="auto"/>
          <w:color w:val="auto"/>
        </w:rPr>
        <w:t>Further Assurance by Company</w:t>
      </w:r>
      <w:r>
        <w:rPr>
          <w:rFonts w:ascii="Times New Roman" w:cs="Times New Roman" w:eastAsia="Times New Roman" w:hAnsi="Times New Roman"/>
          <w:sz w:val="13"/>
          <w:szCs w:val="13"/>
          <w:color w:val="auto"/>
        </w:rPr>
        <w:t>. The Company agrees that it will perform, execute, acknowledge and deliver or cause to be performed,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6.15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55" w:lineRule="auto"/>
        <w:tabs>
          <w:tab w:leader="none" w:pos="1121"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will not be deemed to be terms of limitation, but rather will be deemed to be followed by the words “without limitation.”</w:t>
      </w:r>
    </w:p>
    <w:p>
      <w:pPr>
        <w:spacing w:after="0" w:line="122" w:lineRule="exact"/>
        <w:rPr>
          <w:rFonts w:ascii="Times New Roman" w:cs="Times New Roman" w:eastAsia="Times New Roman" w:hAnsi="Times New Roman"/>
          <w:sz w:val="13"/>
          <w:szCs w:val="13"/>
          <w:color w:val="auto"/>
        </w:rPr>
      </w:pPr>
    </w:p>
    <w:p>
      <w:pPr>
        <w:ind w:left="640" w:right="639" w:firstLine="307"/>
        <w:spacing w:after="0" w:line="267" w:lineRule="auto"/>
        <w:tabs>
          <w:tab w:leader="none" w:pos="1121"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54" w:name="page255"/>
    <w:bookmarkEnd w:id="254"/>
    <w:p>
      <w:pPr>
        <w:jc w:val="both"/>
        <w:ind w:left="640" w:right="999" w:firstLine="307"/>
        <w:spacing w:after="0" w:line="251" w:lineRule="auto"/>
        <w:tabs>
          <w:tab w:leader="none" w:pos="112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309" w:lineRule="auto"/>
        <w:tabs>
          <w:tab w:leader="none" w:pos="1121"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99"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107"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herein to “$” are to United States Dollars.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55" w:name="page256"/>
    <w:bookmarkEnd w:id="255"/>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8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CVR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1.1</w:t>
      </w:r>
    </w:p>
    <w:p>
      <w:pPr>
        <w:sectPr>
          <w:pgSz w:w="11900" w:h="16838" w:orient="portrait"/>
          <w:cols w:equalWidth="0" w:num="1">
            <w:col w:w="9019"/>
          </w:cols>
          <w:pgMar w:left="1440" w:top="231" w:right="1440"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1.2</w:t>
      </w:r>
    </w:p>
    <w:p>
      <w:pPr>
        <w:sectPr>
          <w:pgSz w:w="11900" w:h="16838" w:orient="portrait"/>
          <w:cols w:equalWidth="0" w:num="1">
            <w:col w:w="9019"/>
          </w:cols>
          <w:pgMar w:left="1440" w:top="231" w:right="1440" w:bottom="1440" w:gutter="0" w:footer="0" w:header="0"/>
        </w:sectPr>
      </w:pPr>
    </w:p>
    <w:bookmarkStart w:id="258" w:name="page259"/>
    <w:bookmarkEnd w:id="25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10.7</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March 31,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 ***</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 Amended and Restated Offer Letter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Dear Regina:</w:t>
      </w:r>
    </w:p>
    <w:p>
      <w:pPr>
        <w:spacing w:after="0" w:line="78"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This letter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March 31, 2026 by and between you and Cyclerion Therapeutics, Inc., a Massachusetts corporation (the “</w:t>
      </w:r>
      <w:r>
        <w:rPr>
          <w:rFonts w:ascii="Times New Roman" w:cs="Times New Roman" w:eastAsia="Times New Roman" w:hAnsi="Times New Roman"/>
          <w:sz w:val="13"/>
          <w:szCs w:val="13"/>
          <w:u w:val="single" w:color="auto"/>
          <w:color w:val="auto"/>
        </w:rPr>
        <w:t>Compan</w:t>
      </w:r>
      <w:r>
        <w:rPr>
          <w:rFonts w:ascii="Times New Roman" w:cs="Times New Roman" w:eastAsia="Times New Roman" w:hAnsi="Times New Roman"/>
          <w:sz w:val="13"/>
          <w:szCs w:val="13"/>
          <w:color w:val="auto"/>
        </w:rPr>
        <w:t>y”), and is effective as of the date it is signed by both parties (the “</w:t>
      </w:r>
      <w:r>
        <w:rPr>
          <w:rFonts w:ascii="Times New Roman" w:cs="Times New Roman" w:eastAsia="Times New Roman" w:hAnsi="Times New Roman"/>
          <w:sz w:val="13"/>
          <w:szCs w:val="13"/>
          <w:u w:val="single" w:color="auto"/>
          <w:color w:val="auto"/>
        </w:rPr>
        <w:t>Effective Date</w:t>
      </w:r>
      <w:r>
        <w:rPr>
          <w:rFonts w:ascii="Times New Roman" w:cs="Times New Roman" w:eastAsia="Times New Roman" w:hAnsi="Times New Roman"/>
          <w:sz w:val="13"/>
          <w:szCs w:val="13"/>
          <w:color w:val="auto"/>
        </w:rPr>
        <w:t>”). You and the Company previously entered into that certain offer letter dated as of November 30, 2023, as amended by that certain Amendment to Original Offer Letter dated as of August 5, 2024 (collectively, the “</w:t>
      </w:r>
      <w:r>
        <w:rPr>
          <w:rFonts w:ascii="Times New Roman" w:cs="Times New Roman" w:eastAsia="Times New Roman" w:hAnsi="Times New Roman"/>
          <w:sz w:val="13"/>
          <w:szCs w:val="13"/>
          <w:u w:val="single" w:color="auto"/>
          <w:color w:val="auto"/>
        </w:rPr>
        <w:t>Prior Agreement</w:t>
      </w:r>
      <w:r>
        <w:rPr>
          <w:rFonts w:ascii="Times New Roman" w:cs="Times New Roman" w:eastAsia="Times New Roman" w:hAnsi="Times New Roman"/>
          <w:sz w:val="13"/>
          <w:szCs w:val="13"/>
          <w:color w:val="auto"/>
        </w:rPr>
        <w:t>”), and you and the Company desire to amend and restate the Prior Agreement. This Agreement will supersede and replace the Prior Agreement as of the Effective Date.</w:t>
      </w:r>
    </w:p>
    <w:p>
      <w:pPr>
        <w:spacing w:after="0" w:line="13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In consideration of the mutual covenants contained herein and other good and valuable consideration, the receipt and sufficiency of which are hereby acknowledged, you and the Company agree as follows:</w:t>
      </w:r>
    </w:p>
    <w:p>
      <w:pPr>
        <w:spacing w:after="0" w:line="56" w:lineRule="exact"/>
        <w:rPr>
          <w:sz w:val="20"/>
          <w:szCs w:val="20"/>
          <w:color w:val="auto"/>
        </w:rPr>
      </w:pPr>
    </w:p>
    <w:p>
      <w:pPr>
        <w:ind w:left="1320" w:right="659" w:hanging="379"/>
        <w:spacing w:after="0" w:line="279" w:lineRule="auto"/>
        <w:tabs>
          <w:tab w:leader="none" w:pos="1320" w:val="left"/>
        </w:tabs>
        <w:numPr>
          <w:ilvl w:val="0"/>
          <w:numId w:val="296"/>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Position</w:t>
      </w:r>
      <w:r>
        <w:rPr>
          <w:rFonts w:ascii="Times New Roman" w:cs="Times New Roman" w:eastAsia="Times New Roman" w:hAnsi="Times New Roman"/>
          <w:sz w:val="12"/>
          <w:szCs w:val="12"/>
          <w:color w:val="auto"/>
        </w:rPr>
        <w:t>. As of the Effective Date, you will continue to serve as the President and Chief Executive Officer of the Company, reporting to the Board of Directors of the Company (the “</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In addition to performing duties and responsibilities associated with such position, from time to time the Board may assign you other duties and responsibilities. As a full-time employee of the Company, you will be expected to devote your full business time and energies to the business and affairs of the Company.</w:t>
      </w:r>
    </w:p>
    <w:p>
      <w:pPr>
        <w:spacing w:after="0" w:line="50" w:lineRule="exact"/>
        <w:rPr>
          <w:rFonts w:ascii="Times New Roman" w:cs="Times New Roman" w:eastAsia="Times New Roman" w:hAnsi="Times New Roman"/>
          <w:sz w:val="12"/>
          <w:szCs w:val="12"/>
          <w:u w:val="single" w:color="auto"/>
          <w:color w:val="auto"/>
        </w:rPr>
      </w:pPr>
    </w:p>
    <w:p>
      <w:pPr>
        <w:ind w:left="1320" w:right="759" w:hanging="379"/>
        <w:spacing w:after="0" w:line="255" w:lineRule="auto"/>
        <w:tabs>
          <w:tab w:leader="none" w:pos="1320" w:val="left"/>
        </w:tabs>
        <w:numPr>
          <w:ilvl w:val="0"/>
          <w:numId w:val="29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Nature of Relationship</w:t>
      </w:r>
      <w:r>
        <w:rPr>
          <w:rFonts w:ascii="Times New Roman" w:cs="Times New Roman" w:eastAsia="Times New Roman" w:hAnsi="Times New Roman"/>
          <w:sz w:val="13"/>
          <w:szCs w:val="13"/>
          <w:color w:val="auto"/>
        </w:rPr>
        <w:t>. No provision of this Agreement shall be construed to create an express or implied employment contract for a specific period of time. Either you or the Company may terminate the employment relationship at any time and for any reason (subject to the notice and cure provisions detailed in Section 7 below in connection with a resignation for Good Reason).</w:t>
      </w:r>
    </w:p>
    <w:p>
      <w:pPr>
        <w:spacing w:after="0" w:line="63" w:lineRule="exact"/>
        <w:rPr>
          <w:rFonts w:ascii="Times New Roman" w:cs="Times New Roman" w:eastAsia="Times New Roman" w:hAnsi="Times New Roman"/>
          <w:sz w:val="13"/>
          <w:szCs w:val="13"/>
          <w:u w:val="single" w:color="auto"/>
          <w:color w:val="auto"/>
        </w:rPr>
      </w:pPr>
    </w:p>
    <w:p>
      <w:pPr>
        <w:ind w:left="1320" w:right="679" w:hanging="379"/>
        <w:spacing w:after="0" w:line="270" w:lineRule="auto"/>
        <w:tabs>
          <w:tab w:leader="none" w:pos="1320" w:val="left"/>
        </w:tabs>
        <w:numPr>
          <w:ilvl w:val="0"/>
          <w:numId w:val="296"/>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Board Position</w:t>
      </w:r>
      <w:r>
        <w:rPr>
          <w:rFonts w:ascii="Times New Roman" w:cs="Times New Roman" w:eastAsia="Times New Roman" w:hAnsi="Times New Roman"/>
          <w:sz w:val="12"/>
          <w:szCs w:val="12"/>
          <w:color w:val="auto"/>
        </w:rPr>
        <w:t>. You will continue to serve as a member of the Board of Directors during such time as you serve as President and Chief Executive Officer, subject to the review and recommendations of the Nominating and Corporate Governance Committee of the Board of Directors and your reelection to such position by the shareholders of the Company. You will not receive any additional compensation for your services as a member of the Board of Directors. If your employment with the Company ceases for any reason, you agree that you will cease immediately to hold any and all officer and director positions you then have with the Company or any affiliate, absent a contrary written direction from the Board (which may include either a request to continue such service or a direction to cease serving upon notice) and further agree that termination of your employment as President and Chief Executive Officer shall constitute “cause” for your removal as a member of the Board of Directors in accordance with Section 8.08(d) of the Massachusetts Business Corporation Act.</w:t>
      </w:r>
    </w:p>
    <w:p>
      <w:pPr>
        <w:spacing w:after="0" w:line="56" w:lineRule="exact"/>
        <w:rPr>
          <w:rFonts w:ascii="Times New Roman" w:cs="Times New Roman" w:eastAsia="Times New Roman" w:hAnsi="Times New Roman"/>
          <w:sz w:val="12"/>
          <w:szCs w:val="12"/>
          <w:u w:val="single" w:color="auto"/>
          <w:color w:val="auto"/>
        </w:rPr>
      </w:pPr>
    </w:p>
    <w:p>
      <w:pPr>
        <w:ind w:left="1320" w:hanging="379"/>
        <w:spacing w:after="0"/>
        <w:tabs>
          <w:tab w:leader="none" w:pos="1320" w:val="left"/>
        </w:tabs>
        <w:numPr>
          <w:ilvl w:val="0"/>
          <w:numId w:val="29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Compensation</w:t>
      </w:r>
      <w:r>
        <w:rPr>
          <w:rFonts w:ascii="Times New Roman" w:cs="Times New Roman" w:eastAsia="Times New Roman" w:hAnsi="Times New Roman"/>
          <w:sz w:val="13"/>
          <w:szCs w:val="13"/>
          <w:color w:val="auto"/>
        </w:rPr>
        <w:t>. As consideration for your services to the Company:</w:t>
      </w:r>
    </w:p>
    <w:p>
      <w:pPr>
        <w:spacing w:after="0" w:line="87" w:lineRule="exact"/>
        <w:rPr>
          <w:sz w:val="20"/>
          <w:szCs w:val="20"/>
          <w:color w:val="auto"/>
        </w:rPr>
      </w:pPr>
    </w:p>
    <w:p>
      <w:pPr>
        <w:ind w:left="4480" w:right="2679" w:hanging="3539"/>
        <w:spacing w:after="0" w:line="435" w:lineRule="auto"/>
        <w:tabs>
          <w:tab w:leader="none" w:pos="1327"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base salary for this exempt position will be paid $35,000 monthly, equal to $420,000 per year. 1</w:t>
      </w:r>
    </w:p>
    <w:p>
      <w:pPr>
        <w:sectPr>
          <w:pgSz w:w="11900" w:h="16838" w:orient="portrait"/>
          <w:cols w:equalWidth="0" w:num="1">
            <w:col w:w="9019"/>
          </w:cols>
          <w:pgMar w:left="1440" w:top="125" w:right="1440" w:bottom="1440" w:gutter="0" w:footer="0" w:header="0"/>
        </w:sectPr>
      </w:pPr>
    </w:p>
    <w:bookmarkStart w:id="259" w:name="page260"/>
    <w:bookmarkEnd w:id="259"/>
    <w:p>
      <w:pPr>
        <w:ind w:left="1320" w:right="759" w:hanging="379"/>
        <w:spacing w:after="0" w:line="272" w:lineRule="auto"/>
        <w:tabs>
          <w:tab w:leader="none" w:pos="1320"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You acknowledge and agree that you were granted 50,000 shares of restricted stock of the Company under the Company’s 2019 Equity Incentive Plan, pursuant to the terms and conditions of the Company’s standard form of restricted stock agreement (the “</w:t>
      </w:r>
      <w:r>
        <w:rPr>
          <w:rFonts w:ascii="Times New Roman" w:cs="Times New Roman" w:eastAsia="Times New Roman" w:hAnsi="Times New Roman"/>
          <w:sz w:val="12"/>
          <w:szCs w:val="12"/>
          <w:u w:val="single" w:color="auto"/>
          <w:color w:val="auto"/>
        </w:rPr>
        <w:t>Initial Restricted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 Grant</w:t>
      </w:r>
      <w:r>
        <w:rPr>
          <w:rFonts w:ascii="Times New Roman" w:cs="Times New Roman" w:eastAsia="Times New Roman" w:hAnsi="Times New Roman"/>
          <w:sz w:val="12"/>
          <w:szCs w:val="12"/>
          <w:color w:val="auto"/>
        </w:rPr>
        <w:t>”). The shares of the Restricted Stock are subject to vesting based on your continued employment by the Company on each vest date: 10,000 shares of the Initial Restricted Stock Grant vested on the January 1, 2024, and an additional 833 shares of the Initial Restricted Stock Grant vest on the first day of each subsequent month, for forty-seven (47) successive months, and the remaining 849 shares of the Initial Restricted Stock Grant shall vest on December 1, 2027, subject to continued service through each such vesting date.</w:t>
      </w:r>
    </w:p>
    <w:p>
      <w:pPr>
        <w:spacing w:after="0" w:line="56" w:lineRule="exact"/>
        <w:rPr>
          <w:rFonts w:ascii="Times New Roman" w:cs="Times New Roman" w:eastAsia="Times New Roman" w:hAnsi="Times New Roman"/>
          <w:sz w:val="12"/>
          <w:szCs w:val="12"/>
          <w:color w:val="auto"/>
        </w:rPr>
      </w:pPr>
    </w:p>
    <w:p>
      <w:pPr>
        <w:ind w:left="1320" w:right="699" w:hanging="379"/>
        <w:spacing w:after="0" w:line="247" w:lineRule="auto"/>
        <w:tabs>
          <w:tab w:leader="none" w:pos="1320"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acknowledge and agree that, on January 1, 2024, you were granted an additional 50,000 shares of restricted stock of the Company under the Company’s 2019 Equity Incentive Plan, pursuant to the terms and conditions of the Company’s standard form of restricted stock agreement (the “</w:t>
      </w:r>
      <w:r>
        <w:rPr>
          <w:rFonts w:ascii="Times New Roman" w:cs="Times New Roman" w:eastAsia="Times New Roman" w:hAnsi="Times New Roman"/>
          <w:sz w:val="13"/>
          <w:szCs w:val="13"/>
          <w:u w:val="single" w:color="auto"/>
          <w:color w:val="auto"/>
        </w:rPr>
        <w:t>Second Restricted Stock Grant</w:t>
      </w:r>
      <w:r>
        <w:rPr>
          <w:rFonts w:ascii="Times New Roman" w:cs="Times New Roman" w:eastAsia="Times New Roman" w:hAnsi="Times New Roman"/>
          <w:sz w:val="13"/>
          <w:szCs w:val="13"/>
          <w:color w:val="auto"/>
        </w:rPr>
        <w:t>”). The shares issued under the Second Restricted Stock Grant are subject to vesting based on your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shall vest on January 1, 2028, subject to continued service through each such vesting date.</w:t>
      </w:r>
    </w:p>
    <w:p>
      <w:pPr>
        <w:spacing w:after="0" w:line="69" w:lineRule="exact"/>
        <w:rPr>
          <w:rFonts w:ascii="Times New Roman" w:cs="Times New Roman" w:eastAsia="Times New Roman" w:hAnsi="Times New Roman"/>
          <w:sz w:val="13"/>
          <w:szCs w:val="13"/>
          <w:color w:val="auto"/>
        </w:rPr>
      </w:pPr>
    </w:p>
    <w:p>
      <w:pPr>
        <w:ind w:left="1320" w:right="959" w:hanging="379"/>
        <w:spacing w:after="0" w:line="255" w:lineRule="auto"/>
        <w:tabs>
          <w:tab w:leader="none" w:pos="1320"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acknowledge and agree that, on August 5, 2025, you were granted an incentive stock option to acquire 55,849 shares of the Company’s Common Stock under the Company’s 2019 Equity Incentive Plan, pursuant to the terms and conditions of the Company’s standard form of stock option agreement (the “</w:t>
      </w:r>
      <w:r>
        <w:rPr>
          <w:rFonts w:ascii="Times New Roman" w:cs="Times New Roman" w:eastAsia="Times New Roman" w:hAnsi="Times New Roman"/>
          <w:sz w:val="13"/>
          <w:szCs w:val="13"/>
          <w:u w:val="single" w:color="auto"/>
          <w:color w:val="auto"/>
        </w:rPr>
        <w:t>Option Grant</w:t>
      </w:r>
      <w:r>
        <w:rPr>
          <w:rFonts w:ascii="Times New Roman" w:cs="Times New Roman" w:eastAsia="Times New Roman" w:hAnsi="Times New Roman"/>
          <w:sz w:val="13"/>
          <w:szCs w:val="13"/>
          <w:color w:val="auto"/>
        </w:rPr>
        <w:t>”).</w:t>
      </w:r>
    </w:p>
    <w:p>
      <w:pPr>
        <w:spacing w:after="0" w:line="64" w:lineRule="exact"/>
        <w:rPr>
          <w:sz w:val="20"/>
          <w:szCs w:val="20"/>
          <w:color w:val="auto"/>
        </w:rPr>
      </w:pPr>
    </w:p>
    <w:p>
      <w:pPr>
        <w:ind w:left="1320" w:right="659" w:hanging="379"/>
        <w:spacing w:after="0" w:line="247" w:lineRule="auto"/>
        <w:tabs>
          <w:tab w:leader="none" w:pos="1320" w:val="left"/>
        </w:tabs>
        <w:numPr>
          <w:ilvl w:val="0"/>
          <w:numId w:val="29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Transaction Bonus</w:t>
      </w:r>
      <w:r>
        <w:rPr>
          <w:rFonts w:ascii="Times New Roman" w:cs="Times New Roman" w:eastAsia="Times New Roman" w:hAnsi="Times New Roman"/>
          <w:sz w:val="13"/>
          <w:szCs w:val="13"/>
          <w:color w:val="auto"/>
        </w:rPr>
        <w:t>.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subject to the achievement of certain performance metrics (as determined by the Board in its reasonable discretion) and to your continued employment with the Company on the date of the consummation of such Change of Control, you will be entitled to receive a transaction bonus (the “</w:t>
      </w:r>
      <w:r>
        <w:rPr>
          <w:rFonts w:ascii="Times New Roman" w:cs="Times New Roman" w:eastAsia="Times New Roman" w:hAnsi="Times New Roman"/>
          <w:sz w:val="13"/>
          <w:szCs w:val="13"/>
          <w:u w:val="single" w:color="auto"/>
          <w:color w:val="auto"/>
        </w:rPr>
        <w:t>Transaction Bonus</w:t>
      </w:r>
      <w:r>
        <w:rPr>
          <w:rFonts w:ascii="Times New Roman" w:cs="Times New Roman" w:eastAsia="Times New Roman" w:hAnsi="Times New Roman"/>
          <w:sz w:val="13"/>
          <w:szCs w:val="13"/>
          <w:color w:val="auto"/>
        </w:rPr>
        <w:t>”) in an amount up to $150,000. Any Transaction Bonus will be paid, if at all, on or as soon as reasonably practicable following (but in no event more than ten (10) days following) the consummation of the Change of Control.</w:t>
      </w:r>
    </w:p>
    <w:p>
      <w:pPr>
        <w:spacing w:after="0" w:line="69" w:lineRule="exact"/>
        <w:rPr>
          <w:rFonts w:ascii="Times New Roman" w:cs="Times New Roman" w:eastAsia="Times New Roman" w:hAnsi="Times New Roman"/>
          <w:sz w:val="13"/>
          <w:szCs w:val="13"/>
          <w:u w:val="single" w:color="auto"/>
          <w:color w:val="auto"/>
        </w:rPr>
      </w:pPr>
    </w:p>
    <w:p>
      <w:pPr>
        <w:ind w:left="1320" w:right="719" w:hanging="379"/>
        <w:spacing w:after="0" w:line="255" w:lineRule="auto"/>
        <w:tabs>
          <w:tab w:leader="none" w:pos="1320" w:val="left"/>
        </w:tabs>
        <w:numPr>
          <w:ilvl w:val="0"/>
          <w:numId w:val="29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Benefits</w:t>
      </w:r>
      <w:r>
        <w:rPr>
          <w:rFonts w:ascii="Times New Roman" w:cs="Times New Roman" w:eastAsia="Times New Roman" w:hAnsi="Times New Roman"/>
          <w:sz w:val="13"/>
          <w:szCs w:val="13"/>
          <w:color w:val="auto"/>
        </w:rPr>
        <w:t>. You will continue to be entitled as an employee of the Company to receive such benefits as are generally provided its employees in accordance with Company policy as in effect from time to time. The Company retains the right to change, add or cease any particular benefit and will provide reasonable notice of such change.</w:t>
      </w:r>
    </w:p>
    <w:p>
      <w:pPr>
        <w:spacing w:after="0" w:line="63" w:lineRule="exact"/>
        <w:rPr>
          <w:rFonts w:ascii="Times New Roman" w:cs="Times New Roman" w:eastAsia="Times New Roman" w:hAnsi="Times New Roman"/>
          <w:sz w:val="13"/>
          <w:szCs w:val="13"/>
          <w:u w:val="single" w:color="auto"/>
          <w:color w:val="auto"/>
        </w:rPr>
      </w:pPr>
    </w:p>
    <w:p>
      <w:pPr>
        <w:ind w:left="1320" w:right="659" w:hanging="379"/>
        <w:spacing w:after="0" w:line="275" w:lineRule="auto"/>
        <w:tabs>
          <w:tab w:leader="none" w:pos="1320" w:val="left"/>
        </w:tabs>
        <w:numPr>
          <w:ilvl w:val="0"/>
          <w:numId w:val="299"/>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Severance.</w:t>
      </w:r>
      <w:r>
        <w:rPr>
          <w:rFonts w:ascii="Times New Roman" w:cs="Times New Roman" w:eastAsia="Times New Roman" w:hAnsi="Times New Roman"/>
          <w:sz w:val="12"/>
          <w:szCs w:val="12"/>
          <w:color w:val="auto"/>
        </w:rPr>
        <w:t xml:space="preserve"> As the Company’s President and Chief Executive Officer, you will be eligible for severance benefits in certain circumstances. If your employment is terminated by the Company without Cause or you resign for Good Reason (each as defined below), then if, and only if, you execute and deliver to the Company a separation and general release agreement prepared by the Company and in a form acceptable to the Company, which will release any and all claims based on your employment with the Company (the “</w:t>
      </w:r>
      <w:r>
        <w:rPr>
          <w:rFonts w:ascii="Times New Roman" w:cs="Times New Roman" w:eastAsia="Times New Roman" w:hAnsi="Times New Roman"/>
          <w:sz w:val="12"/>
          <w:szCs w:val="12"/>
          <w:u w:val="single" w:color="auto"/>
          <w:color w:val="auto"/>
        </w:rPr>
        <w:t>Release</w:t>
      </w:r>
      <w:r>
        <w:rPr>
          <w:rFonts w:ascii="Times New Roman" w:cs="Times New Roman" w:eastAsia="Times New Roman" w:hAnsi="Times New Roman"/>
          <w:sz w:val="12"/>
          <w:szCs w:val="12"/>
          <w:color w:val="auto"/>
        </w:rPr>
        <w:t>”), and (as applicable) without you having revoked the Release, within 60 days following the date on which your employment terminates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60" w:name="page261"/>
    <w:bookmarkEnd w:id="260"/>
    <w:p>
      <w:pPr>
        <w:ind w:left="1320" w:right="9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(the date the Release becomes effective, the “</w:t>
      </w:r>
      <w:r>
        <w:rPr>
          <w:rFonts w:ascii="Times New Roman" w:cs="Times New Roman" w:eastAsia="Times New Roman" w:hAnsi="Times New Roman"/>
          <w:sz w:val="13"/>
          <w:szCs w:val="13"/>
          <w:u w:val="single" w:color="auto"/>
          <w:color w:val="auto"/>
        </w:rPr>
        <w:t>Release Date</w:t>
      </w:r>
      <w:r>
        <w:rPr>
          <w:rFonts w:ascii="Times New Roman" w:cs="Times New Roman" w:eastAsia="Times New Roman" w:hAnsi="Times New Roman"/>
          <w:sz w:val="13"/>
          <w:szCs w:val="13"/>
          <w:color w:val="auto"/>
        </w:rPr>
        <w:t>”), and only so long as you have not breached the provisions of this Agreement, you will be entitled to the following severance benefits:</w:t>
      </w:r>
    </w:p>
    <w:p>
      <w:pPr>
        <w:spacing w:after="0" w:line="56" w:lineRule="exact"/>
        <w:rPr>
          <w:sz w:val="20"/>
          <w:szCs w:val="20"/>
          <w:color w:val="auto"/>
        </w:rPr>
      </w:pPr>
    </w:p>
    <w:p>
      <w:pPr>
        <w:ind w:left="1320" w:hanging="379"/>
        <w:spacing w:after="0"/>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nine (9) months of your base pay in effect as of the Termination Date;</w:t>
      </w:r>
    </w:p>
    <w:p>
      <w:pPr>
        <w:spacing w:after="0" w:line="87" w:lineRule="exact"/>
        <w:rPr>
          <w:rFonts w:ascii="Times New Roman" w:cs="Times New Roman" w:eastAsia="Times New Roman" w:hAnsi="Times New Roman"/>
          <w:sz w:val="13"/>
          <w:szCs w:val="13"/>
          <w:color w:val="auto"/>
        </w:rPr>
      </w:pPr>
    </w:p>
    <w:p>
      <w:pPr>
        <w:ind w:left="1320" w:right="1059" w:hanging="379"/>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twelve (12) months of health insurance premium contributions at the same monthly rate the Company provides reimbursement for such health insurance premium contributions immediately prior to the Termination Date; and</w:t>
      </w:r>
    </w:p>
    <w:p>
      <w:pPr>
        <w:spacing w:after="0" w:line="55"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Company equity or equity-based awards (including without limitation the Initial Restricted Stock Grant, the Second Restricted Stock Grant, and the Option Grant) you hold immediately prior to the Termination Date shall immediately accelerate and become fully vested and exercisable as of the Termination Date.</w:t>
      </w:r>
    </w:p>
    <w:p>
      <w:pPr>
        <w:spacing w:after="0" w:line="13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Any payments due under Sections 7.a) and 7.b) (if any) (collectively, the “</w:t>
      </w:r>
      <w:r>
        <w:rPr>
          <w:rFonts w:ascii="Times New Roman" w:cs="Times New Roman" w:eastAsia="Times New Roman" w:hAnsi="Times New Roman"/>
          <w:sz w:val="13"/>
          <w:szCs w:val="13"/>
          <w:u w:val="single" w:color="auto"/>
          <w:color w:val="auto"/>
        </w:rPr>
        <w:t>Severance Payments</w:t>
      </w:r>
      <w:r>
        <w:rPr>
          <w:rFonts w:ascii="Times New Roman" w:cs="Times New Roman" w:eastAsia="Times New Roman" w:hAnsi="Times New Roman"/>
          <w:sz w:val="13"/>
          <w:szCs w:val="13"/>
          <w:color w:val="auto"/>
        </w:rPr>
        <w:t>”) will be paid by the Company to you in a lump sum on the first regularly scheduled payroll date following the Release Date. The Severance Payments are subject to applicable federal, state, and local tax deductions and withholding. If you are or become eligible for any severance or notice payments or benefits pursuant to any federal, state, or local law, any Severance Payment will be offset by such severance or notice payments or benefits. You will not be entitled to any other salary, compensation, or benefits after the termination of your employment with the Company, except as specifically provided herein or under any option agreements with the Company.</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the receipt of the severance benefits under this Section 7:</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Cause</w:t>
      </w:r>
      <w:r>
        <w:rPr>
          <w:rFonts w:ascii="Times New Roman" w:cs="Times New Roman" w:eastAsia="Times New Roman" w:hAnsi="Times New Roman"/>
          <w:sz w:val="13"/>
          <w:szCs w:val="13"/>
          <w:color w:val="auto"/>
        </w:rPr>
        <w:t>” shall mean a determination by the Board of Directors of the Company that you:</w:t>
      </w:r>
    </w:p>
    <w:p>
      <w:pPr>
        <w:spacing w:after="0" w:line="87" w:lineRule="exact"/>
        <w:rPr>
          <w:sz w:val="20"/>
          <w:szCs w:val="20"/>
          <w:color w:val="auto"/>
        </w:rPr>
      </w:pPr>
    </w:p>
    <w:p>
      <w:pPr>
        <w:ind w:left="1320" w:right="103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engaged in gross negligence or willful misconduct in the performance of your duties with respect to the Company or any of its affiliates;</w:t>
      </w:r>
    </w:p>
    <w:p>
      <w:pPr>
        <w:spacing w:after="0" w:line="55" w:lineRule="exact"/>
        <w:rPr>
          <w:rFonts w:ascii="Times New Roman" w:cs="Times New Roman" w:eastAsia="Times New Roman" w:hAnsi="Times New Roman"/>
          <w:sz w:val="13"/>
          <w:szCs w:val="13"/>
          <w:color w:val="auto"/>
        </w:rPr>
      </w:pPr>
    </w:p>
    <w:p>
      <w:pPr>
        <w:ind w:left="1320" w:right="679" w:hanging="379"/>
        <w:spacing w:after="0" w:line="255"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materially breached any provision of this Agreement, your Proprietary Invention and Assignment Agreement with the Company, or any individual employment or other similar agreement between you, on the one hand, and the Company or any of its affiliates, on the other hand;</w:t>
      </w:r>
    </w:p>
    <w:p>
      <w:pPr>
        <w:spacing w:after="0" w:line="63" w:lineRule="exact"/>
        <w:rPr>
          <w:rFonts w:ascii="Times New Roman" w:cs="Times New Roman" w:eastAsia="Times New Roman" w:hAnsi="Times New Roman"/>
          <w:sz w:val="13"/>
          <w:szCs w:val="13"/>
          <w:color w:val="auto"/>
        </w:rPr>
      </w:pPr>
    </w:p>
    <w:p>
      <w:pPr>
        <w:ind w:left="1320" w:right="75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committed an act of theft, fraud, embezzlement, misappropriation, or willful breach of a fiduciary duty with respect to the Company or any of its affiliates; or</w:t>
      </w:r>
    </w:p>
    <w:p>
      <w:pPr>
        <w:spacing w:after="0" w:line="55" w:lineRule="exact"/>
        <w:rPr>
          <w:rFonts w:ascii="Times New Roman" w:cs="Times New Roman" w:eastAsia="Times New Roman" w:hAnsi="Times New Roman"/>
          <w:sz w:val="13"/>
          <w:szCs w:val="13"/>
          <w:color w:val="auto"/>
        </w:rPr>
      </w:pPr>
    </w:p>
    <w:p>
      <w:pPr>
        <w:ind w:left="1320" w:right="101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convicted of, pleaded no contest to, or received adjudicated probation or deferred adjudication in connection with a crime involving fraud, dishonesty, or moral turpitude, or any felony (or a crime of similar import in a foreign jurisdiction).</w:t>
      </w:r>
    </w:p>
    <w:p>
      <w:pPr>
        <w:spacing w:after="0" w:line="46" w:lineRule="exact"/>
        <w:rPr>
          <w:sz w:val="20"/>
          <w:szCs w:val="20"/>
          <w:color w:val="auto"/>
        </w:rPr>
      </w:pPr>
    </w:p>
    <w:p>
      <w:pPr>
        <w:ind w:left="940" w:right="679"/>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Good Reason</w:t>
      </w:r>
      <w:r>
        <w:rPr>
          <w:rFonts w:ascii="Times New Roman" w:cs="Times New Roman" w:eastAsia="Times New Roman" w:hAnsi="Times New Roman"/>
          <w:sz w:val="12"/>
          <w:szCs w:val="12"/>
          <w:color w:val="auto"/>
        </w:rPr>
        <w:t>” shall mean the occurrence of any of the following adverse employment actions without your consent: (A) a material diminution in your authority, duties or responsibilities; (B) a material reduction in your base salary; or (C) the relocation of your principal place of employment to a location that increases your then-commute by fifty (50) miles in a single direction. You may terminate your employment for Good Reason by providing notice in accordance with the following “</w:t>
      </w:r>
      <w:r>
        <w:rPr>
          <w:rFonts w:ascii="Times New Roman" w:cs="Times New Roman" w:eastAsia="Times New Roman" w:hAnsi="Times New Roman"/>
          <w:sz w:val="12"/>
          <w:szCs w:val="12"/>
          <w:u w:val="single" w:color="auto"/>
          <w:color w:val="auto"/>
        </w:rPr>
        <w:t>Good Reason Process</w:t>
      </w:r>
      <w:r>
        <w:rPr>
          <w:rFonts w:ascii="Times New Roman" w:cs="Times New Roman" w:eastAsia="Times New Roman" w:hAnsi="Times New Roman"/>
          <w:sz w:val="12"/>
          <w:szCs w:val="12"/>
          <w:color w:val="auto"/>
        </w:rPr>
        <w:t>”. To resign for Good Reason, you must provide written notice to the Board detailing the existence of a condition described in the definition of Good Reason within a thirty (30)-day period after the initial existence of the condition, you must provide the Company at least thirty (30) days after receipt of such notice to remedy the condition, and, if the condition is not so remedied, you must terminate employment for Good Reason within thirty (30) days after the end of the cure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61" w:name="page262"/>
    <w:bookmarkEnd w:id="261"/>
    <w:p>
      <w:pPr>
        <w:ind w:left="940" w:right="71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avoidance of doubt, you are not entitled to any severance benefits under this Section 7 if your employment with the Company ends due to retirement, voluntary termination or resignation without Good Reason, your death or disability, or termination by the Company for Cause.</w:t>
      </w:r>
    </w:p>
    <w:p>
      <w:pPr>
        <w:spacing w:after="0" w:line="33" w:lineRule="exact"/>
        <w:rPr>
          <w:sz w:val="20"/>
          <w:szCs w:val="20"/>
          <w:color w:val="auto"/>
        </w:rPr>
      </w:pPr>
    </w:p>
    <w:p>
      <w:pPr>
        <w:ind w:left="1320" w:hanging="379"/>
        <w:spacing w:after="0"/>
        <w:tabs>
          <w:tab w:leader="none" w:pos="1320" w:val="left"/>
        </w:tabs>
        <w:numPr>
          <w:ilvl w:val="0"/>
          <w:numId w:val="30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Timing of Payments and Section 409A</w:t>
      </w:r>
    </w:p>
    <w:p>
      <w:pPr>
        <w:spacing w:after="0" w:line="87" w:lineRule="exact"/>
        <w:rPr>
          <w:sz w:val="20"/>
          <w:szCs w:val="20"/>
          <w:color w:val="auto"/>
        </w:rPr>
      </w:pPr>
    </w:p>
    <w:p>
      <w:pPr>
        <w:ind w:left="1320" w:right="679" w:hanging="379"/>
        <w:spacing w:after="0" w:line="270" w:lineRule="auto"/>
        <w:tabs>
          <w:tab w:leader="none" w:pos="1320"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Agreement, if at the time your employment terminates, you are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(6)-month period or, if earlier, upon your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 of the Internal Revenue Code of 1986, as amended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w:t>
      </w:r>
    </w:p>
    <w:p>
      <w:pPr>
        <w:spacing w:after="0" w:line="56"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to the extent required to comply with Section 409A,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66" w:lineRule="exact"/>
        <w:rPr>
          <w:rFonts w:ascii="Times New Roman" w:cs="Times New Roman" w:eastAsia="Times New Roman" w:hAnsi="Times New Roman"/>
          <w:sz w:val="13"/>
          <w:szCs w:val="13"/>
          <w:color w:val="auto"/>
        </w:rPr>
      </w:pPr>
    </w:p>
    <w:p>
      <w:pPr>
        <w:ind w:left="1320" w:right="839" w:hanging="379"/>
        <w:spacing w:after="0" w:line="267"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payment made under this Agreement shall be treated as a separate payment and the right to a series of installment payments under this Agreement is to be treated as a right to a series of separate payments.</w:t>
      </w:r>
    </w:p>
    <w:p>
      <w:pPr>
        <w:spacing w:after="0" w:line="55" w:lineRule="exact"/>
        <w:rPr>
          <w:rFonts w:ascii="Times New Roman" w:cs="Times New Roman" w:eastAsia="Times New Roman" w:hAnsi="Times New Roman"/>
          <w:sz w:val="13"/>
          <w:szCs w:val="13"/>
          <w:color w:val="auto"/>
        </w:rPr>
      </w:pPr>
    </w:p>
    <w:p>
      <w:pPr>
        <w:ind w:left="1320" w:right="699" w:hanging="379"/>
        <w:spacing w:after="0" w:line="249"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payment or reimbursement for expenses that would constitute nonqualified deferred compensation subject to Section 409A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67"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Company have any liability relating to the failure or alleged failure of any payment or benefit under this Agreement to comply with, or be exempt from, the requirements of Section 409A.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62" w:name="page263"/>
    <w:bookmarkEnd w:id="262"/>
    <w:p>
      <w:pPr>
        <w:ind w:left="1320" w:hanging="379"/>
        <w:spacing w:after="0"/>
        <w:tabs>
          <w:tab w:leader="none" w:pos="1320" w:val="left"/>
        </w:tabs>
        <w:numPr>
          <w:ilvl w:val="0"/>
          <w:numId w:val="30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General</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ind w:left="1320" w:right="719" w:hanging="379"/>
        <w:spacing w:after="0" w:line="248"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constitutes the entire agreement of the parties with regard to its subject matter, and supersedes all previous written or oral agreements, representations, agreements and understandings between the parties on the subject matter (including the Prior Agreement) excluding any rights you may have in connection with your service as a non-employee director of the Company prior to the date your employment with the Company commenced. For the avoidance of doubt, this Agreement does not supersede any confidentiality, assignment of intellectual property, non-competition, non-solicitation, no-hire, non-disparagement or other similar restrictive covenant obligations you owe to the Company or any of its affiliates under any separate agreement.</w:t>
      </w:r>
    </w:p>
    <w:p>
      <w:pPr>
        <w:spacing w:after="0" w:line="68" w:lineRule="exact"/>
        <w:rPr>
          <w:rFonts w:ascii="Times New Roman" w:cs="Times New Roman" w:eastAsia="Times New Roman" w:hAnsi="Times New Roman"/>
          <w:sz w:val="13"/>
          <w:szCs w:val="13"/>
          <w:color w:val="auto"/>
        </w:rPr>
      </w:pPr>
    </w:p>
    <w:p>
      <w:pPr>
        <w:ind w:left="1320" w:right="739" w:hanging="379"/>
        <w:spacing w:after="0" w:line="267"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the laws of the Commonwealth of Massachusetts, without application of its principles of conflict of laws.</w:t>
      </w:r>
    </w:p>
    <w:p>
      <w:pPr>
        <w:spacing w:after="0" w:line="55"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amounts payable under this Agreement shall be subject to applicable withholding taxes and other required deductions.</w:t>
      </w:r>
    </w:p>
    <w:p>
      <w:pPr>
        <w:spacing w:after="0" w:line="87" w:lineRule="exact"/>
        <w:rPr>
          <w:rFonts w:ascii="Times New Roman" w:cs="Times New Roman" w:eastAsia="Times New Roman" w:hAnsi="Times New Roman"/>
          <w:sz w:val="13"/>
          <w:szCs w:val="13"/>
          <w:color w:val="auto"/>
        </w:rPr>
      </w:pPr>
    </w:p>
    <w:p>
      <w:pPr>
        <w:ind w:left="1320" w:right="759" w:hanging="379"/>
        <w:spacing w:after="0" w:line="267"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may be executed in any number of counterparts, each of which will be deemed an original, but all of which together will constitute one and the same instrument.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63" w:name="page264"/>
    <w:bookmarkEnd w:id="26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Sincerely,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Errol De Souza,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Name: Errol De Souza, Ph.D.</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 Chairman of the Board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ACCEPTED this 31st day of March,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 Regina Graul,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196151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AMENDED AND RESTATED OFFER LETTER TO REGINA GRAUL, PH.D.]</w:t>
      </w:r>
    </w:p>
    <w:p>
      <w:pPr>
        <w:sectPr>
          <w:pgSz w:w="11900" w:h="16838" w:orient="portrait"/>
          <w:cols w:equalWidth="0" w:num="1">
            <w:col w:w="9019"/>
          </w:cols>
          <w:pgMar w:left="1440" w:top="231" w:right="1440" w:bottom="1440" w:gutter="0" w:footer="0" w:header="0"/>
        </w:sectPr>
      </w:pPr>
    </w:p>
    <w:bookmarkStart w:id="264" w:name="page265"/>
    <w:bookmarkEnd w:id="26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047115" cy="2349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47115" cy="2349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119380</wp:posOffset>
            </wp:positionV>
            <wp:extent cx="818515" cy="3549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18515"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Cyclerion Therapeutics and Korsana Biosciences Announce Merger Agreement</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Combined company to operate as Korsana Biosciences and to advance Korsana’s potential best-in-class therapeutics to treat neurodegenerative diseases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Korsana’s lead program KRSA-028 is a next-generation shuttled monoclonal antibody targeting amyloid beta for the treatment of Alzheimer’s disease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Concurrent private financing of approximately $380 million expected to fund Korsana’s operations into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2029, including multiple clinical trial data readouts expected in 2027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Conference call scheduled for April 1, 2026, at 8:00 am ET</w:t>
      </w:r>
    </w:p>
    <w:p>
      <w:pPr>
        <w:spacing w:after="0" w:line="156"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WALTHAM, Mass., April 1, 2026— Cyclerion Therapeutics, Inc. (“Cyclerion”) (Nasdaq: CYCN) and Korsana Biosciences, Inc. (“Korsana”), a privately-held biotechnology company discovering and developing novel therapies to reduce the burden of neurodegenerative diseases, today announced that they have entered into a definitive merger agreement for an all-stock transaction. Upon completion of the transaction, the combined company plans to operate under the name Korsana Biosciences, Inc. and trade on Nasdaq under the ticker symbol “KRSA.”</w:t>
      </w:r>
    </w:p>
    <w:p>
      <w:pPr>
        <w:spacing w:after="0" w:line="133"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In support of the proposed merger, Korsana has secured commitments for an oversubscribed private investment that is expected to result in total gross proceeds of approximately $380 million from a syndicate of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common stock and pre-funded warrants exercisable for shares of Korsana common stock.</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financing is expected to close immediately prior to completion of the proposed merger. The combined company’s cash and cash equivalents balance at closing, including the funds from the private placement, is anticipated to fund Korsana’s operations into 2029 and provides runway through key clinical milestones. These include the advancement of KRSA-028 through Phase 1 healthy volunteer data expected in mid-2027 and interim proof of concept data measuring amyloid plaque clearance in Alzheimer’s patients expected by the end of 2027.</w:t>
      </w:r>
    </w:p>
    <w:p>
      <w:pPr>
        <w:spacing w:after="0" w:line="104" w:lineRule="exact"/>
        <w:rPr>
          <w:sz w:val="20"/>
          <w:szCs w:val="20"/>
          <w:color w:val="auto"/>
        </w:rPr>
      </w:pPr>
    </w:p>
    <w:p>
      <w:pPr>
        <w:ind w:left="640" w:right="699"/>
        <w:spacing w:after="0" w:line="260" w:lineRule="auto"/>
        <w:rPr>
          <w:sz w:val="20"/>
          <w:szCs w:val="20"/>
          <w:color w:val="auto"/>
        </w:rPr>
      </w:pPr>
      <w:r>
        <w:rPr>
          <w:rFonts w:ascii="Times New Roman" w:cs="Times New Roman" w:eastAsia="Times New Roman" w:hAnsi="Times New Roman"/>
          <w:sz w:val="13"/>
          <w:szCs w:val="13"/>
          <w:color w:val="auto"/>
        </w:rPr>
        <w:t>“Korsana is determined to deliver breakthrough medicines for patients su</w:t>
      </w:r>
      <w:r>
        <w:rPr>
          <w:rFonts w:ascii="Arial" w:cs="Arial" w:eastAsia="Arial" w:hAnsi="Arial"/>
          <w:sz w:val="13"/>
          <w:szCs w:val="13"/>
          <w:color w:val="auto"/>
        </w:rPr>
        <w:t>ﬀ</w:t>
      </w:r>
      <w:r>
        <w:rPr>
          <w:rFonts w:ascii="Times New Roman" w:cs="Times New Roman" w:eastAsia="Times New Roman" w:hAnsi="Times New Roman"/>
          <w:sz w:val="13"/>
          <w:szCs w:val="13"/>
          <w:color w:val="auto"/>
        </w:rPr>
        <w:t>ering from neurodegenerative disorders. With our seasoned team and support from leading biotechnology investors, Korsana is well-positioned to advance a pipeline of innovative, next generation therapies,” said Jonathan Violin, Ph.D., Korsana’s President and Chief Executive Officer. “Patients deserve better options than what is currently available, and we believe our lead program KRSA-028 can deliver a best-in-class product to treat Alzheimer’s disease. We are also building a broader pipeline leveraging our proprietary platform to target other devastating neurodegenerative disorders.”</w:t>
      </w:r>
    </w:p>
    <w:p>
      <w:pPr>
        <w:sectPr>
          <w:pgSz w:w="11900" w:h="16838" w:orient="portrait"/>
          <w:cols w:equalWidth="0" w:num="1">
            <w:col w:w="9019"/>
          </w:cols>
          <w:pgMar w:left="1440" w:top="125" w:right="1440" w:bottom="1440" w:gutter="0" w:footer="0" w:header="0"/>
        </w:sectPr>
      </w:pPr>
    </w:p>
    <w:bookmarkStart w:id="265" w:name="page266"/>
    <w:bookmarkEnd w:id="265"/>
    <w:p>
      <w:pPr>
        <w:ind w:left="640" w:right="699"/>
        <w:spacing w:after="0" w:line="23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Korsana is the seventh company to launch with assets discovered and developed by Paragon Therapeutics. Korsana’s lead program is KRSA-028, a next-generation shuttled antibody targeting amyloid beta for the treatment of Alzheimer’s disease, discovered in partnership with Paragon Therapeutics. KRSA-028 utilizes the proprietary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platform, which incorporates clinically validated transferrin receptor (TfR1) and Fc engineering and is designed to improve brain delivery and solve limitations of other TfR1-based approaches. KRSA-028 was designed to increase amyloid plaque clearance, reduce the rate of amyloid-related imaging abnormalities (ARIA) and hematologic adverse events, and optimize convenience and compliance with a low-volume subcutaneous route of administration. Korsana is advancing a pipeline of innovative THETA-enabled therapies for other undisclosed, neurodegenerative diseases with high unmet need.</w:t>
      </w:r>
    </w:p>
    <w:p>
      <w:pPr>
        <w:spacing w:after="0" w:line="141"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“Our transaction with Korsana is the result of a comprehensive strategic review, and we believe it represents the best path forward for Cyclerion,” said Regina Graul, Ph.D., President and Chief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 of Cyclerion. “Korsana’s promising and innovative pipeline targeting neurodegenerative disorders, beginning with Alzheimer’s disease, provides the potential for significant value creation for Cyclerion’s shareholders.”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Transactions</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Under the terms of the merger agreement, as of the closing of the proposed merger, the pre-merger Cyclerion shareholders are expected to own approximately 1.5% of the combined company and the pre-merger Korsana stockholders (inclusive of those investors participating in the pre-closing financing) are expected to own approximately 98.5% of the combined company. The percentage of the combined company that Cyclerion’s shareholders will own as of the closing of the proposed merger is subject to adjustment based on the estimated amount of Cyclerion’s net cash immediately prior to the closing date.</w:t>
      </w:r>
    </w:p>
    <w:p>
      <w:pPr>
        <w:spacing w:after="0" w:line="134"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transaction has received approval by the Board of Directors of both companies and is expected to close in the third quarter of 2026, subject to certain closing conditions, including, among others, approval by the stockholders of each company, the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ectiveness of a registration statement to be filed with the U.S. Securities and Exchange Commission (the “SEC”) to register the securities to be issued in connection with the proposed merger, expiration of the waiting period under the Hart-Scott-Rodino Antitrust Improvements Act of 1976, as amended, and the satisfaction of other customary closing conditions.</w:t>
      </w:r>
    </w:p>
    <w:p>
      <w:pPr>
        <w:spacing w:after="0" w:line="134" w:lineRule="exact"/>
        <w:rPr>
          <w:sz w:val="20"/>
          <w:szCs w:val="20"/>
          <w:color w:val="auto"/>
        </w:rPr>
      </w:pPr>
    </w:p>
    <w:p>
      <w:pPr>
        <w:ind w:left="640" w:right="839"/>
        <w:spacing w:after="0" w:line="249" w:lineRule="auto"/>
        <w:rPr>
          <w:sz w:val="20"/>
          <w:szCs w:val="20"/>
          <w:color w:val="auto"/>
        </w:rPr>
      </w:pPr>
      <w:r>
        <w:rPr>
          <w:rFonts w:ascii="Times New Roman" w:cs="Times New Roman" w:eastAsia="Times New Roman" w:hAnsi="Times New Roman"/>
          <w:sz w:val="13"/>
          <w:szCs w:val="13"/>
          <w:color w:val="auto"/>
        </w:rPr>
        <w:t>The combined company plans to operate under the name Korsana Biosciences, Inc. and will be led by Dr. Violin, Korsana’s current Chief Executive O</w:t>
      </w:r>
      <w:r>
        <w:rPr>
          <w:rFonts w:ascii="Arial" w:cs="Arial" w:eastAsia="Arial" w:hAnsi="Arial"/>
          <w:sz w:val="13"/>
          <w:szCs w:val="13"/>
          <w:color w:val="auto"/>
        </w:rPr>
        <w:t>ﬃ</w:t>
      </w:r>
      <w:r>
        <w:rPr>
          <w:rFonts w:ascii="Times New Roman" w:cs="Times New Roman" w:eastAsia="Times New Roman" w:hAnsi="Times New Roman"/>
          <w:sz w:val="13"/>
          <w:szCs w:val="13"/>
          <w:color w:val="auto"/>
        </w:rPr>
        <w:t>cer. Korsana’s existing Board of Directors will become directors of the combined company, chaired by Tomas Kiselak, Founding Partner at Fairmount, and including Andrew Gottesdiener, M.D., Partner at Venrock Healthcare Capital Partners, Nilesh Kumar, Ph.D., Head of Biotech Private Investments at Wellington Management, Michelle Pernice, Operating Partner at Fairmount, Nimish Shah, Partner at Venrock Healthcare Capital Partners, and Dr. Violin.</w:t>
      </w:r>
    </w:p>
    <w:p>
      <w:pPr>
        <w:sectPr>
          <w:pgSz w:w="11900" w:h="16838" w:orient="portrait"/>
          <w:cols w:equalWidth="0" w:num="1">
            <w:col w:w="9019"/>
          </w:cols>
          <w:pgMar w:left="1440" w:top="894" w:right="1440" w:bottom="1440" w:gutter="0" w:footer="0" w:header="0"/>
        </w:sectPr>
      </w:pPr>
    </w:p>
    <w:bookmarkStart w:id="266" w:name="page267"/>
    <w:bookmarkEnd w:id="266"/>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Wedbush Securities Inc. is serving as exclusive strategic financial advisor and Gibson, Dunn &amp; Crutcher LLP is serving as legal counsel to Korsana.</w:t>
      </w:r>
    </w:p>
    <w:p>
      <w:pPr>
        <w:spacing w:after="0" w:line="23" w:lineRule="exact"/>
        <w:rPr>
          <w:sz w:val="20"/>
          <w:szCs w:val="20"/>
          <w:color w:val="auto"/>
        </w:rPr>
      </w:pPr>
    </w:p>
    <w:p>
      <w:pPr>
        <w:jc w:val="both"/>
        <w:ind w:left="640" w:right="659"/>
        <w:spacing w:after="0" w:line="247" w:lineRule="auto"/>
        <w:rPr>
          <w:sz w:val="20"/>
          <w:szCs w:val="20"/>
          <w:color w:val="auto"/>
        </w:rPr>
      </w:pPr>
      <w:r>
        <w:rPr>
          <w:rFonts w:ascii="Times New Roman" w:cs="Times New Roman" w:eastAsia="Times New Roman" w:hAnsi="Times New Roman"/>
          <w:sz w:val="13"/>
          <w:szCs w:val="13"/>
          <w:color w:val="auto"/>
        </w:rPr>
        <w:t>Je</w:t>
      </w:r>
      <w:r>
        <w:rPr>
          <w:rFonts w:ascii="Arial" w:cs="Arial" w:eastAsia="Arial" w:hAnsi="Arial"/>
          <w:sz w:val="13"/>
          <w:szCs w:val="13"/>
          <w:color w:val="auto"/>
        </w:rPr>
        <w:t>ﬀ</w:t>
      </w:r>
      <w:r>
        <w:rPr>
          <w:rFonts w:ascii="Times New Roman" w:cs="Times New Roman" w:eastAsia="Times New Roman" w:hAnsi="Times New Roman"/>
          <w:sz w:val="13"/>
          <w:szCs w:val="13"/>
          <w:color w:val="auto"/>
        </w:rPr>
        <w:t>eries, TD Cowen, Stifel, UBS Investment Bank, and Wedbush &amp; Co., LLC are serving as the placement agents to Korsana. Cooley LLP is serving as legal counsel to the placement agents. Gemini Valuation Services, LLC is serving as financial advisor and Ropes &amp; Gray LLP is serving as legal counsel to Cyclerion.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Details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companies will hold a joint conference call on April 1, 2026, at 8:00 am ET to discuss the details of the proposed transactions.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Please access the presentation by clicking on the following link: </w:t>
      </w:r>
      <w:r>
        <w:rPr>
          <w:rFonts w:ascii="Times New Roman" w:cs="Times New Roman" w:eastAsia="Times New Roman" w:hAnsi="Times New Roman"/>
          <w:sz w:val="12"/>
          <w:szCs w:val="12"/>
          <w:u w:val="single" w:color="auto"/>
          <w:color w:val="auto"/>
        </w:rPr>
        <w:t>https://register-conf.media-server.com/register/BIdbeaaec6359f483ab6e6685bd93e6312</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KRSA-028</w:t>
      </w:r>
    </w:p>
    <w:p>
      <w:pPr>
        <w:spacing w:after="0" w:line="80"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3"/>
          <w:szCs w:val="13"/>
          <w:color w:val="auto"/>
        </w:rPr>
        <w:t>KRSA-028 is an investigational, shuttled antibody targeting amyloid beta designed to advance the future of Alzheimer’s treatment. KRSA-028 utilizes a proven mechanism of action, selectively binding forms of amyloid beta that are enriched in amyloid plaques. KRSA-028 leverages Korsana’s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technology, which incorporates clinically validated transferrin receptor (TfR1) and Fc engineering and is designed to improve brain delivery, safety, and convenience.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Cyclerion Therapeutics</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Cyclerion is a biopharmaceutical company focused on developing treatments for neuropsychiatric diseases. Cyclerion’s foundational product candidate, CYC-126, is an individualized therapy for treatment-resistant depression, a condition with significant unmet medical need and substantial commercial opportunity.</w:t>
      </w:r>
    </w:p>
    <w:p>
      <w:pPr>
        <w:spacing w:after="0" w:line="130" w:lineRule="exact"/>
        <w:rPr>
          <w:sz w:val="20"/>
          <w:szCs w:val="20"/>
          <w:color w:val="auto"/>
        </w:rPr>
      </w:pPr>
    </w:p>
    <w:p>
      <w:pPr>
        <w:ind w:left="640" w:right="1939"/>
        <w:spacing w:after="0" w:line="267" w:lineRule="auto"/>
        <w:rPr>
          <w:sz w:val="20"/>
          <w:szCs w:val="20"/>
          <w:color w:val="auto"/>
        </w:rPr>
      </w:pPr>
      <w:r>
        <w:rPr>
          <w:rFonts w:ascii="Times New Roman" w:cs="Times New Roman" w:eastAsia="Times New Roman" w:hAnsi="Times New Roman"/>
          <w:sz w:val="13"/>
          <w:szCs w:val="13"/>
          <w:color w:val="auto"/>
        </w:rPr>
        <w:t>For more information about Cyclerion, please visit https://www.cyclerion.com/ and follow us on X (@Cyclerion) and LinkedIn (www.linkedin.com/company/cyclerion).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Korsana Biosciences</w:t>
      </w:r>
    </w:p>
    <w:p>
      <w:pPr>
        <w:spacing w:after="0" w:line="80" w:lineRule="exact"/>
        <w:rPr>
          <w:sz w:val="20"/>
          <w:szCs w:val="20"/>
          <w:color w:val="auto"/>
        </w:rPr>
      </w:pPr>
    </w:p>
    <w:p>
      <w:pPr>
        <w:ind w:left="640" w:right="659"/>
        <w:spacing w:after="0" w:line="229" w:lineRule="auto"/>
        <w:rPr>
          <w:sz w:val="20"/>
          <w:szCs w:val="20"/>
          <w:color w:val="auto"/>
        </w:rPr>
      </w:pPr>
      <w:r>
        <w:rPr>
          <w:rFonts w:ascii="Times New Roman" w:cs="Times New Roman" w:eastAsia="Times New Roman" w:hAnsi="Times New Roman"/>
          <w:sz w:val="13"/>
          <w:szCs w:val="13"/>
          <w:color w:val="auto"/>
        </w:rPr>
        <w:t>Korsana Biosciences was founded to reduce the burden of neurodegenerative diseases for patients and caregivers. Developed in partnership with Paragon Therapeutics,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is a novel blood-brain barrier-penetrant shuttle platform designed to enable dramatically higher drug concentration inside the brain and overcome the limitations of earlier shuttle technologies. Korsana is advancing a pipeline of innovative THETA-enabled therapies for neurodegenerative diseases, starting with KRSA-028 for the treatment of Alzheimer’s disease. For more information, please visit </w:t>
      </w:r>
      <w:r>
        <w:rPr>
          <w:rFonts w:ascii="Times New Roman" w:cs="Times New Roman" w:eastAsia="Times New Roman" w:hAnsi="Times New Roman"/>
          <w:sz w:val="13"/>
          <w:szCs w:val="13"/>
          <w:u w:val="single" w:color="auto"/>
          <w:color w:val="auto"/>
        </w:rPr>
        <w:t>www.korsana.com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894" w:right="1440" w:bottom="1440" w:gutter="0" w:footer="0" w:header="0"/>
        </w:sectPr>
      </w:pPr>
    </w:p>
    <w:bookmarkStart w:id="267" w:name="page268"/>
    <w:bookmarkEnd w:id="26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0425" cy="421640"/>
                    </a:xfrm>
                    <a:prstGeom prst="rect">
                      <a:avLst/>
                    </a:prstGeom>
                    <a:noFill/>
                  </pic:spPr>
                </pic:pic>
              </a:graphicData>
            </a:graphic>
          </wp:anchor>
        </w:drawing>
        <w:t>Forward-Looking Statements</w:t>
      </w:r>
    </w:p>
    <w:p>
      <w:pPr>
        <w:spacing w:after="0" w:line="80" w:lineRule="exact"/>
        <w:rPr>
          <w:sz w:val="20"/>
          <w:szCs w:val="20"/>
          <w:color w:val="auto"/>
        </w:rPr>
      </w:pPr>
    </w:p>
    <w:p>
      <w:pPr>
        <w:ind w:left="640" w:right="699"/>
        <w:spacing w:after="0" w:line="244" w:lineRule="auto"/>
        <w:rPr>
          <w:sz w:val="20"/>
          <w:szCs w:val="20"/>
          <w:color w:val="auto"/>
        </w:rPr>
      </w:pPr>
      <w:r>
        <w:rPr>
          <w:rFonts w:ascii="Times New Roman" w:cs="Times New Roman" w:eastAsia="Times New Roman" w:hAnsi="Times New Roman"/>
          <w:sz w:val="13"/>
          <w:szCs w:val="13"/>
          <w:color w:val="auto"/>
        </w:rPr>
        <w:t>This press release contains forward-looking statements concerning Cyclerion, Korsana, the proposed pre-closing financing and the proposed merger (collectively, the “Proposed Transactions”) and other matters. These forward-looking statements include, but are not limited to, express or implied statements relating to Cyclerion’s and Korsana’s management teams’ expectations, hopes, beliefs, intentions or strategies regarding the future including, without limitation, statements regarding: the Proposed Transactions and their expected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ects, perceived benefits or opportunities, including expected investment amounts and proceeds from investors, and related timing with respect thereto; expectations regarding or plans for discovery, preclinical studies, clinical trials and research and development programs, in particular with respect to KRSA-028, and any developments or results in connection therewith; the anticipated timing of the commencement of and results from those studies and trials; expectations regarding the use of proceeds, the sufficiency of post-transaction resources to support the advancement of Korsana’s pipeline through certain milestones and the time period over which the combined company’s post-transaction capital resources will be su</w:t>
      </w:r>
      <w:r>
        <w:rPr>
          <w:rFonts w:ascii="Arial" w:cs="Arial" w:eastAsia="Arial" w:hAnsi="Arial"/>
          <w:sz w:val="13"/>
          <w:szCs w:val="13"/>
          <w:color w:val="auto"/>
        </w:rPr>
        <w:t>ﬃ</w:t>
      </w:r>
      <w:r>
        <w:rPr>
          <w:rFonts w:ascii="Times New Roman" w:cs="Times New Roman" w:eastAsia="Times New Roman" w:hAnsi="Times New Roman"/>
          <w:sz w:val="13"/>
          <w:szCs w:val="13"/>
          <w:color w:val="auto"/>
        </w:rPr>
        <w:t>cient to fund the combined company’s anticipated operations; the combined company operating under the name Korsana Biosciences, Inc. and trading on Nasdaq under the ticker symbol “KRSA”; the expected ownership percentages of pre-merger Cyclerion and Korsana stockholders following the closing of the proposed merger; the potential for KRSA-028 to be a best-in-class treatment for Alzheimer’s disease; and the anticipated advancement of Korsana’s broader pipeline of THETA-enabled therapies for neurodegenerative diseases.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w:t>
      </w:r>
    </w:p>
    <w:p>
      <w:pPr>
        <w:spacing w:after="0" w:line="145"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color w:val="auto"/>
        </w:rPr>
        <w:t>These forward-looking statements are based on management’s current expectations and assumptions as of the date of this press release and are subject to a number of known and unknown risks, uncertainties, and other factors that could cause actual results to di</w:t>
      </w:r>
      <w:r>
        <w:rPr>
          <w:rFonts w:ascii="Arial" w:cs="Arial" w:eastAsia="Arial" w:hAnsi="Arial"/>
          <w:sz w:val="13"/>
          <w:szCs w:val="13"/>
          <w:color w:val="auto"/>
        </w:rPr>
        <w:t>ﬀ</w:t>
      </w:r>
      <w:r>
        <w:rPr>
          <w:rFonts w:ascii="Times New Roman" w:cs="Times New Roman" w:eastAsia="Times New Roman" w:hAnsi="Times New Roman"/>
          <w:sz w:val="13"/>
          <w:szCs w:val="13"/>
          <w:color w:val="auto"/>
        </w:rPr>
        <w:t>er materially from those expressed or implied by such statements, including, without limitation, the following: the risk that the Proposed Transactions may not be completed on the anticipated timeline or at all; the failure to satisfy the conditions to the closing of the merger, including obtaining the requisite approvals of the stockholders of each of Cyclerion and Korsana and the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ectiveness of the registration statement to be filed with the SEC in connection with the Proposed Transactions; risks related to the clinical development of KRSA-028, including the possibility of delays, unfavorable clinical results, safety or tolerability issues, or the failure to obtain regulatory approval; uncertainties regarding the capabilities and potential of the THETA platform and Korsana’s pipeline programs; the risk that the financing may not close or may not generate the anticipated proceeds; market, macroeconomic, or other conditions that could adversely a</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 the</w:t>
      </w:r>
    </w:p>
    <w:p>
      <w:pPr>
        <w:sectPr>
          <w:pgSz w:w="11900" w:h="16838" w:orient="portrait"/>
          <w:cols w:equalWidth="0" w:num="1">
            <w:col w:w="9019"/>
          </w:cols>
          <w:pgMar w:left="1440" w:top="892" w:right="1440" w:bottom="1440" w:gutter="0" w:footer="0" w:header="0"/>
        </w:sectPr>
      </w:pPr>
    </w:p>
    <w:bookmarkStart w:id="268" w:name="page269"/>
    <w:bookmarkEnd w:id="268"/>
    <w:p>
      <w:pPr>
        <w:ind w:left="640" w:right="67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421640"/>
                    </a:xfrm>
                    <a:prstGeom prst="rect">
                      <a:avLst/>
                    </a:prstGeom>
                    <a:noFill/>
                  </pic:spPr>
                </pic:pic>
              </a:graphicData>
            </a:graphic>
          </wp:anchor>
        </w:drawing>
        <w:t>combined company’s cash runway or ability to raise additional capital; risks related to the integration of the two companies and the management of a newly public company; and the highly competitive nature of the Alzheimer’s disease and neurodegenerative disease therapeutic landscape, including the risk that competitors may develop superior or more cost-e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 therapies.</w:t>
      </w:r>
    </w:p>
    <w:p>
      <w:pPr>
        <w:spacing w:after="0" w:line="71" w:lineRule="exact"/>
        <w:rPr>
          <w:sz w:val="20"/>
          <w:szCs w:val="20"/>
          <w:color w:val="auto"/>
        </w:rPr>
      </w:pPr>
    </w:p>
    <w:p>
      <w:pPr>
        <w:ind w:left="640" w:right="719"/>
        <w:spacing w:after="0" w:line="282" w:lineRule="auto"/>
        <w:rPr>
          <w:sz w:val="20"/>
          <w:szCs w:val="20"/>
          <w:color w:val="auto"/>
        </w:rPr>
      </w:pPr>
      <w:r>
        <w:rPr>
          <w:rFonts w:ascii="Times New Roman" w:cs="Times New Roman" w:eastAsia="Times New Roman" w:hAnsi="Times New Roman"/>
          <w:sz w:val="12"/>
          <w:szCs w:val="12"/>
          <w:color w:val="auto"/>
        </w:rPr>
        <w:t>Additional factors that may cause actual results to di</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materially from those expressed or implied by the forward-looking statements in this press release are discussed in Cyclerion’s filings with the SEC, including its most recent Annual Report on Form 10-K, Quarterly Reports on Form 10-Q, and other reports filed with the SEC from time to time, and will be discussed in the registration statement to be filed by Cyclerion with the SEC in connection with the Proposed Transactions. Readers are cautioned not to place undue reliance on these forward-looking statements. Each of Cyclerion and Korsana expressly disclaims any obligation to update or revise any forward-looking statements, whether as a result of new information, future events, or otherwise, except as required by applicable law. All forward-looking statements are made as of the date of this press release.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w:t>
      </w:r>
      <w:r>
        <w:rPr>
          <w:rFonts w:ascii="Arial" w:cs="Arial" w:eastAsia="Arial" w:hAnsi="Arial"/>
          <w:sz w:val="13"/>
          <w:szCs w:val="13"/>
          <w:color w:val="auto"/>
        </w:rPr>
        <w:t>ﬀ</w:t>
      </w:r>
      <w:r>
        <w:rPr>
          <w:rFonts w:ascii="Times New Roman" w:cs="Times New Roman" w:eastAsia="Times New Roman" w:hAnsi="Times New Roman"/>
          <w:sz w:val="13"/>
          <w:szCs w:val="13"/>
          <w:b w:val="1"/>
          <w:bCs w:val="1"/>
          <w:color w:val="auto"/>
        </w:rPr>
        <w:t>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-73025</wp:posOffset>
            </wp:positionV>
            <wp:extent cx="83820" cy="895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3820" cy="89535"/>
                    </a:xfrm>
                    <a:prstGeom prst="rect">
                      <a:avLst/>
                    </a:prstGeom>
                    <a:noFill/>
                  </pic:spPr>
                </pic:pic>
              </a:graphicData>
            </a:graphic>
          </wp:anchor>
        </w:drawing>
      </w:r>
    </w:p>
    <w:p>
      <w:pPr>
        <w:spacing w:after="0" w:line="86"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color w:val="auto"/>
        </w:rPr>
        <w:t>This press release and the information contained herein is not intended to and does not constitute (i) a solicitation of a proxy, consent or approval with respect to any securities or in respect of the Proposed Transactions or (ii) an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to sell or the solicitation of an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to subscribe for or buy or an invitation to purchase or subscribe for any securities pursuant to the Proposed Transactions or otherwise, nor shall there be any sale, issuance or transfer of securities in any jurisdiction in contravention of applicable law. No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of securities shall be made except in accordance with the requirements of the Securities Act of 1933, as amended, or an exemption therefrom. Subject to certain exceptions to be approved by the relevant regulators or certain facts to be ascertained, no public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will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6" w:lineRule="exact"/>
        <w:rPr>
          <w:sz w:val="20"/>
          <w:szCs w:val="20"/>
          <w:color w:val="auto"/>
        </w:rPr>
      </w:pPr>
    </w:p>
    <w:p>
      <w:pPr>
        <w:ind w:left="640" w:right="1199"/>
        <w:spacing w:after="0" w:line="267" w:lineRule="auto"/>
        <w:rPr>
          <w:sz w:val="20"/>
          <w:szCs w:val="20"/>
          <w:color w:val="auto"/>
        </w:rPr>
      </w:pPr>
      <w:r>
        <w:rPr>
          <w:rFonts w:ascii="Times New Roman" w:cs="Times New Roman" w:eastAsia="Times New Roman" w:hAnsi="Times New Roman"/>
          <w:sz w:val="13"/>
          <w:szCs w:val="13"/>
          <w:color w:val="auto"/>
        </w:rPr>
        <w:t>NEITHER THE SEC NOR ANY STATE SECURITIES COMMISSION HAS APPROVED OR DISAPPROVED OF THE SECURITIES OR DETERMINED IF THIS PRESS RELEASE IS TRUTHFUL OR COMPLETE.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Proposed Transactions Will be Filed with the SEC</w:t>
      </w:r>
    </w:p>
    <w:p>
      <w:pPr>
        <w:spacing w:after="0" w:line="80"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This press release is not a substitute for the registration statement or for any other document that Cyclerion may file with the SEC in connection with the Proposed Transactions. In connection with the Proposed Transactions between Cyclerion and Korsana, Cyclerion intends to file relevant materials with the SEC, including a registration statement on Form S-4 that will contain a proxy statement/prospectus of Cyclerion. CYCLERION URGES INVESTORS AND SHAREHOLDERS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w:t>
      </w:r>
    </w:p>
    <w:p>
      <w:pPr>
        <w:sectPr>
          <w:pgSz w:w="11900" w:h="16838" w:orient="portrait"/>
          <w:cols w:equalWidth="0" w:num="1">
            <w:col w:w="9019"/>
          </w:cols>
          <w:pgMar w:left="1440" w:top="894" w:right="1440" w:bottom="1440" w:gutter="0" w:footer="0" w:header="0"/>
        </w:sectPr>
      </w:pPr>
    </w:p>
    <w:bookmarkStart w:id="269" w:name="page270"/>
    <w:bookmarkEnd w:id="269"/>
    <w:p>
      <w:pPr>
        <w:ind w:left="640" w:right="67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INFORMATION ABOUT CYCLERION, KORSANA, THE PROPOSED TRANSACTIONS AND RELATED MATTERS. Investors and shareholders will be able to obtain free copies of the proxy statement/prospectus and other documents filed by Cyclerion with the SEC (when they become available) through the website maintained by the SEC at www.sec.gov. Shareholders are urged to read the proxy statement/prospectus and the other relevant materials when they become available before making any voting or investment decision with respect to the Proposed Transactions. In addition, investors and shareholders should note that Cyclerion communicates with investors and the public using its website (</w:t>
      </w:r>
      <w:r>
        <w:rPr>
          <w:rFonts w:ascii="Times New Roman" w:cs="Times New Roman" w:eastAsia="Times New Roman" w:hAnsi="Times New Roman"/>
          <w:sz w:val="12"/>
          <w:szCs w:val="12"/>
          <w:u w:val="single" w:color="auto"/>
          <w:color w:val="auto"/>
        </w:rPr>
        <w:t>www.cyclerion.com</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51" w:lineRule="exact"/>
        <w:rPr>
          <w:sz w:val="20"/>
          <w:szCs w:val="20"/>
          <w:color w:val="auto"/>
        </w:rPr>
      </w:pPr>
    </w:p>
    <w:p>
      <w:pPr>
        <w:ind w:left="640" w:right="699"/>
        <w:spacing w:after="0" w:line="282" w:lineRule="auto"/>
        <w:rPr>
          <w:sz w:val="20"/>
          <w:szCs w:val="20"/>
          <w:color w:val="auto"/>
        </w:rPr>
      </w:pPr>
      <w:r>
        <w:rPr>
          <w:rFonts w:ascii="Times New Roman" w:cs="Times New Roman" w:eastAsia="Times New Roman" w:hAnsi="Times New Roman"/>
          <w:sz w:val="12"/>
          <w:szCs w:val="12"/>
          <w:color w:val="auto"/>
        </w:rPr>
        <w:t>Cyclerion, Korsana and their respective directors and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cers may be deemed to be participants in the solicitation of proxies from shareholders in connection with the Proposed Transactions. Information about Cyclerion’s directors and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cers, including a description of their interests in Cyclerion, is included in Cyclerion’s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Korsana Investor and Media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info@korsana.com</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Cyclerion Investor and Media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IR@cyclerion.com</w:t>
      </w:r>
    </w:p>
    <w:p>
      <w:pPr>
        <w:sectPr>
          <w:pgSz w:w="11900" w:h="16838" w:orient="portrait"/>
          <w:cols w:equalWidth="0" w:num="1">
            <w:col w:w="9019"/>
          </w:cols>
          <w:pgMar w:left="1440" w:top="894" w:right="1440" w:bottom="1440"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118745</wp:posOffset>
            </wp:positionV>
            <wp:extent cx="818515" cy="3549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8515" cy="354965"/>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118745</wp:posOffset>
            </wp:positionV>
            <wp:extent cx="1047115" cy="2349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47115" cy="23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 Korsana Biosciences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Agreement Announcement Conference Call</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Wednesday, April 1</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8:00am ET</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Call Participants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Jon Violin,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CEO, Korsana Biosciences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CEO, Cyclerion Therapeutics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Rhonda Chicko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CFO, Cyclerion Therapeutics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Prepared Remarks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Operator</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Good morning, and welcome to the Cyclerion Therapeutics-Korsana Biosciences Merger Agreement Announcement Conference Call. I would like to remind you that this call is being recorded for replay, and all attendees will be in listen-only mode.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call over to Rhonda Chicko, Chief Financial Officer of Cyclerion Therapeutics.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Rhonda Chicko</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Thank you and good morning. Before we begin, I’d like to remind you that during this call, we may make forward-looking statements. These statements include expectations of both Cyclerion’s and Korsana’s management teams regarding the proposed transaction, including its anticipated timing and financial terms, and the post-closing ownership structure of Cyclerion. They also include expectations about Korsana’s lead program KRSA-028 and its THETA platform, including the potential differentiation from other therapies, clinical development plans and regulatory filing timelines, expectations for additional pipeline programs, and the anticipated cash position and runway of the combined company. These forward-looking statements are subject to certain risks and uncertainties.</w:t>
      </w:r>
    </w:p>
    <w:p>
      <w:pPr>
        <w:sectPr>
          <w:pgSz w:w="11900" w:h="16838" w:orient="portrait"/>
          <w:cols w:equalWidth="0" w:num="1">
            <w:col w:w="9019"/>
          </w:cols>
          <w:pgMar w:left="1440" w:top="125" w:right="1440" w:bottom="1440" w:gutter="0" w:footer="0" w:header="0"/>
        </w:sectPr>
      </w:pPr>
    </w:p>
    <w:bookmarkStart w:id="323" w:name="page324"/>
    <w:bookmarkEnd w:id="323"/>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Our actual results may differ materially from expectations. For a discussion of risks and uncertainties, please review the descriptions included under the heading “Risk Factors” and “Business” in Cyclerion’s most recent Annual Report on Form 10-K filed with the SEC, as well as other SEC filings made by Cyclerion from time to time. In addition, Cyclerion intends to file a proxy statement/prospectus with the SEC in connection with the proposed merger transaction, which will contain important information about Korsana, the combined company, and additional risk factors related to the transaction. Investors are urged to review the proxy statement/prospectus carefully when it becomes available. These filings are available through the website maintained by the SEC at www.sec.gov and also available on Cyclerion’s website.</w:t>
      </w:r>
    </w:p>
    <w:p>
      <w:pPr>
        <w:spacing w:after="0" w:line="135"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All forward-looking statements are made as of today’s date. Except to the extent required by law, we do not undertake any obligation to update any forward-looking statements. We also caution you against placing undue reliance on any forward-looking statements.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call over to Regina Graul, Chief Executive Officer of Cyclerion.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Regina Graul</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Thank you, Rhonda, and good morning. Joining me today is Jonathan Violin, Chief Executive Officer of Korsana Biosciences. In our press release this morning, we announced a merger agreement between Cyclerion and Korsana. Upon completion of this all-stock transaction, the combined company plans to operate under the name Korsana Biosciences, and Jon is expected to lead the company as its CEO.</w:t>
      </w:r>
    </w:p>
    <w:p>
      <w:pPr>
        <w:spacing w:after="0" w:line="130" w:lineRule="exact"/>
        <w:rPr>
          <w:sz w:val="20"/>
          <w:szCs w:val="20"/>
          <w:color w:val="auto"/>
        </w:rPr>
      </w:pPr>
    </w:p>
    <w:p>
      <w:pPr>
        <w:ind w:left="640" w:right="719"/>
        <w:spacing w:after="0" w:line="309" w:lineRule="auto"/>
        <w:rPr>
          <w:sz w:val="20"/>
          <w:szCs w:val="20"/>
          <w:color w:val="auto"/>
        </w:rPr>
      </w:pPr>
      <w:r>
        <w:rPr>
          <w:rFonts w:ascii="Times New Roman" w:cs="Times New Roman" w:eastAsia="Times New Roman" w:hAnsi="Times New Roman"/>
          <w:sz w:val="12"/>
          <w:szCs w:val="12"/>
          <w:color w:val="auto"/>
        </w:rPr>
        <w:t>I will review certain details of our proposed transaction with Korsana, as well as a concurrent private placement by a group of leading biotech investors to support Korsana’s pipeline programs. Jon will then provide an overview of Korsana, including its lead program and platform technology.</w:t>
      </w:r>
    </w:p>
    <w:p>
      <w:pPr>
        <w:spacing w:after="0" w:line="100"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In support of the proposed merger, Korsana has secured a private placement of approximately $[XX] million from a syndicate of investors led by [Fairmount, Venrock Healthcare Capital Partners, and _________, with participation by _________, and other leading investment management firms].</w:t>
      </w:r>
    </w:p>
    <w:p>
      <w:pPr>
        <w:spacing w:after="0" w:line="1"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color w:val="auto"/>
        </w:rPr>
        <w:t>The financing includes subscriptions by such investors to purchase Korsana common stock and pre-funded warrants exercisable for shares of Korsana common stock and is expected to close immediately prior to the completion of the merger.</w:t>
      </w:r>
    </w:p>
    <w:p>
      <w:pPr>
        <w:sectPr>
          <w:pgSz w:w="11900" w:h="16838" w:orient="portrait"/>
          <w:cols w:equalWidth="0" w:num="1">
            <w:col w:w="9019"/>
          </w:cols>
          <w:pgMar w:left="1440" w:top="894" w:right="1440" w:bottom="1440" w:gutter="0" w:footer="0" w:header="0"/>
        </w:sectPr>
      </w:pPr>
    </w:p>
    <w:bookmarkStart w:id="324" w:name="page325"/>
    <w:bookmarkEnd w:id="32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The company’s combined cash position at closing, including the funds from the private placement, is expected to provide a runway into 2029 and fund Korsana’s KRSA-028 program through key clinical milestones in 2027. Under the terms of the agreement, as of the closing of the transaction, pre-merger Cyclerion shareholders are expected to own approximately [XX]% of the combined company. Pre-merger Korsana shareholders, inclusive of those participating in the private placement, are expected to own approximately [XX]% of the combined company as of the closing of the transaction. The percentage of the combined company that Cyclerion shareholders will own as of the closing of the transaction is subject to adjustments based on the estimated amount of Cyclerion net cash immediately prior to the closing date.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We expect the merger transaction to close in [the third quarter of 2026], subject to receipt of shareholder approvals and customary closing conditions.</w:t>
      </w:r>
    </w:p>
    <w:p>
      <w:pPr>
        <w:spacing w:after="0" w:line="165" w:lineRule="exact"/>
        <w:rPr>
          <w:sz w:val="20"/>
          <w:szCs w:val="20"/>
          <w:color w:val="auto"/>
        </w:rPr>
      </w:pPr>
    </w:p>
    <w:p>
      <w:pPr>
        <w:ind w:left="640" w:right="1219"/>
        <w:spacing w:after="0" w:line="255" w:lineRule="auto"/>
        <w:rPr>
          <w:sz w:val="20"/>
          <w:szCs w:val="20"/>
          <w:color w:val="auto"/>
        </w:rPr>
      </w:pPr>
      <w:r>
        <w:rPr>
          <w:rFonts w:ascii="Times New Roman" w:cs="Times New Roman" w:eastAsia="Times New Roman" w:hAnsi="Times New Roman"/>
          <w:sz w:val="13"/>
          <w:szCs w:val="13"/>
          <w:color w:val="auto"/>
        </w:rPr>
        <w:t>I would like to thank the Board members of both Cyclerion and Korsana for their support in approving the transaction, which is the result of a comprehensive strategic review by Cyclerion’s Board and management team. We believe this is the best path forward for Cyclerion and our shareholders.</w:t>
      </w:r>
    </w:p>
    <w:p>
      <w:pPr>
        <w:spacing w:after="0" w:line="13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Furthermore, we are confident in the ability of Korsana’s seasoned leadership team to execute their vision of developing potential best-in-class therapies for neurodegenerative diseases with significant unmet needs. Through their proprietary platform and innovative pipeline, we believe the combined company is well-positioned to deliver on their key clinical milestones in the coming years.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that, I will pass the conference call over to Jon.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Jonathan Violin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Thank you Regina, and good morning to everyone joining our call today.</w:t>
      </w:r>
    </w:p>
    <w:p>
      <w:pPr>
        <w:spacing w:after="0" w:line="154"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First of all, I would like to thank the Cyclerion management team and Board for their support throughout this process and confidence in our strategy and clinical development plan.</w:t>
      </w:r>
    </w:p>
    <w:p>
      <w:pPr>
        <w:spacing w:after="0" w:line="122"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I’m grateful for the opportunity to lead the combined company, and excited for the work ahead to discover and develop novel therapies to reduce the burden of neurodegenerative diseases – one of the largest unmet medical needs of our time.</w:t>
      </w:r>
    </w:p>
    <w:p>
      <w:pPr>
        <w:sectPr>
          <w:pgSz w:w="11900" w:h="16838" w:orient="portrait"/>
          <w:cols w:equalWidth="0" w:num="1">
            <w:col w:w="9019"/>
          </w:cols>
          <w:pgMar w:left="1440" w:top="894" w:right="1440" w:bottom="1440" w:gutter="0" w:footer="0" w:header="0"/>
        </w:sectPr>
      </w:pPr>
    </w:p>
    <w:bookmarkStart w:id="325" w:name="page326"/>
    <w:bookmarkEnd w:id="325"/>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I’ll share more about Korsana and our lead program KRSA-028, but first I’d like to note that listeners can access additional information about Korsana in our corporate presentation on our website, Korsana.com.</w:t>
      </w:r>
    </w:p>
    <w:p>
      <w:pPr>
        <w:spacing w:after="0" w:line="122"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Korsana is the seventh company launched with assets that were discovered by the team at Paragon Therapeutics, who have a remarkable track record of creating precision-engineered biologics with potential to become best-in-class therapeutics. With this foundation, Korsana is advancing a pipeline of potential best-in-class therapeutics for neurodegenerative disorders.</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Our lead program is KRSA-028, a novel and differentiated shuttled version of a pyroglutamate amyloid beta antibody for Alzheimer’s disease. Approximately 13 million Americans are projected to have Alzheimer’s by 2050, with long-term healthcare costs projected to be over $1 trillion by that time. This is a disease with a massive and growing unmet need, and we believe that Korsana is well-positioned to provide a best-in-class therapeutic for patients who deserve better options than what is currently available.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Korsana’s vision for advancing the treatment of Alzheimer’s disease is grounded in four key beliefs.</w:t>
      </w:r>
    </w:p>
    <w:p>
      <w:pPr>
        <w:spacing w:after="0" w:line="154"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First, we believe that Alzheimer’s is at an inflection point. While it’s clearly one of the biggest unmet needs in medicine, it is now, finally, a derisked opportunity from a technical perspective. Two first generation amyloid-targeting drugs are now approved, validating the therapeutic approach – but they leave substantial room to improve on safety, efficacy, and convenience.</w:t>
      </w:r>
    </w:p>
    <w:p>
      <w:pPr>
        <w:spacing w:after="0" w:line="13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Second, we believe that shuttling technology – the ability to carry therapeutics to target tissues – increases brain exposure of amyloid-targeting drugs, remarkably improving their therapeutic profile, and is the best way to optimize amyloid-targeting drugs to treat diseases like Alzheimer’s.</w:t>
      </w:r>
    </w:p>
    <w:p>
      <w:pPr>
        <w:spacing w:after="0" w:line="122"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Third, we believe our approach, based on our proprietary Therapeutic Targeting platform, or THETA, has the potential to deliver a best-in-class product, supported by a seasoned leadership team of drug developers that have the experience and capability to bring novel therapeutics to market.</w:t>
      </w:r>
    </w:p>
    <w:p>
      <w:pPr>
        <w:spacing w:after="0" w:line="122" w:lineRule="exact"/>
        <w:rPr>
          <w:sz w:val="20"/>
          <w:szCs w:val="20"/>
          <w:color w:val="auto"/>
        </w:rPr>
      </w:pPr>
    </w:p>
    <w:p>
      <w:pPr>
        <w:ind w:left="640" w:right="1179"/>
        <w:spacing w:after="0" w:line="255" w:lineRule="auto"/>
        <w:rPr>
          <w:sz w:val="20"/>
          <w:szCs w:val="20"/>
          <w:color w:val="auto"/>
        </w:rPr>
      </w:pPr>
      <w:r>
        <w:rPr>
          <w:rFonts w:ascii="Times New Roman" w:cs="Times New Roman" w:eastAsia="Times New Roman" w:hAnsi="Times New Roman"/>
          <w:sz w:val="13"/>
          <w:szCs w:val="13"/>
          <w:color w:val="auto"/>
        </w:rPr>
        <w:t>And finally, we believe there is a path to rapid value creation with investigational products for Alzheimer’s disease. Advancements in imaging biomarkers now enable precise measurement of amyloid plaque clearance in small numbers of patients, accelerating timelines to generate proof-of-concept data and making this an attractive space for investment.</w:t>
      </w:r>
    </w:p>
    <w:p>
      <w:pPr>
        <w:sectPr>
          <w:pgSz w:w="11900" w:h="16838" w:orient="portrait"/>
          <w:cols w:equalWidth="0" w:num="1">
            <w:col w:w="9019"/>
          </w:cols>
          <w:pgMar w:left="1440" w:top="894" w:right="1440" w:bottom="1440" w:gutter="0" w:footer="0" w:header="0"/>
        </w:sectPr>
      </w:pPr>
    </w:p>
    <w:bookmarkStart w:id="326" w:name="page327"/>
    <w:bookmarkEnd w:id="32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[pause]</w:t>
      </w:r>
    </w:p>
    <w:p>
      <w:pPr>
        <w:spacing w:after="0" w:line="154"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Our initial focus is to develop a durably best-in-class amyloid-targeted therapy for Alzheimer’s – and we think we have that in KRSA-028. We optimized KRSA-028 based on lessons learned from the two approved amyloid-targeting products, investigational products like Roche’s trontinemab, and important discoveries made in partnership with our colleagues at Paragon Therapeutics. Notably, trontinemab is the first shuttled amyloid drug with clinical data, and it shows more rapid and thorough plaque clearance from the brain of Alzheimer’s patients compared to trials of non-shuttled drugs. Strikingly, the trontinemab clinical data show a markedly lower rate of amyloid-related imaging abnormalities, or ARIA, compared to trial data for non-shuttled drugs. Both approved amyloid-targeting drugs carry black box warnings for ARIA, and it has been a serious concern for this class of medications – so the trontinemab data have been met with high enthusiasm.</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However, while trontinemab has served as a clear proof-of-concept for shuttle technology, its clinical data show substantial room for improvement.</w:t>
      </w:r>
    </w:p>
    <w:p>
      <w:pPr>
        <w:spacing w:after="0" w:line="154"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In preclinical studies, trontinemab targets and depletes reticulocytes, which can interrupt erythropoiesis and lead to anemia. Clinical data show a 10 to 20 percent rate of anemia and trends of reduced mean hemoglobin in patients on trontinemab. Furthermore, trontinemab treatment is burdensome, requiring monthly intravenous infusions, and a high rate of infusion-related reactions requires pretreatment with steroids.</w:t>
      </w:r>
    </w:p>
    <w:p>
      <w:pPr>
        <w:spacing w:after="0" w:line="13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For patients, matching trontinemab’s efficacy while improving on these factors will be a welcome advance. And in fact, we have promising preclinical data that point to the potential of -028 as a best-in-class therapeutic in Alzheimer’s.</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In partnership with the team at Paragon Therapeutics, we designed KRSA-028 to maximize efficacy, safety, and tolerability, including avoiding the anemia risk associated with trontinemab and other TfR1-shuttled molecules. We also designed KRSA-028 to optimize pharmacokinetics and biophysical properties to enable infrequent, low volume, subcutaneous dosing.</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To maximize efficacy, KRSA-028 targets the pyroglutamate form of amyloid beta, which is enriched in plaques, making -028 a plaque-selective therapeutic versus molecules that target other amyloid beta species. Clinical trials of plaque-selective antibodies have shown more robust plaque clearance and numerically greater slowing of cognitive decline than antibodies that target other amyloid forms. We think this makes -028 well positioned to maximize the clinical benefit of anti-amyloid therapy.</w:t>
      </w:r>
    </w:p>
    <w:p>
      <w:pPr>
        <w:sectPr>
          <w:pgSz w:w="11900" w:h="16838" w:orient="portrait"/>
          <w:cols w:equalWidth="0" w:num="1">
            <w:col w:w="9019"/>
          </w:cols>
          <w:pgMar w:left="1440" w:top="894" w:right="1440" w:bottom="1440" w:gutter="0" w:footer="0" w:header="0"/>
        </w:sectPr>
      </w:pPr>
    </w:p>
    <w:bookmarkStart w:id="327" w:name="page328"/>
    <w:bookmarkEnd w:id="327"/>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To avoid anemia, and potentially to improve safety and tolerability, we designed KRSA-028 to include selective effector function modulation. We wanted to preserve anti-dependent phagocytosis, or ADCP, believed to be the mechanism by which the approved anti-amyloid drugs clear amyloid plaques – but we wanted to reduce other antibody effector functions, which we hypothesized were responsible for the reticulocyte destruction and other adverse immune effects of trontinimab, potentially including its infusion-related reactions. To achieve this, we incorporated a number of clinically precedented point mutations in the Fc region of the molecule, designed to reduce antibody-dependent cellular cytotoxicity, or ADCC, and complement-dependent cytotoxicity, or CDC, while preserving ADCP.</w:t>
      </w:r>
    </w:p>
    <w:p>
      <w:pPr>
        <w:spacing w:after="0" w:line="135"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In addition, to improve pharmacokinetics to lower the dose and dose frequency required for efficacy, we also included clinically validated Fc modifications to extend half-life.</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Finally, to shuttle KRSA-028 into the brain, we designed KRSA-028 to include a TfR1-binding antibody fragment that matches the clinically validated binding epitope and affinity of trontinemab.</w:t>
      </w:r>
    </w:p>
    <w:p>
      <w:pPr>
        <w:spacing w:after="0" w:line="122"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2"/>
          <w:szCs w:val="12"/>
          <w:color w:val="auto"/>
        </w:rPr>
        <w:t>Our preclinical data, which you can review in our corporate presentations, show that KRSA-028 delivers all the features we desired. It facilitates phagocytosis, matching the activity and potency of the approved pyro-glu amyloid-targeted drug donanemab. Compared to trontinemab, it achieves higher and more sustained exposure, does not destroy reticulocytes, and delivers 5- to 6-fold higher brain concentrations. We’ve also formulated KRSA-028 at high concentrations with low viscosity and high stability – all important for subcutaneous administration – and our modeling suggests it should match trontinemab efficacy at a low injection volume, well within the range needed for clinically proven autoinjectors.</w:t>
      </w:r>
    </w:p>
    <w:p>
      <w:pPr>
        <w:spacing w:after="0" w:line="11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We plan to initiate clinical development with an integrated Phase 1/2 design, beginning with single ascending doses in healthy volunteers, followed by multiple ascending dose cohorts in early Alzheimer’s patients. We will then enroll expansion cohorts at select doses to further characterize activity, safety, and tolerability and enable Phase 3 dose selection. We intend to file a CTN by the end of this year to initiate the SAD arm in healthy volunteers in Australia, and an IND at the beginning of 2027 to initiate the MAD arm in early Alzheimer’s patients. With this plan, we expect a key derisking readout from healthy volunteers in mid-year 2027, including data for half-life extension, hematologic safety, and CNS penetration. We then expect the first interim proof-of-concept data in Alzheimer’s patients by the end of 2027, using PET tracers to evaluate how quickly plaque is cleared. From there, we expect a rich stream of clinical data readouts as we complete dose-ranging and enroll expansion cohorts to collect all the data we believe we’ll need to discuss a pivotal Phase 3 program with global regulators. The transaction we announced today funds all of this, putting the combined company in a very strong position to accelerate the development of KRSA-028, with cash runway into 2029.</w:t>
      </w:r>
    </w:p>
    <w:p>
      <w:pPr>
        <w:sectPr>
          <w:pgSz w:w="11900" w:h="16838" w:orient="portrait"/>
          <w:cols w:equalWidth="0" w:num="1">
            <w:col w:w="9019"/>
          </w:cols>
          <w:pgMar w:left="1440" w:top="894" w:right="1440" w:bottom="1440" w:gutter="0" w:footer="0" w:header="0"/>
        </w:sectPr>
      </w:pPr>
    </w:p>
    <w:bookmarkStart w:id="328" w:name="page329"/>
    <w:bookmarkEnd w:id="328"/>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We believe KRSA-028 has best-in-class potential, and the technology behind it provides us a platform to build a broader pipeline. We call the combination of our proprietary TfR1 binding sequence and Fc engineering the Therapeutic Targeting platform or THETA. It has enabled us to initiate discovery programs for other CNS targets and indications where a subcutaneous, anemia-free shuttle can deliver best-in-class profiles. We aren’t revealing these programs yet for competitive reasons, but look forward to disclosing them later this year or in 2027.</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[pause]</w:t>
      </w:r>
    </w:p>
    <w:p>
      <w:pPr>
        <w:spacing w:after="0" w:line="154"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As some of you know, I’ve led the founding and growth of multiple biopharmaceutical companies. I’ve never been more excited about a company’s prospects as I am for Korsana – and I look forward to the important progress I believe we’ll make, together, in the coming years. We have a stellar team, an incredibly promising molecule in KRSA-028, and an immense opportunity in our pipeline. This is all anchored in a clear vision: delivering the best possible medicines for some of humanity’s most devastating diseases. I’d like to thank the team at Paragon Therapeutics for their partnership, the Korsana team for joining this mission, and Korsana’s investors for their support. We have important work ahead, and I look forward to sharing updates on our progress with you over the coming months and years.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that, I will now conclude my remarks and hand the call back to the operator. Thank you for joining the call today.</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Operator</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 this concludes the conference call today. All parties may now disconnect.</w:t>
      </w:r>
    </w:p>
    <w:sectPr>
      <w:pgSz w:w="11900" w:h="16838" w:orient="portrait"/>
      <w:cols w:equalWidth="0" w:num="1">
        <w:col w:w="9019"/>
      </w:cols>
      <w:pgMar w:left="14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
      <w:numFmt w:val="bullet"/>
      <w:start w:val="1"/>
    </w:lvl>
  </w:abstractNum>
  <w:abstractNum w:abstractNumId="2">
    <w:nsid w:val="230F856C"/>
    <w:multiLevelType w:val="hybridMultilevel"/>
    <w:lvl w:ilvl="0">
      <w:lvlJc w:val="left"/>
      <w:lvlText w:val="(%1)"/>
      <w:numFmt w:val="lowerRoman"/>
      <w:start w:val="2"/>
    </w:lvl>
  </w:abstractNum>
  <w:abstractNum w:abstractNumId="3">
    <w:nsid w:val="6EAA85FB"/>
    <w:multiLevelType w:val="hybridMultilevel"/>
    <w:lvl w:ilvl="0">
      <w:lvlJc w:val="left"/>
      <w:lvlText w:val="(%1)"/>
      <w:numFmt w:val="lowerRoman"/>
      <w:start w:val="2"/>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1)"/>
      <w:numFmt w:val="lowerRoman"/>
      <w:start w:val="3"/>
    </w:lvl>
  </w:abstractNum>
  <w:abstractNum w:abstractNumId="6">
    <w:nsid w:val="6CAA2304"/>
    <w:multiLevelType w:val="hybridMultilevel"/>
    <w:lvl w:ilvl="0">
      <w:lvlJc w:val="left"/>
      <w:lvlText w:val="(%1)"/>
      <w:numFmt w:val="lowerLetter"/>
      <w:start w:val="1"/>
    </w:lvl>
  </w:abstractNum>
  <w:abstractNum w:abstractNumId="7">
    <w:nsid w:val="3F7C2FF4"/>
    <w:multiLevelType w:val="hybridMultilevel"/>
    <w:lvl w:ilvl="0">
      <w:lvlJc w:val="left"/>
      <w:lvlText w:val="(%1)"/>
      <w:numFmt w:val="decimal"/>
      <w:start w:val="6"/>
    </w:lvl>
  </w:abstractNum>
  <w:abstractNum w:abstractNumId="8">
    <w:nsid w:val="25413BEC"/>
    <w:multiLevelType w:val="hybridMultilevel"/>
    <w:lvl w:ilvl="0">
      <w:lvlJc w:val="left"/>
      <w:lvlText w:val="(%1)"/>
      <w:numFmt w:val="lowerLetter"/>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1)"/>
      <w:numFmt w:val="lowerRoman"/>
      <w:start w:val="2"/>
    </w:lvl>
  </w:abstractNum>
  <w:abstractNum w:abstractNumId="12">
    <w:nsid w:val="11CCA8BA"/>
    <w:multiLevelType w:val="hybridMultilevel"/>
    <w:lvl w:ilvl="0">
      <w:lvlJc w:val="left"/>
      <w:lvlText w:val="(%1)"/>
      <w:numFmt w:val="lowerLetter"/>
      <w:start w:val="3"/>
    </w:lvl>
  </w:abstractNum>
  <w:abstractNum w:abstractNumId="13">
    <w:nsid w:val="4D32AB86"/>
    <w:multiLevelType w:val="hybridMultilevel"/>
    <w:lvl w:ilvl="0">
      <w:lvlJc w:val="left"/>
      <w:lvlText w:val="(%1)"/>
      <w:numFmt w:val="decimal"/>
      <w:start w:val="5"/>
    </w:lvl>
  </w:abstractNum>
  <w:abstractNum w:abstractNumId="14">
    <w:nsid w:val="3F07ACC3"/>
    <w:multiLevelType w:val="hybridMultilevel"/>
    <w:lvl w:ilvl="0">
      <w:lvlJc w:val="left"/>
      <w:lvlText w:val="(%1)"/>
      <w:numFmt w:val="lowerLetter"/>
      <w:start w:val="2"/>
    </w:lvl>
  </w:abstractNum>
  <w:abstractNum w:abstractNumId="15">
    <w:nsid w:val="6B47F63E"/>
    <w:multiLevelType w:val="hybridMultilevel"/>
    <w:lvl w:ilvl="0">
      <w:lvlJc w:val="left"/>
      <w:lvlText w:val="(%1)"/>
      <w:numFmt w:val="lowerLetter"/>
      <w:start w:val="5"/>
    </w:lvl>
  </w:abstractNum>
  <w:abstractNum w:abstractNumId="16">
    <w:nsid w:val="5CB44A05"/>
    <w:multiLevelType w:val="hybridMultilevel"/>
    <w:lvl w:ilvl="0">
      <w:lvlJc w:val="left"/>
      <w:lvlText w:val="(%1)"/>
      <w:numFmt w:val="lowerLetter"/>
      <w:start w:val="9"/>
    </w:lvl>
  </w:abstractNum>
  <w:abstractNum w:abstractNumId="17">
    <w:nsid w:val="16CF80F1"/>
    <w:multiLevelType w:val="hybridMultilevel"/>
    <w:lvl w:ilvl="0">
      <w:lvlJc w:val="left"/>
      <w:lvlText w:val="(%1)"/>
      <w:numFmt w:val="lowerLetter"/>
      <w:start w:val="2"/>
    </w:lvl>
  </w:abstractNum>
  <w:abstractNum w:abstractNumId="18">
    <w:nsid w:val="1C695DEC"/>
    <w:multiLevelType w:val="hybridMultilevel"/>
    <w:lvl w:ilvl="0">
      <w:lvlJc w:val="left"/>
      <w:lvlText w:val="(%1)"/>
      <w:numFmt w:val="lowerLetter"/>
      <w:start w:val="1"/>
    </w:lvl>
  </w:abstractNum>
  <w:abstractNum w:abstractNumId="19">
    <w:nsid w:val="3FCFAE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1">
    <w:nsid w:val="11B1CC33"/>
    <w:multiLevelType w:val="hybridMultilevel"/>
    <w:lvl w:ilvl="0">
      <w:lvlJc w:val="left"/>
      <w:lvlText w:val="(%1)"/>
      <w:numFmt w:val="lowerRoman"/>
      <w:start w:val="4"/>
    </w:lvl>
  </w:abstractNum>
  <w:abstractNum w:abstractNumId="22">
    <w:nsid w:val="2E22FBB7"/>
    <w:multiLevelType w:val="hybridMultilevel"/>
    <w:lvl w:ilvl="0">
      <w:lvlJc w:val="left"/>
      <w:lvlText w:val="(%1)"/>
      <w:numFmt w:val="lowerLetter"/>
      <w:start w:val="1"/>
    </w:lvl>
  </w:abstractNum>
  <w:abstractNum w:abstractNumId="23">
    <w:nsid w:val="29934699"/>
    <w:multiLevelType w:val="hybridMultilevel"/>
    <w:lvl w:ilvl="0">
      <w:lvlJc w:val="left"/>
      <w:lvlText w:val="(%1)"/>
      <w:numFmt w:val="lowerRoman"/>
      <w:start w:val="1"/>
    </w:lvl>
  </w:abstractNum>
  <w:abstractNum w:abstractNumId="24">
    <w:nsid w:val="77485850"/>
    <w:multiLevelType w:val="hybridMultilevel"/>
    <w:lvl w:ilvl="0">
      <w:lvlJc w:val="left"/>
      <w:lvlText w:val="(%1)"/>
      <w:numFmt w:val="lowerLetter"/>
      <w:start w:val="2"/>
    </w:lvl>
  </w:abstractNum>
  <w:abstractNum w:abstractNumId="25">
    <w:nsid w:val="744939A3"/>
    <w:multiLevelType w:val="hybridMultilevel"/>
    <w:lvl w:ilvl="0">
      <w:lvlJc w:val="left"/>
      <w:lvlText w:val="%1"/>
      <w:numFmt w:val="decimal"/>
      <w:start w:val="1"/>
    </w:lvl>
    <w:lvl w:ilvl="1">
      <w:lvlJc w:val="left"/>
      <w:lvlText w:val="(%2)"/>
      <w:numFmt w:val="lowerLetter"/>
      <w:start w:val="7"/>
    </w:lvl>
  </w:abstractNum>
  <w:abstractNum w:abstractNumId="26">
    <w:nsid w:val="4FA0D2E3"/>
    <w:multiLevelType w:val="hybridMultilevel"/>
    <w:lvl w:ilvl="0">
      <w:lvlJc w:val="left"/>
      <w:lvlText w:val="(%1)"/>
      <w:numFmt w:val="decimal"/>
      <w:start w:val="10"/>
    </w:lvl>
    <w:lvl w:ilvl="1">
      <w:lvlJc w:val="left"/>
      <w:lvlText w:val="%2"/>
      <w:numFmt w:val="lowerLetter"/>
      <w:start w:val="1"/>
    </w:lvl>
  </w:abstractNum>
  <w:abstractNum w:abstractNumId="27">
    <w:nsid w:val="6B1D2C14"/>
    <w:multiLevelType w:val="hybridMultilevel"/>
    <w:lvl w:ilvl="0">
      <w:lvlJc w:val="left"/>
      <w:lvlText w:val="%1"/>
      <w:numFmt w:val="lowerLetter"/>
      <w:start w:val="1"/>
    </w:lvl>
    <w:lvl w:ilvl="1">
      <w:lvlJc w:val="left"/>
      <w:lvlText w:val="(%2)"/>
      <w:numFmt w:val="lowerLetter"/>
      <w:start w:val="1"/>
    </w:lvl>
  </w:abstractNum>
  <w:abstractNum w:abstractNumId="28">
    <w:nsid w:val="68B867D3"/>
    <w:multiLevelType w:val="hybridMultilevel"/>
    <w:lvl w:ilvl="0">
      <w:lvlJc w:val="left"/>
      <w:lvlText w:val="(%1)"/>
      <w:numFmt w:val="lowerLetter"/>
      <w:start w:val="35"/>
    </w:lvl>
    <w:lvl w:ilvl="1">
      <w:lvlJc w:val="left"/>
      <w:lvlText w:val="%2"/>
      <w:numFmt w:val="lowerLetter"/>
      <w:start w:val="1"/>
    </w:lvl>
  </w:abstractNum>
  <w:abstractNum w:abstractNumId="29">
    <w:nsid w:val="3F7F5DD9"/>
    <w:multiLevelType w:val="hybridMultilevel"/>
    <w:lvl w:ilvl="0">
      <w:lvlJc w:val="left"/>
      <w:lvlText w:val="(%1)"/>
      <w:numFmt w:val="lowerLetter"/>
      <w:start w:val="3"/>
    </w:lvl>
  </w:abstractNum>
  <w:abstractNum w:abstractNumId="30">
    <w:nsid w:val="2AE05A34"/>
    <w:multiLevelType w:val="hybridMultilevel"/>
    <w:lvl w:ilvl="0">
      <w:lvlJc w:val="left"/>
      <w:lvlText w:val="(%1)"/>
      <w:numFmt w:val="lowerLetter"/>
      <w:start w:val="2"/>
    </w:lvl>
  </w:abstractNum>
  <w:abstractNum w:abstractNumId="31">
    <w:nsid w:val="32794FF7"/>
    <w:multiLevelType w:val="hybridMultilevel"/>
    <w:lvl w:ilvl="0">
      <w:lvlJc w:val="left"/>
      <w:lvlText w:val="(%1)"/>
      <w:numFmt w:val="lowerLetter"/>
      <w:start w:val="4"/>
    </w:lvl>
  </w:abstractNum>
  <w:abstractNum w:abstractNumId="32">
    <w:nsid w:val="5454945E"/>
    <w:multiLevelType w:val="hybridMultilevel"/>
    <w:lvl w:ilvl="0">
      <w:lvlJc w:val="left"/>
      <w:lvlText w:val="(%1)"/>
      <w:numFmt w:val="lowerLetter"/>
      <w:start w:val="7"/>
    </w:lvl>
  </w:abstractNum>
  <w:abstractNum w:abstractNumId="33">
    <w:nsid w:val="4DEFDFA0"/>
    <w:multiLevelType w:val="hybridMultilevel"/>
    <w:lvl w:ilvl="0">
      <w:lvlJc w:val="left"/>
      <w:lvlText w:val="(%1)"/>
      <w:numFmt w:val="lowerLetter"/>
      <w:start w:val="1"/>
    </w:lvl>
  </w:abstractNum>
  <w:abstractNum w:abstractNumId="34">
    <w:nsid w:val="2123D5F2"/>
    <w:multiLevelType w:val="hybridMultilevel"/>
    <w:lvl w:ilvl="0">
      <w:lvlJc w:val="left"/>
      <w:lvlText w:val="(%1)"/>
      <w:numFmt w:val="lowerLetter"/>
      <w:start w:val="1"/>
    </w:lvl>
  </w:abstractNum>
  <w:abstractNum w:abstractNumId="35">
    <w:nsid w:val="135B8110"/>
    <w:multiLevelType w:val="hybridMultilevel"/>
    <w:lvl w:ilvl="0">
      <w:lvlJc w:val="left"/>
      <w:lvlText w:val="(%1)"/>
      <w:numFmt w:val="lowerLetter"/>
      <w:start w:val="1"/>
    </w:lvl>
  </w:abstractNum>
  <w:abstractNum w:abstractNumId="36">
    <w:nsid w:val="94927A8"/>
    <w:multiLevelType w:val="hybridMultilevel"/>
    <w:lvl w:ilvl="0">
      <w:lvlJc w:val="left"/>
      <w:lvlText w:val="(%1)"/>
      <w:numFmt w:val="lowerLetter"/>
      <w:start w:val="3"/>
    </w:lvl>
  </w:abstractNum>
  <w:abstractNum w:abstractNumId="37">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
    <w:nsid w:val="52D7B105"/>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9">
    <w:nsid w:val="2E8A6394"/>
    <w:multiLevelType w:val="hybridMultilevel"/>
    <w:lvl w:ilvl="0">
      <w:lvlJc w:val="left"/>
      <w:lvlText w:val="%1"/>
      <w:numFmt w:val="lowerLetter"/>
      <w:start w:val="1"/>
    </w:lvl>
    <w:lvl w:ilvl="1">
      <w:lvlJc w:val="left"/>
      <w:lvlText w:val="(%2)"/>
      <w:numFmt w:val="lowerRoman"/>
      <w:start w:val="3"/>
    </w:lvl>
  </w:abstractNum>
  <w:abstractNum w:abstractNumId="40">
    <w:nsid w:val="24E60401"/>
    <w:multiLevelType w:val="hybridMultilevel"/>
    <w:lvl w:ilvl="0">
      <w:lvlJc w:val="left"/>
      <w:lvlText w:val="(%1)"/>
      <w:numFmt w:val="lowerLetter"/>
      <w:start w:val="2"/>
    </w:lvl>
    <w:lvl w:ilvl="1">
      <w:lvlJc w:val="left"/>
      <w:lvlText w:val="%2"/>
      <w:numFmt w:val="lowerRoman"/>
      <w:start w:val="1"/>
    </w:lvl>
  </w:abstractNum>
  <w:abstractNum w:abstractNumId="41">
    <w:nsid w:val="2A6AD9BE"/>
    <w:multiLevelType w:val="hybridMultilevel"/>
    <w:lvl w:ilvl="0">
      <w:lvlJc w:val="left"/>
      <w:lvlText w:val="(%1)"/>
      <w:numFmt w:val="lowerLetter"/>
      <w:start w:val="1"/>
    </w:lvl>
  </w:abstractNum>
  <w:abstractNum w:abstractNumId="42">
    <w:nsid w:val="BAAC1B4"/>
    <w:multiLevelType w:val="hybridMultilevel"/>
    <w:lvl w:ilvl="0">
      <w:lvlJc w:val="left"/>
      <w:lvlText w:val="(%1)"/>
      <w:numFmt w:val="lowerLetter"/>
      <w:start w:val="3"/>
    </w:lvl>
  </w:abstractNum>
  <w:abstractNum w:abstractNumId="43">
    <w:nsid w:val="36B2ACBC"/>
    <w:multiLevelType w:val="hybridMultilevel"/>
    <w:lvl w:ilvl="0">
      <w:lvlJc w:val="left"/>
      <w:lvlText w:val="(%1)"/>
      <w:numFmt w:val="lowerLetter"/>
      <w:start w:val="1"/>
    </w:lvl>
  </w:abstractNum>
  <w:abstractNum w:abstractNumId="44">
    <w:nsid w:val="779D8544"/>
    <w:multiLevelType w:val="hybridMultilevel"/>
    <w:lvl w:ilvl="0">
      <w:lvlJc w:val="left"/>
      <w:lvlText w:val="(%1)"/>
      <w:numFmt w:val="lowerLetter"/>
      <w:start w:val="2"/>
    </w:lvl>
  </w:abstractNum>
  <w:abstractNum w:abstractNumId="45">
    <w:nsid w:val="4AB26E78"/>
    <w:multiLevelType w:val="hybridMultilevel"/>
    <w:lvl w:ilvl="0">
      <w:lvlJc w:val="left"/>
      <w:lvlText w:val="(%1)"/>
      <w:numFmt w:val="lowerLetter"/>
      <w:start w:val="1"/>
    </w:lvl>
    <w:lvl w:ilvl="1">
      <w:lvlJc w:val="left"/>
      <w:lvlText w:val="(%2)"/>
      <w:numFmt w:val="lowerLetter"/>
      <w:start w:val="9"/>
    </w:lvl>
  </w:abstractNum>
  <w:abstractNum w:abstractNumId="46">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7">
    <w:nsid w:val="5451CF49"/>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48">
    <w:nsid w:val="6181EF69"/>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49">
    <w:nsid w:val="3E6400E6"/>
    <w:multiLevelType w:val="hybridMultilevel"/>
    <w:lvl w:ilvl="0">
      <w:lvlJc w:val="left"/>
      <w:lvlText w:val="(%1)"/>
      <w:numFmt w:val="lowerLetter"/>
      <w:start w:val="8"/>
    </w:lvl>
  </w:abstractNum>
  <w:abstractNum w:abstractNumId="50">
    <w:nsid w:val="14217E23"/>
    <w:multiLevelType w:val="hybridMultilevel"/>
    <w:lvl w:ilvl="0">
      <w:lvlJc w:val="left"/>
      <w:lvlText w:val="(%1)"/>
      <w:numFmt w:val="lowerLetter"/>
      <w:start w:val="1"/>
    </w:lvl>
    <w:lvl w:ilvl="1">
      <w:lvlJc w:val="left"/>
      <w:lvlText w:val="(%2)"/>
      <w:numFmt w:val="lowerRoman"/>
      <w:start w:val="1"/>
    </w:lvl>
  </w:abstractNum>
  <w:abstractNum w:abstractNumId="51">
    <w:nsid w:val="710757D0"/>
    <w:multiLevelType w:val="hybridMultilevel"/>
    <w:lvl w:ilvl="0">
      <w:lvlJc w:val="left"/>
      <w:lvlText w:val="(%1)"/>
      <w:numFmt w:val="lowerRoman"/>
      <w:start w:val="3"/>
    </w:lvl>
  </w:abstractNum>
  <w:abstractNum w:abstractNumId="52">
    <w:nsid w:val="5015CD1A"/>
    <w:multiLevelType w:val="hybridMultilevel"/>
    <w:lvl w:ilvl="0">
      <w:lvlJc w:val="left"/>
      <w:lvlText w:val="%1"/>
      <w:numFmt w:val="lowerLetter"/>
      <w:start w:val="1"/>
    </w:lvl>
    <w:lvl w:ilvl="1">
      <w:lvlJc w:val="left"/>
      <w:lvlText w:val="(%2)"/>
      <w:numFmt w:val="lowerRoman"/>
      <w:start w:val="12"/>
    </w:lvl>
  </w:abstractNum>
  <w:abstractNum w:abstractNumId="53">
    <w:nsid w:val="424479DA"/>
    <w:multiLevelType w:val="hybridMultilevel"/>
    <w:lvl w:ilvl="0">
      <w:lvlJc w:val="left"/>
      <w:lvlText w:val="(%1)"/>
      <w:numFmt w:val="lowerLetter"/>
      <w:start w:val="2"/>
    </w:lvl>
    <w:lvl w:ilvl="1">
      <w:lvlJc w:val="left"/>
      <w:lvlText w:val="%2"/>
      <w:numFmt w:val="lowerRoman"/>
      <w:start w:val="1"/>
    </w:lvl>
  </w:abstractNum>
  <w:abstractNum w:abstractNumId="54">
    <w:nsid w:val="1A9A9E69"/>
    <w:multiLevelType w:val="hybridMultilevel"/>
    <w:lvl w:ilvl="0">
      <w:lvlJc w:val="left"/>
      <w:lvlText w:val="(%1)"/>
      <w:numFmt w:val="lowerLetter"/>
      <w:start w:val="1"/>
    </w:lvl>
  </w:abstractNum>
  <w:abstractNum w:abstractNumId="55">
    <w:nsid w:val="475E256A"/>
    <w:multiLevelType w:val="hybridMultilevel"/>
    <w:lvl w:ilvl="0">
      <w:lvlJc w:val="left"/>
      <w:lvlText w:val="(%1)"/>
      <w:numFmt w:val="lowerLetter"/>
      <w:start w:val="3"/>
    </w:lvl>
  </w:abstractNum>
  <w:abstractNum w:abstractNumId="56">
    <w:nsid w:val="368DB37E"/>
    <w:multiLevelType w:val="hybridMultilevel"/>
    <w:lvl w:ilvl="0">
      <w:lvlJc w:val="left"/>
      <w:lvlText w:val="(%1)"/>
      <w:numFmt w:val="lowerLetter"/>
      <w:start w:val="7"/>
    </w:lvl>
  </w:abstractNum>
  <w:abstractNum w:abstractNumId="57">
    <w:nsid w:val="6A3B714C"/>
    <w:multiLevelType w:val="hybridMultilevel"/>
    <w:lvl w:ilvl="0">
      <w:lvlJc w:val="left"/>
      <w:lvlText w:val="(%1)"/>
      <w:numFmt w:val="lowerLetter"/>
      <w:start w:val="1"/>
    </w:lvl>
  </w:abstractNum>
  <w:abstractNum w:abstractNumId="58">
    <w:nsid w:val="327B517E"/>
    <w:multiLevelType w:val="hybridMultilevel"/>
    <w:lvl w:ilvl="0">
      <w:lvlJc w:val="left"/>
      <w:lvlText w:val="(%1)"/>
      <w:numFmt w:val="lowerLetter"/>
      <w:start w:val="1"/>
    </w:lvl>
  </w:abstractNum>
  <w:abstractNum w:abstractNumId="59">
    <w:nsid w:val="1F461B51"/>
    <w:multiLevelType w:val="hybridMultilevel"/>
    <w:lvl w:ilvl="0">
      <w:lvlJc w:val="left"/>
      <w:lvlText w:val="%1"/>
      <w:numFmt w:val="lowerRoman"/>
      <w:start w:val="1"/>
    </w:lvl>
    <w:lvl w:ilvl="1">
      <w:lvlJc w:val="left"/>
      <w:lvlText w:val="(%2)"/>
      <w:numFmt w:val="lowerLetter"/>
      <w:start w:val="1"/>
    </w:lvl>
  </w:abstractNum>
  <w:abstractNum w:abstractNumId="60">
    <w:nsid w:val="29BACF25"/>
    <w:multiLevelType w:val="hybridMultilevel"/>
    <w:lvl w:ilvl="0">
      <w:lvlJc w:val="left"/>
      <w:lvlText w:val="(%1)"/>
      <w:numFmt w:val="lowerRoman"/>
      <w:start w:val="4"/>
    </w:lvl>
    <w:lvl w:ilvl="1">
      <w:lvlJc w:val="left"/>
      <w:lvlText w:val="(%2)"/>
      <w:numFmt w:val="lowerLetter"/>
      <w:start w:val="8"/>
    </w:lvl>
  </w:abstractNum>
  <w:abstractNum w:abstractNumId="61">
    <w:nsid w:val="5D5BABB3"/>
    <w:multiLevelType w:val="hybridMultilevel"/>
    <w:lvl w:ilvl="0">
      <w:lvlJc w:val="left"/>
      <w:lvlText w:val="(%1)"/>
      <w:numFmt w:val="lowerRoman"/>
      <w:start w:val="2"/>
    </w:lvl>
    <w:lvl w:ilvl="1">
      <w:lvlJc w:val="left"/>
      <w:lvlText w:val="%2"/>
      <w:numFmt w:val="lowerLetter"/>
      <w:start w:val="1"/>
    </w:lvl>
  </w:abstractNum>
  <w:abstractNum w:abstractNumId="62">
    <w:nsid w:val="51BF6B48"/>
    <w:multiLevelType w:val="hybridMultilevel"/>
    <w:lvl w:ilvl="0">
      <w:lvlJc w:val="left"/>
      <w:lvlText w:val="(%1)"/>
      <w:numFmt w:val="lowerLetter"/>
      <w:start w:val="9"/>
    </w:lvl>
  </w:abstractNum>
  <w:abstractNum w:abstractNumId="63">
    <w:nsid w:val="7E0F6384"/>
    <w:multiLevelType w:val="hybridMultilevel"/>
    <w:lvl w:ilvl="0">
      <w:lvlJc w:val="left"/>
      <w:lvlText w:val="(%1)"/>
      <w:numFmt w:val="lowerLetter"/>
      <w:start w:val="14"/>
    </w:lvl>
  </w:abstractNum>
  <w:abstractNum w:abstractNumId="64">
    <w:nsid w:val="2B4B8B53"/>
    <w:multiLevelType w:val="hybridMultilevel"/>
    <w:lvl w:ilvl="0">
      <w:lvlJc w:val="left"/>
      <w:lvlText w:val="(%1)"/>
      <w:numFmt w:val="lowerRoman"/>
      <w:start w:val="2"/>
    </w:lvl>
  </w:abstractNum>
  <w:abstractNum w:abstractNumId="65">
    <w:nsid w:val="72E3413A"/>
    <w:multiLevelType w:val="hybridMultilevel"/>
    <w:lvl w:ilvl="0">
      <w:lvlJc w:val="left"/>
      <w:lvlText w:val="%1"/>
      <w:numFmt w:val="lowerLetter"/>
      <w:start w:val="1"/>
    </w:lvl>
    <w:lvl w:ilvl="1">
      <w:lvlJc w:val="left"/>
      <w:lvlText w:val="(%2)"/>
      <w:numFmt w:val="lowerLetter"/>
      <w:start w:val="1"/>
    </w:lvl>
  </w:abstractNum>
  <w:abstractNum w:abstractNumId="66">
    <w:nsid w:val="116AE494"/>
    <w:multiLevelType w:val="hybridMultilevel"/>
    <w:lvl w:ilvl="0">
      <w:lvlJc w:val="left"/>
      <w:lvlText w:val="(%1)"/>
      <w:numFmt w:val="lowerLetter"/>
      <w:start w:val="61"/>
    </w:lvl>
    <w:lvl w:ilvl="1">
      <w:lvlJc w:val="left"/>
      <w:lvlText w:val="%2"/>
      <w:numFmt w:val="lowerLetter"/>
      <w:start w:val="1"/>
    </w:lvl>
  </w:abstractNum>
  <w:abstractNum w:abstractNumId="67">
    <w:nsid w:val="3494B2FB"/>
    <w:multiLevelType w:val="hybridMultilevel"/>
    <w:lvl w:ilvl="0">
      <w:lvlJc w:val="left"/>
      <w:lvlText w:val="(%1)"/>
      <w:numFmt w:val="lowerLetter"/>
      <w:start w:val="2"/>
    </w:lvl>
  </w:abstractNum>
  <w:abstractNum w:abstractNumId="68">
    <w:nsid w:val="B13A3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9">
    <w:nsid w:val="64429599"/>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70">
    <w:nsid w:val="631F1690"/>
    <w:multiLevelType w:val="hybridMultilevel"/>
    <w:lvl w:ilvl="0">
      <w:lvlJc w:val="left"/>
      <w:lvlText w:val="(%1)"/>
      <w:numFmt w:val="lowerLetter"/>
      <w:start w:val="3"/>
    </w:lvl>
  </w:abstractNum>
  <w:abstractNum w:abstractNumId="71">
    <w:nsid w:val="25973E32"/>
    <w:multiLevelType w:val="hybridMultilevel"/>
    <w:lvl w:ilvl="0">
      <w:lvlJc w:val="left"/>
      <w:lvlText w:val="%1"/>
      <w:numFmt w:val="lowerRoman"/>
      <w:start w:val="1"/>
    </w:lvl>
    <w:lvl w:ilvl="1">
      <w:lvlJc w:val="left"/>
      <w:lvlText w:val="(%2)"/>
      <w:numFmt w:val="lowerLetter"/>
      <w:start w:val="1"/>
    </w:lvl>
  </w:abstractNum>
  <w:abstractNum w:abstractNumId="72">
    <w:nsid w:val="EAD6F57"/>
    <w:multiLevelType w:val="hybridMultilevel"/>
    <w:lvl w:ilvl="0">
      <w:lvlJc w:val="left"/>
      <w:lvlText w:val="(%1)"/>
      <w:numFmt w:val="lowerRoman"/>
      <w:start w:val="4"/>
    </w:lvl>
    <w:lvl w:ilvl="1">
      <w:lvlJc w:val="left"/>
      <w:lvlText w:val="%2"/>
      <w:numFmt w:val="lowerLetter"/>
      <w:start w:val="1"/>
    </w:lvl>
  </w:abstractNum>
  <w:abstractNum w:abstractNumId="73">
    <w:nsid w:val="6EC9D844"/>
    <w:multiLevelType w:val="hybridMultilevel"/>
    <w:lvl w:ilvl="0">
      <w:lvlJc w:val="left"/>
      <w:lvlText w:val="(%1)"/>
      <w:numFmt w:val="lowerLetter"/>
      <w:start w:val="4"/>
    </w:lvl>
  </w:abstractNum>
  <w:abstractNum w:abstractNumId="74">
    <w:nsid w:val="5C49EAEE"/>
    <w:multiLevelType w:val="hybridMultilevel"/>
    <w:lvl w:ilvl="0">
      <w:lvlJc w:val="left"/>
      <w:lvlText w:val="%1"/>
      <w:numFmt w:val="lowerLetter"/>
      <w:start w:val="1"/>
    </w:lvl>
    <w:lvl w:ilvl="1">
      <w:lvlJc w:val="left"/>
      <w:lvlText w:val="(%2)"/>
      <w:numFmt w:val="lowerLetter"/>
      <w:start w:val="1"/>
    </w:lvl>
  </w:abstractNum>
  <w:abstractNum w:abstractNumId="75">
    <w:nsid w:val="64AF49B"/>
    <w:multiLevelType w:val="hybridMultilevel"/>
    <w:lvl w:ilvl="0">
      <w:lvlJc w:val="left"/>
      <w:lvlText w:val="(%1)"/>
      <w:numFmt w:val="lowerLetter"/>
      <w:start w:val="9"/>
    </w:lvl>
    <w:lvl w:ilvl="1">
      <w:lvlJc w:val="left"/>
      <w:lvlText w:val="%2"/>
      <w:numFmt w:val="lowerLetter"/>
      <w:start w:val="1"/>
    </w:lvl>
  </w:abstractNum>
  <w:abstractNum w:abstractNumId="76">
    <w:nsid w:val="397C46BC"/>
    <w:multiLevelType w:val="hybridMultilevel"/>
    <w:lvl w:ilvl="0">
      <w:lvlJc w:val="left"/>
      <w:lvlText w:val="(%1)"/>
      <w:numFmt w:val="lowerLetter"/>
      <w:start w:val="3"/>
    </w:lvl>
  </w:abstractNum>
  <w:abstractNum w:abstractNumId="77">
    <w:nsid w:val="7E448DE9"/>
    <w:multiLevelType w:val="hybridMultilevel"/>
    <w:lvl w:ilvl="0">
      <w:lvlJc w:val="left"/>
      <w:lvlText w:val="(%1)"/>
      <w:numFmt w:val="lowerLetter"/>
      <w:start w:val="7"/>
    </w:lvl>
  </w:abstractNum>
  <w:abstractNum w:abstractNumId="78">
    <w:nsid w:val="5A9CC3E5"/>
    <w:multiLevelType w:val="hybridMultilevel"/>
    <w:lvl w:ilvl="0">
      <w:lvlJc w:val="left"/>
      <w:lvlText w:val="(%1)"/>
      <w:numFmt w:val="lowerLetter"/>
      <w:start w:val="1"/>
    </w:lvl>
    <w:lvl w:ilvl="1">
      <w:lvlJc w:val="left"/>
      <w:lvlText w:val="(%2)"/>
      <w:numFmt w:val="lowerLetter"/>
      <w:start w:val="9"/>
    </w:lvl>
  </w:abstractNum>
  <w:abstractNum w:abstractNumId="79">
    <w:nsid w:val="1AFE3625"/>
    <w:multiLevelType w:val="hybridMultilevel"/>
    <w:lvl w:ilvl="0">
      <w:lvlJc w:val="left"/>
      <w:lvlText w:val="%1"/>
      <w:numFmt w:val="lowerLetter"/>
      <w:start w:val="1"/>
    </w:lvl>
    <w:lvl w:ilvl="1">
      <w:lvlJc w:val="left"/>
      <w:lvlText w:val="(%2)"/>
      <w:numFmt w:val="lowerRoman"/>
      <w:start w:val="2"/>
    </w:lvl>
  </w:abstractNum>
  <w:abstractNum w:abstractNumId="80">
    <w:nsid w:val="3CA88ECF"/>
    <w:multiLevelType w:val="hybridMultilevel"/>
    <w:lvl w:ilvl="0">
      <w:lvlJc w:val="left"/>
      <w:lvlText w:val="(%1)"/>
      <w:numFmt w:val="lowerLetter"/>
      <w:start w:val="6"/>
    </w:lvl>
    <w:lvl w:ilvl="1">
      <w:lvlJc w:val="left"/>
      <w:lvlText w:val="%2"/>
      <w:numFmt w:val="lowerRoman"/>
      <w:start w:val="1"/>
    </w:lvl>
  </w:abstractNum>
  <w:abstractNum w:abstractNumId="81">
    <w:nsid w:val="6EBE4208"/>
    <w:multiLevelType w:val="hybridMultilevel"/>
    <w:lvl w:ilvl="0">
      <w:lvlJc w:val="left"/>
      <w:lvlText w:val="(%1)"/>
      <w:numFmt w:val="lowerLetter"/>
      <w:start w:val="8"/>
    </w:lvl>
  </w:abstractNum>
  <w:abstractNum w:abstractNumId="82">
    <w:nsid w:val="C058DF5"/>
    <w:multiLevelType w:val="hybridMultilevel"/>
    <w:lvl w:ilvl="0">
      <w:lvlJc w:val="left"/>
      <w:lvlText w:val="(%1)"/>
      <w:numFmt w:val="lowerLetter"/>
      <w:start w:val="1"/>
    </w:lvl>
    <w:lvl w:ilvl="1">
      <w:lvlJc w:val="left"/>
      <w:lvlText w:val="(%2)"/>
      <w:numFmt w:val="lowerRoman"/>
      <w:start w:val="1"/>
    </w:lvl>
  </w:abstractNum>
  <w:abstractNum w:abstractNumId="83">
    <w:nsid w:val="CBE5BE9"/>
    <w:multiLevelType w:val="hybridMultilevel"/>
    <w:lvl w:ilvl="0">
      <w:lvlJc w:val="left"/>
      <w:lvlText w:val="(%1)"/>
      <w:numFmt w:val="lowerRoman"/>
      <w:start w:val="4"/>
    </w:lvl>
  </w:abstractNum>
  <w:abstractNum w:abstractNumId="84">
    <w:nsid w:val="3102BBE2"/>
    <w:multiLevelType w:val="hybridMultilevel"/>
    <w:lvl w:ilvl="0">
      <w:lvlJc w:val="left"/>
      <w:lvlText w:val="%1"/>
      <w:numFmt w:val="lowerLetter"/>
      <w:start w:val="1"/>
    </w:lvl>
    <w:lvl w:ilvl="1">
      <w:lvlJc w:val="left"/>
      <w:lvlText w:val="(%2)"/>
      <w:numFmt w:val="lowerRoman"/>
      <w:start w:val="13"/>
    </w:lvl>
  </w:abstractNum>
  <w:abstractNum w:abstractNumId="85">
    <w:nsid w:val="26A02C5E"/>
    <w:multiLevelType w:val="hybridMultilevel"/>
    <w:lvl w:ilvl="0">
      <w:lvlJc w:val="left"/>
      <w:lvlText w:val="(%1)"/>
      <w:numFmt w:val="lowerLetter"/>
      <w:start w:val="2"/>
    </w:lvl>
    <w:lvl w:ilvl="1">
      <w:lvlJc w:val="left"/>
      <w:lvlText w:val="%2"/>
      <w:numFmt w:val="lowerRoman"/>
      <w:start w:val="1"/>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1"/>
      <w:numFmt w:val="lowerLetter"/>
      <w:start w:val="1"/>
    </w:lvl>
    <w:lvl w:ilvl="1">
      <w:lvlJc w:val="left"/>
      <w:lvlText w:val="(%2)"/>
      <w:numFmt w:val="lowerLetter"/>
      <w:start w:val="3"/>
    </w:lvl>
  </w:abstractNum>
  <w:abstractNum w:abstractNumId="88">
    <w:nsid w:val="10DB9DAA"/>
    <w:multiLevelType w:val="hybridMultilevel"/>
    <w:lvl w:ilvl="0">
      <w:lvlJc w:val="left"/>
      <w:lvlText w:val="(%1)"/>
      <w:numFmt w:val="lowerLetter"/>
      <w:start w:val="9"/>
    </w:lvl>
    <w:lvl w:ilvl="1">
      <w:lvlJc w:val="left"/>
      <w:lvlText w:val="%2"/>
      <w:numFmt w:val="lowerLetter"/>
      <w:start w:val="1"/>
    </w:lvl>
  </w:abstractNum>
  <w:abstractNum w:abstractNumId="89">
    <w:nsid w:val="697D2D2"/>
    <w:multiLevelType w:val="hybridMultilevel"/>
    <w:lvl w:ilvl="0">
      <w:lvlJc w:val="left"/>
      <w:lvlText w:val="(%1)"/>
      <w:numFmt w:val="lowerLetter"/>
      <w:start w:val="25"/>
    </w:lvl>
    <w:lvl w:ilvl="1">
      <w:lvlJc w:val="left"/>
      <w:lvlText w:val="(%2)"/>
      <w:numFmt w:val="lowerLetter"/>
      <w:start w:val="5"/>
    </w:lvl>
  </w:abstractNum>
  <w:abstractNum w:abstractNumId="90">
    <w:nsid w:val="6D68AB2"/>
    <w:multiLevelType w:val="hybridMultilevel"/>
    <w:lvl w:ilvl="0">
      <w:lvlJc w:val="left"/>
      <w:lvlText w:val="%1"/>
      <w:numFmt w:val="lowerLetter"/>
      <w:start w:val="1"/>
    </w:lvl>
    <w:lvl w:ilvl="1">
      <w:lvlJc w:val="left"/>
      <w:lvlText w:val="(%2)"/>
      <w:numFmt w:val="lowerLetter"/>
      <w:start w:val="6"/>
    </w:lvl>
  </w:abstractNum>
  <w:abstractNum w:abstractNumId="91">
    <w:nsid w:val="3A966CD0"/>
    <w:multiLevelType w:val="hybridMultilevel"/>
    <w:lvl w:ilvl="0">
      <w:lvlJc w:val="left"/>
      <w:lvlText w:val="(%1)"/>
      <w:numFmt w:val="lowerLetter"/>
      <w:start w:val="35"/>
    </w:lvl>
    <w:lvl w:ilvl="1">
      <w:lvlJc w:val="left"/>
      <w:lvlText w:val="%2"/>
      <w:numFmt w:val="lowerLetter"/>
      <w:start w:val="1"/>
    </w:lvl>
  </w:abstractNum>
  <w:abstractNum w:abstractNumId="92">
    <w:nsid w:val="63F37E85"/>
    <w:multiLevelType w:val="hybridMultilevel"/>
    <w:lvl w:ilvl="0">
      <w:lvlJc w:val="left"/>
      <w:lvlText w:val="(%1)"/>
      <w:numFmt w:val="lowerLetter"/>
      <w:start w:val="1"/>
    </w:lvl>
  </w:abstractNum>
  <w:abstractNum w:abstractNumId="93">
    <w:nsid w:val="5895F5FA"/>
    <w:multiLevelType w:val="hybridMultilevel"/>
    <w:lvl w:ilvl="0">
      <w:lvlJc w:val="left"/>
      <w:lvlText w:val="(%1)"/>
      <w:numFmt w:val="lowerLetter"/>
      <w:start w:val="1"/>
    </w:lvl>
  </w:abstractNum>
  <w:abstractNum w:abstractNumId="94">
    <w:nsid w:val="38A5D054"/>
    <w:multiLevelType w:val="hybridMultilevel"/>
    <w:lvl w:ilvl="0">
      <w:lvlJc w:val="left"/>
      <w:lvlText w:val="%1"/>
      <w:numFmt w:val="decimal"/>
      <w:start w:val="1"/>
    </w:lvl>
    <w:lvl w:ilvl="1">
      <w:lvlJc w:val="left"/>
      <w:lvlText w:val="(%2)"/>
      <w:numFmt w:val="lowerLetter"/>
      <w:start w:val="1"/>
    </w:lvl>
  </w:abstractNum>
  <w:abstractNum w:abstractNumId="95">
    <w:nsid w:val="F3F09D8"/>
    <w:multiLevelType w:val="hybridMultilevel"/>
    <w:lvl w:ilvl="0">
      <w:lvlJc w:val="left"/>
      <w:lvlText w:val="(%1)"/>
      <w:numFmt w:val="decimal"/>
      <w:start w:val="6"/>
    </w:lvl>
    <w:lvl w:ilvl="1">
      <w:lvlJc w:val="left"/>
      <w:lvlText w:val="%2"/>
      <w:numFmt w:val="lowerLetter"/>
      <w:start w:val="1"/>
    </w:lvl>
  </w:abstractNum>
  <w:abstractNum w:abstractNumId="96">
    <w:nsid w:val="4B793735"/>
    <w:multiLevelType w:val="hybridMultilevel"/>
    <w:lvl w:ilvl="0">
      <w:lvlJc w:val="left"/>
      <w:lvlText w:val="(%1)"/>
      <w:numFmt w:val="decimal"/>
      <w:start w:val="6"/>
    </w:lvl>
    <w:lvl w:ilvl="1">
      <w:lvlJc w:val="left"/>
      <w:lvlText w:val="(%2)"/>
      <w:numFmt w:val="lowerLetter"/>
      <w:start w:val="8"/>
    </w:lvl>
  </w:abstractNum>
  <w:abstractNum w:abstractNumId="97">
    <w:nsid w:val="4A10B4E8"/>
    <w:multiLevelType w:val="hybridMultilevel"/>
    <w:lvl w:ilvl="0">
      <w:lvlJc w:val="left"/>
      <w:lvlText w:val="%1"/>
      <w:numFmt w:val="lowerLetter"/>
      <w:start w:val="1"/>
    </w:lvl>
    <w:lvl w:ilvl="1">
      <w:lvlJc w:val="left"/>
      <w:lvlText w:val="(%2)"/>
      <w:numFmt w:val="lowerLetter"/>
      <w:start w:val="9"/>
    </w:lvl>
  </w:abstractNum>
  <w:abstractNum w:abstractNumId="98">
    <w:nsid w:val="43D3BCD4"/>
    <w:multiLevelType w:val="hybridMultilevel"/>
    <w:lvl w:ilvl="0">
      <w:lvlJc w:val="left"/>
      <w:lvlText w:val="(%1)"/>
      <w:numFmt w:val="lowerLetter"/>
      <w:start w:val="9"/>
    </w:lvl>
    <w:lvl w:ilvl="1">
      <w:lvlJc w:val="left"/>
      <w:lvlText w:val="(%2)"/>
      <w:numFmt w:val="lowerLetter"/>
      <w:start w:val="12"/>
    </w:lvl>
  </w:abstractNum>
  <w:abstractNum w:abstractNumId="99">
    <w:nsid w:val="4C2A7166"/>
    <w:multiLevelType w:val="hybridMultilevel"/>
    <w:lvl w:ilvl="0">
      <w:lvlJc w:val="left"/>
      <w:lvlText w:val="(%1)"/>
      <w:numFmt w:val="lowerLetter"/>
      <w:start w:val="14"/>
    </w:lvl>
  </w:abstractNum>
  <w:abstractNum w:abstractNumId="100">
    <w:nsid w:val="2E534A82"/>
    <w:multiLevelType w:val="hybridMultilevel"/>
    <w:lvl w:ilvl="0">
      <w:lvlJc w:val="left"/>
      <w:lvlText w:val="(%1)"/>
      <w:numFmt w:val="lowerLetter"/>
      <w:start w:val="1"/>
    </w:lvl>
    <w:lvl w:ilvl="1">
      <w:lvlJc w:val="left"/>
      <w:lvlText w:val="(%2)"/>
      <w:numFmt w:val="lowerRoman"/>
      <w:start w:val="1"/>
    </w:lvl>
  </w:abstractNum>
  <w:abstractNum w:abstractNumId="101">
    <w:nsid w:val="26F2D364"/>
    <w:multiLevelType w:val="hybridMultilevel"/>
    <w:lvl w:ilvl="0">
      <w:lvlJc w:val="left"/>
      <w:lvlText w:val="(%1)"/>
      <w:numFmt w:val="lowerRoman"/>
      <w:start w:val="3"/>
    </w:lvl>
  </w:abstractNum>
  <w:abstractNum w:abstractNumId="102">
    <w:nsid w:val="71C1AF98"/>
    <w:multiLevelType w:val="hybridMultilevel"/>
    <w:lvl w:ilvl="0">
      <w:lvlJc w:val="left"/>
      <w:lvlText w:val="(%1)"/>
      <w:numFmt w:val="lowerRoman"/>
      <w:start w:val="12"/>
    </w:lvl>
  </w:abstractNum>
  <w:abstractNum w:abstractNumId="103">
    <w:nsid w:val="3D00B9D9"/>
    <w:multiLevelType w:val="hybridMultilevel"/>
    <w:lvl w:ilvl="0">
      <w:lvlJc w:val="left"/>
      <w:lvlText w:val="(%1)"/>
      <w:numFmt w:val="lowerLetter"/>
      <w:start w:val="3"/>
    </w:lvl>
    <w:lvl w:ilvl="1">
      <w:lvlJc w:val="left"/>
      <w:lvlText w:val="(%2)"/>
      <w:numFmt w:val="lowerRoman"/>
      <w:start w:val="1"/>
    </w:lvl>
  </w:abstractNum>
  <w:abstractNum w:abstractNumId="104">
    <w:nsid w:val="15BCABA8"/>
    <w:multiLevelType w:val="hybridMultilevel"/>
    <w:lvl w:ilvl="0">
      <w:lvlJc w:val="left"/>
      <w:lvlText w:val="(%1)"/>
      <w:numFmt w:val="lowerLetter"/>
      <w:start w:val="2"/>
    </w:lvl>
    <w:lvl w:ilvl="1">
      <w:lvlJc w:val="left"/>
      <w:lvlText w:val="(%2)"/>
      <w:numFmt w:val="lowerRoman"/>
      <w:start w:val="1"/>
    </w:lvl>
  </w:abstractNum>
  <w:abstractNum w:abstractNumId="105">
    <w:nsid w:val="4E0B9A87"/>
    <w:multiLevelType w:val="hybridMultilevel"/>
    <w:lvl w:ilvl="0">
      <w:lvlJc w:val="left"/>
      <w:lvlText w:val="(%1)"/>
      <w:numFmt w:val="lowerRoman"/>
      <w:start w:val="7"/>
    </w:lvl>
  </w:abstractNum>
  <w:abstractNum w:abstractNumId="106">
    <w:nsid w:val="434BAE75"/>
    <w:multiLevelType w:val="hybridMultilevel"/>
    <w:lvl w:ilvl="0">
      <w:lvlJc w:val="left"/>
      <w:lvlText w:val="(%1)"/>
      <w:numFmt w:val="lowerLetter"/>
      <w:start w:val="1"/>
    </w:lvl>
  </w:abstractNum>
  <w:abstractNum w:abstractNumId="107">
    <w:nsid w:val="4F38F265"/>
    <w:multiLevelType w:val="hybridMultilevel"/>
    <w:lvl w:ilvl="0">
      <w:lvlJc w:val="left"/>
      <w:lvlText w:val="(%1)"/>
      <w:numFmt w:val="lowerLetter"/>
      <w:start w:val="2"/>
    </w:lvl>
  </w:abstractNum>
  <w:abstractNum w:abstractNumId="108">
    <w:nsid w:val="4C502870"/>
    <w:multiLevelType w:val="hybridMultilevel"/>
    <w:lvl w:ilvl="0">
      <w:lvlJc w:val="left"/>
      <w:lvlText w:val="%1"/>
      <w:numFmt w:val="lowerRoman"/>
      <w:start w:val="1"/>
    </w:lvl>
    <w:lvl w:ilvl="1">
      <w:lvlJc w:val="left"/>
      <w:lvlText w:val="(%2)"/>
      <w:numFmt w:val="lowerLetter"/>
      <w:start w:val="1"/>
    </w:lvl>
  </w:abstractNum>
  <w:abstractNum w:abstractNumId="109">
    <w:nsid w:val="1DE8725A"/>
    <w:multiLevelType w:val="hybridMultilevel"/>
    <w:lvl w:ilvl="0">
      <w:lvlJc w:val="left"/>
      <w:lvlText w:val="(%1)"/>
      <w:numFmt w:val="lowerRoman"/>
      <w:start w:val="4"/>
    </w:lvl>
    <w:lvl w:ilvl="1">
      <w:lvlJc w:val="left"/>
      <w:lvlText w:val="(%2)"/>
      <w:numFmt w:val="lowerLetter"/>
      <w:start w:val="2"/>
    </w:lvl>
  </w:abstractNum>
  <w:abstractNum w:abstractNumId="110">
    <w:nsid w:val="6A37288A"/>
    <w:multiLevelType w:val="hybridMultilevel"/>
    <w:lvl w:ilvl="0">
      <w:lvlJc w:val="left"/>
      <w:lvlText w:val="(%1)"/>
      <w:numFmt w:val="lowerLetter"/>
      <w:start w:val="3"/>
    </w:lvl>
  </w:abstractNum>
  <w:abstractNum w:abstractNumId="111">
    <w:nsid w:val="8F8B73F"/>
    <w:multiLevelType w:val="hybridMultilevel"/>
    <w:lvl w:ilvl="0">
      <w:lvlJc w:val="left"/>
      <w:lvlText w:val="%1"/>
      <w:numFmt w:val="upperLetter"/>
      <w:start w:val="1"/>
    </w:lvl>
    <w:lvl w:ilvl="1">
      <w:lvlJc w:val="left"/>
      <w:lvlText w:val="(%2)"/>
      <w:numFmt w:val="lowerLetter"/>
      <w:start w:val="1"/>
    </w:lvl>
  </w:abstractNum>
  <w:abstractNum w:abstractNumId="112">
    <w:nsid w:val="CA6B462"/>
    <w:multiLevelType w:val="hybridMultilevel"/>
    <w:lvl w:ilvl="0">
      <w:lvlJc w:val="left"/>
      <w:lvlText w:val="(%1)"/>
      <w:numFmt w:val="upperLetter"/>
      <w:start w:val="35"/>
    </w:lvl>
    <w:lvl w:ilvl="1">
      <w:lvlJc w:val="left"/>
      <w:lvlText w:val="%2"/>
      <w:numFmt w:val="lowerLetter"/>
      <w:start w:val="1"/>
    </w:lvl>
  </w:abstractNum>
  <w:abstractNum w:abstractNumId="113">
    <w:nsid w:val="763CB680"/>
    <w:multiLevelType w:val="hybridMultilevel"/>
    <w:lvl w:ilvl="0">
      <w:lvlJc w:val="left"/>
      <w:lvlText w:val="(%1)"/>
      <w:numFmt w:val="lowerLetter"/>
      <w:start w:val="2"/>
    </w:lvl>
  </w:abstractNum>
  <w:abstractNum w:abstractNumId="114">
    <w:nsid w:val="15B71329"/>
    <w:multiLevelType w:val="hybridMultilevel"/>
    <w:lvl w:ilvl="0">
      <w:lvlJc w:val="left"/>
      <w:lvlText w:val="%1"/>
      <w:numFmt w:val="decimal"/>
      <w:start w:val="1"/>
    </w:lvl>
    <w:lvl w:ilvl="1">
      <w:lvlJc w:val="left"/>
      <w:lvlText w:val="(%2)"/>
      <w:numFmt w:val="lowerLetter"/>
      <w:start w:val="1"/>
    </w:lvl>
  </w:abstractNum>
  <w:abstractNum w:abstractNumId="115">
    <w:nsid w:val="3DA97044"/>
    <w:multiLevelType w:val="hybridMultilevel"/>
    <w:lvl w:ilvl="0">
      <w:lvlJc w:val="left"/>
      <w:lvlText w:val="(%1)"/>
      <w:numFmt w:val="decimal"/>
      <w:start w:val="2"/>
    </w:lvl>
    <w:lvl w:ilvl="1">
      <w:lvlJc w:val="left"/>
      <w:lvlText w:val="(%2)"/>
      <w:numFmt w:val="lowerLetter"/>
      <w:start w:val="2"/>
    </w:lvl>
  </w:abstractNum>
  <w:abstractNum w:abstractNumId="116">
    <w:nsid w:val="1CDCE2DE"/>
    <w:multiLevelType w:val="hybridMultilevel"/>
    <w:lvl w:ilvl="0">
      <w:lvlJc w:val="left"/>
      <w:lvlText w:val="%1"/>
      <w:numFmt w:val="decimal"/>
      <w:start w:val="1"/>
    </w:lvl>
    <w:lvl w:ilvl="1">
      <w:lvlJc w:val="left"/>
      <w:lvlText w:val="(%2)"/>
      <w:numFmt w:val="lowerLetter"/>
      <w:start w:val="4"/>
    </w:lvl>
  </w:abstractNum>
  <w:abstractNum w:abstractNumId="117">
    <w:nsid w:val="69D3947C"/>
    <w:multiLevelType w:val="hybridMultilevel"/>
    <w:lvl w:ilvl="0">
      <w:lvlJc w:val="left"/>
      <w:lvlText w:val="(%1)"/>
      <w:numFmt w:val="decimal"/>
      <w:start w:val="3"/>
    </w:lvl>
    <w:lvl w:ilvl="1">
      <w:lvlJc w:val="left"/>
      <w:lvlText w:val="%2"/>
      <w:numFmt w:val="lowerLetter"/>
      <w:start w:val="1"/>
    </w:lvl>
  </w:abstractNum>
  <w:abstractNum w:abstractNumId="118">
    <w:nsid w:val="2539DFA5"/>
    <w:multiLevelType w:val="hybridMultilevel"/>
    <w:lvl w:ilvl="0">
      <w:lvlJc w:val="left"/>
      <w:lvlText w:val="(%1)"/>
      <w:numFmt w:val="lowerLetter"/>
      <w:start w:val="5"/>
    </w:lvl>
  </w:abstractNum>
  <w:abstractNum w:abstractNumId="119">
    <w:nsid w:val="2DB88089"/>
    <w:multiLevelType w:val="hybridMultilevel"/>
    <w:lvl w:ilvl="0">
      <w:lvlJc w:val="left"/>
      <w:lvlText w:val="%1"/>
      <w:numFmt w:val="lowerLetter"/>
      <w:start w:val="1"/>
    </w:lvl>
    <w:lvl w:ilvl="1">
      <w:lvlJc w:val="left"/>
      <w:lvlText w:val="(%2)"/>
      <w:numFmt w:val="lowerLetter"/>
      <w:start w:val="1"/>
    </w:lvl>
  </w:abstractNum>
  <w:abstractNum w:abstractNumId="120">
    <w:nsid w:val="706B674E"/>
    <w:multiLevelType w:val="hybridMultilevel"/>
    <w:lvl w:ilvl="0">
      <w:lvlJc w:val="left"/>
      <w:lvlText w:val="(%1)"/>
      <w:numFmt w:val="lowerLetter"/>
      <w:start w:val="35"/>
    </w:lvl>
    <w:lvl w:ilvl="1">
      <w:lvlJc w:val="left"/>
      <w:lvlText w:val="(%2)"/>
      <w:numFmt w:val="lowerLetter"/>
      <w:start w:val="3"/>
    </w:lvl>
  </w:abstractNum>
  <w:abstractNum w:abstractNumId="121">
    <w:nsid w:val="2C106A57"/>
    <w:multiLevelType w:val="hybridMultilevel"/>
    <w:lvl w:ilvl="0">
      <w:lvlJc w:val="left"/>
      <w:lvlText w:val="(%1)"/>
      <w:numFmt w:val="lowerLetter"/>
      <w:start w:val="24"/>
    </w:lvl>
    <w:lvl w:ilvl="1">
      <w:lvlJc w:val="left"/>
      <w:lvlText w:val="(%2)"/>
      <w:numFmt w:val="lowerLetter"/>
      <w:start w:val="4"/>
    </w:lvl>
  </w:abstractNum>
  <w:abstractNum w:abstractNumId="122">
    <w:nsid w:val="684EED59"/>
    <w:multiLevelType w:val="hybridMultilevel"/>
    <w:lvl w:ilvl="0">
      <w:lvlJc w:val="left"/>
      <w:lvlText w:val="(%1)"/>
      <w:numFmt w:val="lowerRoman"/>
      <w:start w:val="4"/>
    </w:lvl>
  </w:abstractNum>
  <w:abstractNum w:abstractNumId="123">
    <w:nsid w:val="545EE5D3"/>
    <w:multiLevelType w:val="hybridMultilevel"/>
    <w:lvl w:ilvl="0">
      <w:lvlJc w:val="left"/>
      <w:lvlText w:val="%1"/>
      <w:numFmt w:val="lowerLetter"/>
      <w:start w:val="1"/>
    </w:lvl>
    <w:lvl w:ilvl="1">
      <w:lvlJc w:val="left"/>
      <w:lvlText w:val="(%2)"/>
      <w:numFmt w:val="lowerLetter"/>
      <w:start w:val="1"/>
    </w:lvl>
  </w:abstractNum>
  <w:abstractNum w:abstractNumId="124">
    <w:nsid w:val="4A66051"/>
    <w:multiLevelType w:val="hybridMultilevel"/>
    <w:lvl w:ilvl="0">
      <w:lvlJc w:val="left"/>
      <w:lvlText w:val="(%1)"/>
      <w:numFmt w:val="lowerLetter"/>
      <w:start w:val="35"/>
    </w:lvl>
    <w:lvl w:ilvl="1">
      <w:lvlJc w:val="left"/>
      <w:lvlText w:val="(%2)"/>
      <w:numFmt w:val="lowerLetter"/>
      <w:start w:val="2"/>
    </w:lvl>
  </w:abstractNum>
  <w:abstractNum w:abstractNumId="125">
    <w:nsid w:val="20F4BDAD"/>
    <w:multiLevelType w:val="hybridMultilevel"/>
    <w:lvl w:ilvl="0">
      <w:lvlJc w:val="left"/>
      <w:lvlText w:val="%1"/>
      <w:numFmt w:val="lowerLetter"/>
      <w:start w:val="1"/>
    </w:lvl>
    <w:lvl w:ilvl="1">
      <w:lvlJc w:val="left"/>
      <w:lvlText w:val="(%2)"/>
      <w:numFmt w:val="lowerLetter"/>
      <w:start w:val="1"/>
    </w:lvl>
  </w:abstractNum>
  <w:abstractNum w:abstractNumId="126">
    <w:nsid w:val="639DEFAC"/>
    <w:multiLevelType w:val="hybridMultilevel"/>
    <w:lvl w:ilvl="0">
      <w:lvlJc w:val="left"/>
      <w:lvlText w:val="(%1)"/>
      <w:numFmt w:val="lowerLetter"/>
      <w:start w:val="35"/>
    </w:lvl>
    <w:lvl w:ilvl="1">
      <w:lvlJc w:val="left"/>
      <w:lvlText w:val="%2"/>
      <w:numFmt w:val="lowerLetter"/>
      <w:start w:val="1"/>
    </w:lvl>
  </w:abstractNum>
  <w:abstractNum w:abstractNumId="127">
    <w:nsid w:val="501F9786"/>
    <w:multiLevelType w:val="hybridMultilevel"/>
    <w:lvl w:ilvl="0">
      <w:lvlJc w:val="left"/>
      <w:lvlText w:val="(%1)"/>
      <w:numFmt w:val="lowerLetter"/>
      <w:start w:val="3"/>
    </w:lvl>
  </w:abstractNum>
  <w:abstractNum w:abstractNumId="128">
    <w:nsid w:val="6B057295"/>
    <w:multiLevelType w:val="hybridMultilevel"/>
    <w:lvl w:ilvl="0">
      <w:lvlJc w:val="left"/>
      <w:lvlText w:val="(%1)"/>
      <w:numFmt w:val="lowerLetter"/>
      <w:start w:val="1"/>
    </w:lvl>
  </w:abstractNum>
  <w:abstractNum w:abstractNumId="129">
    <w:nsid w:val="2771AC80"/>
    <w:multiLevelType w:val="hybridMultilevel"/>
    <w:lvl w:ilvl="0">
      <w:lvlJc w:val="left"/>
      <w:lvlText w:val="%1"/>
      <w:numFmt w:val="upperLetter"/>
      <w:start w:val="1"/>
    </w:lvl>
    <w:lvl w:ilvl="1">
      <w:lvlJc w:val="left"/>
      <w:lvlText w:val="(%2)"/>
      <w:numFmt w:val="lowerLetter"/>
      <w:start w:val="4"/>
    </w:lvl>
  </w:abstractNum>
  <w:abstractNum w:abstractNumId="130">
    <w:nsid w:val="1C4A08EC"/>
    <w:multiLevelType w:val="hybridMultilevel"/>
    <w:lvl w:ilvl="0">
      <w:lvlJc w:val="left"/>
      <w:lvlText w:val="(%1)"/>
      <w:numFmt w:val="upperLetter"/>
      <w:start w:val="2"/>
    </w:lvl>
    <w:lvl w:ilvl="1">
      <w:lvlJc w:val="left"/>
      <w:lvlText w:val="(%2)"/>
      <w:numFmt w:val="lowerLetter"/>
      <w:start w:val="5"/>
    </w:lvl>
  </w:abstractNum>
  <w:abstractNum w:abstractNumId="131">
    <w:nsid w:val="1958BD17"/>
    <w:multiLevelType w:val="hybridMultilevel"/>
    <w:lvl w:ilvl="0">
      <w:lvlJc w:val="left"/>
      <w:lvlText w:val="(%1)"/>
      <w:numFmt w:val="lowerLetter"/>
      <w:start w:val="1"/>
    </w:lvl>
  </w:abstractNum>
  <w:abstractNum w:abstractNumId="132">
    <w:nsid w:val="4E647FE4"/>
    <w:multiLevelType w:val="hybridMultilevel"/>
    <w:lvl w:ilvl="0">
      <w:lvlJc w:val="left"/>
      <w:lvlText w:val="(%1)"/>
      <w:numFmt w:val="lowerLetter"/>
      <w:start w:val="2"/>
    </w:lvl>
  </w:abstractNum>
  <w:abstractNum w:abstractNumId="133">
    <w:nsid w:val="E0BB885"/>
    <w:multiLevelType w:val="hybridMultilevel"/>
    <w:lvl w:ilvl="0">
      <w:lvlJc w:val="left"/>
      <w:lvlText w:val="(%1)"/>
      <w:numFmt w:val="lowerLetter"/>
      <w:start w:val="4"/>
    </w:lvl>
  </w:abstractNum>
  <w:abstractNum w:abstractNumId="134">
    <w:nsid w:val="565976F1"/>
    <w:multiLevelType w:val="hybridMultilevel"/>
    <w:lvl w:ilvl="0">
      <w:lvlJc w:val="left"/>
      <w:lvlText w:val="(%1)"/>
      <w:numFmt w:val="lowerLetter"/>
      <w:start w:val="1"/>
    </w:lvl>
  </w:abstractNum>
  <w:abstractNum w:abstractNumId="135">
    <w:nsid w:val="64212B8C"/>
    <w:multiLevelType w:val="hybridMultilevel"/>
    <w:lvl w:ilvl="0">
      <w:lvlJc w:val="left"/>
      <w:lvlText w:val="(%1)"/>
      <w:numFmt w:val="lowerLetter"/>
      <w:start w:val="2"/>
    </w:lvl>
  </w:abstractNum>
  <w:abstractNum w:abstractNumId="136">
    <w:nsid w:val="5C17530C"/>
    <w:multiLevelType w:val="hybridMultilevel"/>
    <w:lvl w:ilvl="0">
      <w:lvlJc w:val="left"/>
      <w:lvlText w:val="(%1)"/>
      <w:numFmt w:val="lowerRoman"/>
      <w:start w:val="4"/>
    </w:lvl>
  </w:abstractNum>
  <w:abstractNum w:abstractNumId="137">
    <w:nsid w:val="19A52566"/>
    <w:multiLevelType w:val="hybridMultilevel"/>
    <w:lvl w:ilvl="0">
      <w:lvlJc w:val="left"/>
      <w:lvlText w:val="(%1)"/>
      <w:numFmt w:val="lowerLetter"/>
      <w:start w:val="1"/>
    </w:lvl>
  </w:abstractNum>
  <w:abstractNum w:abstractNumId="138">
    <w:nsid w:val="335A1DF1"/>
    <w:multiLevelType w:val="hybridMultilevel"/>
    <w:lvl w:ilvl="0">
      <w:lvlJc w:val="left"/>
      <w:lvlText w:val="(%1)"/>
      <w:numFmt w:val="lowerLetter"/>
      <w:start w:val="5"/>
    </w:lvl>
  </w:abstractNum>
  <w:abstractNum w:abstractNumId="139">
    <w:nsid w:val="28677B7C"/>
    <w:multiLevelType w:val="hybridMultilevel"/>
    <w:lvl w:ilvl="0">
      <w:lvlJc w:val="left"/>
      <w:lvlText w:val="(%1)"/>
      <w:numFmt w:val="lowerLetter"/>
      <w:start w:val="2"/>
    </w:lvl>
  </w:abstractNum>
  <w:abstractNum w:abstractNumId="140">
    <w:nsid w:val="378D97C0"/>
    <w:multiLevelType w:val="hybridMultilevel"/>
    <w:lvl w:ilvl="0">
      <w:lvlJc w:val="left"/>
      <w:lvlText w:val="(%1)"/>
      <w:numFmt w:val="lowerLetter"/>
      <w:start w:val="1"/>
    </w:lvl>
  </w:abstractNum>
  <w:abstractNum w:abstractNumId="141">
    <w:nsid w:val="1D91467C"/>
    <w:multiLevelType w:val="hybridMultilevel"/>
    <w:lvl w:ilvl="0">
      <w:lvlJc w:val="left"/>
      <w:lvlText w:val="(%1)"/>
      <w:numFmt w:val="lowerLetter"/>
      <w:start w:val="4"/>
    </w:lvl>
  </w:abstractNum>
  <w:abstractNum w:abstractNumId="142">
    <w:nsid w:val="316032BB"/>
    <w:multiLevelType w:val="hybridMultilevel"/>
    <w:lvl w:ilvl="0">
      <w:lvlJc w:val="left"/>
      <w:lvlText w:val="(%1)"/>
      <w:numFmt w:val="lowerLetter"/>
      <w:start w:val="11"/>
    </w:lvl>
  </w:abstractNum>
  <w:abstractNum w:abstractNumId="143">
    <w:nsid w:val="44344C22"/>
    <w:multiLevelType w:val="hybridMultilevel"/>
    <w:lvl w:ilvl="0">
      <w:lvlJc w:val="left"/>
      <w:lvlText w:val="(%1)"/>
      <w:numFmt w:val="lowerLetter"/>
      <w:start w:val="1"/>
    </w:lvl>
  </w:abstractNum>
  <w:abstractNum w:abstractNumId="144">
    <w:nsid w:val="13CDFCFC"/>
    <w:multiLevelType w:val="hybridMultilevel"/>
    <w:lvl w:ilvl="0">
      <w:lvlJc w:val="left"/>
      <w:lvlText w:val="%1"/>
      <w:numFmt w:val="decimal"/>
      <w:start w:val="1"/>
    </w:lvl>
    <w:lvl w:ilvl="1">
      <w:lvlJc w:val="left"/>
      <w:lvlText w:val="(%2)"/>
      <w:numFmt w:val="lowerLetter"/>
      <w:start w:val="3"/>
    </w:lvl>
  </w:abstractNum>
  <w:abstractNum w:abstractNumId="145">
    <w:nsid w:val="471745E4"/>
    <w:multiLevelType w:val="hybridMultilevel"/>
    <w:lvl w:ilvl="0">
      <w:lvlJc w:val="left"/>
      <w:lvlText w:val="(%1)"/>
      <w:numFmt w:val="decimal"/>
      <w:start w:val="12"/>
    </w:lvl>
    <w:lvl w:ilvl="1">
      <w:lvlJc w:val="left"/>
      <w:lvlText w:val="(%2)"/>
      <w:numFmt w:val="lowerLetter"/>
      <w:start w:val="4"/>
    </w:lvl>
  </w:abstractNum>
  <w:abstractNum w:abstractNumId="146">
    <w:nsid w:val="1DDBC66"/>
    <w:multiLevelType w:val="hybridMultilevel"/>
    <w:lvl w:ilvl="0">
      <w:lvlJc w:val="left"/>
      <w:lvlText w:val="(%1)"/>
      <w:numFmt w:val="lowerLetter"/>
      <w:start w:val="1"/>
    </w:lvl>
  </w:abstractNum>
  <w:abstractNum w:abstractNumId="147">
    <w:nsid w:val="30AADFDA"/>
    <w:multiLevelType w:val="hybridMultilevel"/>
    <w:lvl w:ilvl="0">
      <w:lvlJc w:val="left"/>
      <w:lvlText w:val="%1."/>
      <w:numFmt w:val="upperLetter"/>
      <w:start w:val="5"/>
    </w:lvl>
  </w:abstractNum>
  <w:abstractNum w:abstractNumId="148">
    <w:nsid w:val="30EADA61"/>
    <w:multiLevelType w:val="hybridMultilevel"/>
    <w:lvl w:ilvl="0">
      <w:lvlJc w:val="left"/>
      <w:lvlText w:val="%1."/>
      <w:numFmt w:val="decimal"/>
      <w:start w:val="2"/>
    </w:lvl>
  </w:abstractNum>
  <w:abstractNum w:abstractNumId="149">
    <w:nsid w:val="27179C0B"/>
    <w:multiLevelType w:val="hybridMultilevel"/>
    <w:lvl w:ilvl="0">
      <w:lvlJc w:val="left"/>
      <w:lvlText w:val="(%1)"/>
      <w:numFmt w:val="upperLetter"/>
      <w:start w:val="4"/>
    </w:lvl>
  </w:abstractNum>
  <w:abstractNum w:abstractNumId="150">
    <w:nsid w:val="5E636063"/>
    <w:multiLevelType w:val="hybridMultilevel"/>
    <w:lvl w:ilvl="0">
      <w:lvlJc w:val="left"/>
      <w:lvlText w:val="%1."/>
      <w:numFmt w:val="decimal"/>
      <w:start w:val="5"/>
    </w:lvl>
  </w:abstractNum>
  <w:abstractNum w:abstractNumId="151">
    <w:nsid w:val="215641AF"/>
    <w:multiLevelType w:val="hybridMultilevel"/>
    <w:lvl w:ilvl="0">
      <w:lvlJc w:val="left"/>
      <w:lvlText w:val="%1."/>
      <w:numFmt w:val="decimal"/>
      <w:start w:val="6"/>
    </w:lvl>
  </w:abstractNum>
  <w:abstractNum w:abstractNumId="152">
    <w:nsid w:val="53280662"/>
    <w:multiLevelType w:val="hybridMultilevel"/>
    <w:lvl w:ilvl="0">
      <w:lvlJc w:val="left"/>
      <w:lvlText w:val="(%1)"/>
      <w:numFmt w:val="decimal"/>
      <w:start w:val="2"/>
    </w:lvl>
  </w:abstractNum>
  <w:abstractNum w:abstractNumId="153">
    <w:nsid w:val="46B24DBC"/>
    <w:multiLevelType w:val="hybridMultilevel"/>
    <w:lvl w:ilvl="0">
      <w:lvlJc w:val="left"/>
      <w:lvlText w:val="(%1)"/>
      <w:numFmt w:val="lowerLetter"/>
      <w:start w:val="2"/>
    </w:lvl>
  </w:abstractNum>
  <w:abstractNum w:abstractNumId="154">
    <w:nsid w:val="75B52783"/>
    <w:multiLevelType w:val="hybridMultilevel"/>
    <w:lvl w:ilvl="0">
      <w:lvlJc w:val="left"/>
      <w:lvlText w:val="(%1)"/>
      <w:numFmt w:val="lowerRoman"/>
      <w:start w:val="2"/>
    </w:lvl>
  </w:abstractNum>
  <w:abstractNum w:abstractNumId="155">
    <w:nsid w:val="57CE66B4"/>
    <w:multiLevelType w:val="hybridMultilevel"/>
    <w:lvl w:ilvl="0">
      <w:lvlJc w:val="left"/>
      <w:lvlText w:val="%1."/>
      <w:numFmt w:val="decimal"/>
      <w:start w:val="7"/>
    </w:lvl>
  </w:abstractNum>
  <w:abstractNum w:abstractNumId="156">
    <w:nsid w:val="67A70B69"/>
    <w:multiLevelType w:val="hybridMultilevel"/>
    <w:lvl w:ilvl="0">
      <w:lvlJc w:val="left"/>
      <w:lvlText w:val="(%1)"/>
      <w:numFmt w:val="upperLetter"/>
      <w:start w:val="3"/>
    </w:lvl>
  </w:abstractNum>
  <w:abstractNum w:abstractNumId="157">
    <w:nsid w:val="5953172F"/>
    <w:multiLevelType w:val="hybridMultilevel"/>
    <w:lvl w:ilvl="0">
      <w:lvlJc w:val="left"/>
      <w:lvlText w:val="%1."/>
      <w:numFmt w:val="decimal"/>
      <w:start w:val="8"/>
    </w:lvl>
  </w:abstractNum>
  <w:abstractNum w:abstractNumId="158">
    <w:nsid w:val="27EDFE3A"/>
    <w:multiLevelType w:val="hybridMultilevel"/>
    <w:lvl w:ilvl="0">
      <w:lvlJc w:val="left"/>
      <w:lvlText w:val="%1."/>
      <w:numFmt w:val="decimal"/>
      <w:start w:val="11"/>
    </w:lvl>
  </w:abstractNum>
  <w:abstractNum w:abstractNumId="159">
    <w:nsid w:val="52AC7DFF"/>
    <w:multiLevelType w:val="hybridMultilevel"/>
    <w:lvl w:ilvl="0">
      <w:lvlJc w:val="left"/>
      <w:lvlText w:val="%1."/>
      <w:numFmt w:val="decimal"/>
      <w:start w:val="16"/>
    </w:lvl>
  </w:abstractNum>
  <w:abstractNum w:abstractNumId="160">
    <w:nsid w:val="C4C3AF"/>
    <w:multiLevelType w:val="hybridMultilevel"/>
    <w:lvl w:ilvl="0">
      <w:lvlJc w:val="left"/>
      <w:lvlText w:val="%1."/>
      <w:numFmt w:val="decimal"/>
      <w:start w:val="1"/>
    </w:lvl>
    <w:lvl w:ilvl="1">
      <w:lvlJc w:val="left"/>
      <w:lvlText w:val="(%2)"/>
      <w:numFmt w:val="lowerLetter"/>
      <w:start w:val="1"/>
    </w:lvl>
  </w:abstractNum>
  <w:abstractNum w:abstractNumId="161">
    <w:nsid w:val="443807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62">
    <w:nsid w:val="6C053B1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63">
    <w:nsid w:val="4F29439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4">
    <w:nsid w:val="5243BFAC"/>
    <w:multiLevelType w:val="hybridMultilevel"/>
    <w:lvl w:ilvl="0">
      <w:lvlJc w:val="left"/>
      <w:lvlText w:val="%1"/>
      <w:numFmt w:val="decimal"/>
      <w:start w:val="1"/>
    </w:lvl>
    <w:lvl w:ilvl="1">
      <w:lvlJc w:val="left"/>
      <w:lvlText w:val="(%2)"/>
      <w:numFmt w:val="lowerLetter"/>
      <w:start w:val="5"/>
    </w:lvl>
  </w:abstractNum>
  <w:abstractNum w:abstractNumId="165">
    <w:nsid w:val="425EB207"/>
    <w:multiLevelType w:val="hybridMultilevel"/>
    <w:lvl w:ilvl="0">
      <w:lvlJc w:val="left"/>
      <w:lvlText w:val="%1."/>
      <w:numFmt w:val="decimal"/>
      <w:start w:val="3"/>
    </w:lvl>
    <w:lvl w:ilvl="1">
      <w:lvlJc w:val="left"/>
      <w:lvlText w:val="(%2)"/>
      <w:numFmt w:val="lowerLetter"/>
      <w:start w:val="1"/>
    </w:lvl>
  </w:abstractNum>
  <w:abstractNum w:abstractNumId="166">
    <w:nsid w:val="334A6F1F"/>
    <w:multiLevelType w:val="hybridMultilevel"/>
    <w:lvl w:ilvl="0">
      <w:lvlJc w:val="left"/>
      <w:lvlText w:val="%1"/>
      <w:numFmt w:val="lowerRoman"/>
      <w:start w:val="1"/>
    </w:lvl>
    <w:lvl w:ilvl="1">
      <w:lvlJc w:val="left"/>
      <w:lvlText w:val="%2."/>
      <w:numFmt w:val="decimal"/>
      <w:start w:val="6"/>
    </w:lvl>
  </w:abstractNum>
  <w:abstractNum w:abstractNumId="167">
    <w:nsid w:val="2E5B12B8"/>
    <w:multiLevelType w:val="hybridMultilevel"/>
    <w:lvl w:ilvl="0">
      <w:lvlJc w:val="left"/>
      <w:lvlText w:val="(%1)"/>
      <w:numFmt w:val="lowerRoman"/>
      <w:start w:val="2"/>
    </w:lvl>
    <w:lvl w:ilvl="1">
      <w:lvlJc w:val="left"/>
      <w:lvlText w:val="%2"/>
      <w:numFmt w:val="decimal"/>
      <w:start w:val="1"/>
    </w:lvl>
  </w:abstractNum>
  <w:abstractNum w:abstractNumId="168">
    <w:nsid w:val="5C03D76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69">
    <w:nsid w:val="66A48D1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70">
    <w:nsid w:val="56C28E34"/>
    <w:multiLevelType w:val="hybridMultilevel"/>
    <w:lvl w:ilvl="0">
      <w:lvlJc w:val="left"/>
      <w:lvlText w:val="%1"/>
      <w:numFmt w:val="decimal"/>
      <w:start w:val="1"/>
    </w:lvl>
    <w:lvl w:ilvl="1">
      <w:lvlJc w:val="left"/>
      <w:lvlText w:val="(%2)"/>
      <w:numFmt w:val="lowerLetter"/>
      <w:start w:val="6"/>
    </w:lvl>
  </w:abstractNum>
  <w:abstractNum w:abstractNumId="171">
    <w:nsid w:val="13916F2D"/>
    <w:multiLevelType w:val="hybridMultilevel"/>
    <w:lvl w:ilvl="0">
      <w:lvlJc w:val="left"/>
      <w:lvlText w:val="%1."/>
      <w:numFmt w:val="decimal"/>
      <w:start w:val="10"/>
    </w:lvl>
    <w:lvl w:ilvl="1">
      <w:lvlJc w:val="left"/>
      <w:lvlText w:val="(%2)"/>
      <w:numFmt w:val="lowerLetter"/>
      <w:start w:val="1"/>
    </w:lvl>
  </w:abstractNum>
  <w:abstractNum w:abstractNumId="172">
    <w:nsid w:val="435D38D"/>
    <w:multiLevelType w:val="hybridMultilevel"/>
    <w:lvl w:ilvl="0">
      <w:lvlJc w:val="left"/>
      <w:lvlText w:val="(%1)"/>
      <w:numFmt w:val="lowerLetter"/>
      <w:start w:val="3"/>
    </w:lvl>
  </w:abstractNum>
  <w:abstractNum w:abstractNumId="173">
    <w:nsid w:val="822C0EF"/>
    <w:multiLevelType w:val="hybridMultilevel"/>
    <w:lvl w:ilvl="0">
      <w:lvlJc w:val="left"/>
      <w:lvlText w:val="(%1)"/>
      <w:numFmt w:val="lowerLetter"/>
      <w:start w:val="8"/>
    </w:lvl>
  </w:abstractNum>
  <w:abstractNum w:abstractNumId="174">
    <w:nsid w:val="57C5BB4F"/>
    <w:multiLevelType w:val="hybridMultilevel"/>
    <w:lvl w:ilvl="0">
      <w:lvlJc w:val="left"/>
      <w:lvlText w:val="%1."/>
      <w:numFmt w:val="decimal"/>
      <w:start w:val="1"/>
    </w:lvl>
    <w:lvl w:ilvl="1">
      <w:lvlJc w:val="left"/>
      <w:lvlText w:val="(%2)"/>
      <w:numFmt w:val="lowerLetter"/>
      <w:start w:val="1"/>
    </w:lvl>
  </w:abstractNum>
  <w:abstractNum w:abstractNumId="175">
    <w:nsid w:val="1803D0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6">
    <w:nsid w:val="4F3A06D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7">
    <w:nsid w:val="59A377B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8">
    <w:nsid w:val="48AEB063"/>
    <w:multiLevelType w:val="hybridMultilevel"/>
    <w:lvl w:ilvl="0">
      <w:lvlJc w:val="left"/>
      <w:lvlText w:val="%1"/>
      <w:numFmt w:val="decimal"/>
      <w:start w:val="1"/>
    </w:lvl>
    <w:lvl w:ilvl="1">
      <w:lvlJc w:val="left"/>
      <w:lvlText w:val="(%2)"/>
      <w:numFmt w:val="lowerLetter"/>
      <w:start w:val="4"/>
    </w:lvl>
  </w:abstractNum>
  <w:abstractNum w:abstractNumId="179">
    <w:nsid w:val="24E135"/>
    <w:multiLevelType w:val="hybridMultilevel"/>
    <w:lvl w:ilvl="0">
      <w:lvlJc w:val="left"/>
      <w:lvlText w:val="%1."/>
      <w:numFmt w:val="decimal"/>
      <w:start w:val="3"/>
    </w:lvl>
    <w:lvl w:ilvl="1">
      <w:lvlJc w:val="left"/>
      <w:lvlText w:val="(%2)"/>
      <w:numFmt w:val="lowerLetter"/>
      <w:start w:val="1"/>
    </w:lvl>
  </w:abstractNum>
  <w:abstractNum w:abstractNumId="180">
    <w:nsid w:val="BB13C1"/>
    <w:multiLevelType w:val="hybridMultilevel"/>
    <w:lvl w:ilvl="0">
      <w:lvlJc w:val="left"/>
      <w:lvlText w:val="%1."/>
      <w:numFmt w:val="decimal"/>
      <w:start w:val="6"/>
    </w:lvl>
    <w:lvl w:ilvl="1">
      <w:lvlJc w:val="left"/>
      <w:lvlText w:val="(%2)"/>
      <w:numFmt w:val="lowerLetter"/>
      <w:start w:val="1"/>
    </w:lvl>
  </w:abstractNum>
  <w:abstractNum w:abstractNumId="181">
    <w:nsid w:val="271210C7"/>
    <w:multiLevelType w:val="hybridMultilevel"/>
    <w:lvl w:ilvl="0">
      <w:lvlJc w:val="left"/>
      <w:lvlText w:val="%1"/>
      <w:numFmt w:val="decimal"/>
      <w:start w:val="1"/>
    </w:lvl>
    <w:lvl w:ilvl="1">
      <w:lvlJc w:val="left"/>
      <w:lvlText w:val="(%2)"/>
      <w:numFmt w:val="lowerLetter"/>
      <w:start w:val="3"/>
    </w:lvl>
  </w:abstractNum>
  <w:abstractNum w:abstractNumId="182">
    <w:nsid w:val="217B22E4"/>
    <w:multiLevelType w:val="hybridMultilevel"/>
    <w:lvl w:ilvl="0">
      <w:lvlJc w:val="left"/>
      <w:lvlText w:val="%1."/>
      <w:numFmt w:val="decimal"/>
      <w:start w:val="9"/>
    </w:lvl>
    <w:lvl w:ilvl="1">
      <w:lvlJc w:val="left"/>
      <w:lvlText w:val="%2"/>
      <w:numFmt w:val="lowerLetter"/>
      <w:start w:val="1"/>
    </w:lvl>
  </w:abstractNum>
  <w:abstractNum w:abstractNumId="183">
    <w:nsid w:val="53E31A24"/>
    <w:multiLevelType w:val="hybridMultilevel"/>
    <w:lvl w:ilvl="0">
      <w:lvlJc w:val="left"/>
      <w:lvlText w:val="%1."/>
      <w:numFmt w:val="decimal"/>
      <w:start w:val="10"/>
    </w:lvl>
    <w:lvl w:ilvl="1">
      <w:lvlJc w:val="left"/>
      <w:lvlText w:val="(%2)"/>
      <w:numFmt w:val="lowerLetter"/>
      <w:start w:val="1"/>
    </w:lvl>
  </w:abstractNum>
  <w:abstractNum w:abstractNumId="184">
    <w:nsid w:val="6DC45E83"/>
    <w:multiLevelType w:val="hybridMultilevel"/>
    <w:lvl w:ilvl="0">
      <w:lvlJc w:val="left"/>
      <w:lvlText w:val="(%1)"/>
      <w:numFmt w:val="lowerLetter"/>
      <w:start w:val="7"/>
    </w:lvl>
  </w:abstractNum>
  <w:abstractNum w:abstractNumId="185">
    <w:nsid w:val="17304A67"/>
    <w:multiLevelType w:val="hybridMultilevel"/>
    <w:lvl w:ilvl="0">
      <w:lvlJc w:val="left"/>
      <w:lvlText w:val="(%1)"/>
      <w:numFmt w:val="lowerLetter"/>
      <w:start w:val="10"/>
    </w:lvl>
  </w:abstractNum>
  <w:abstractNum w:abstractNumId="186">
    <w:nsid w:val="2BB180D8"/>
    <w:multiLevelType w:val="hybridMultilevel"/>
    <w:lvl w:ilvl="0">
      <w:lvlJc w:val="left"/>
      <w:lvlText w:val="(%1)"/>
      <w:numFmt w:val="lowerRoman"/>
      <w:start w:val="1"/>
    </w:lvl>
  </w:abstractNum>
  <w:abstractNum w:abstractNumId="187">
    <w:nsid w:val="556B69ED"/>
    <w:multiLevelType w:val="hybridMultilevel"/>
    <w:lvl w:ilvl="0">
      <w:lvlJc w:val="left"/>
      <w:lvlText w:val="%1."/>
      <w:numFmt w:val="decimal"/>
      <w:start w:val="2"/>
    </w:lvl>
  </w:abstractNum>
  <w:abstractNum w:abstractNumId="188">
    <w:nsid w:val="70836196"/>
    <w:multiLevelType w:val="hybridMultilevel"/>
    <w:lvl w:ilvl="0">
      <w:lvlJc w:val="left"/>
      <w:lvlText w:val="(%1)"/>
      <w:numFmt w:val="lowerLetter"/>
      <w:start w:val="1"/>
    </w:lvl>
  </w:abstractNum>
  <w:abstractNum w:abstractNumId="189">
    <w:nsid w:val="539F7F12"/>
    <w:multiLevelType w:val="hybridMultilevel"/>
    <w:lvl w:ilvl="0">
      <w:lvlJc w:val="left"/>
      <w:lvlText w:val="%1."/>
      <w:numFmt w:val="decimal"/>
      <w:start w:val="3"/>
    </w:lvl>
  </w:abstractNum>
  <w:abstractNum w:abstractNumId="190">
    <w:nsid w:val="2817E7EC"/>
    <w:multiLevelType w:val="hybridMultilevel"/>
    <w:lvl w:ilvl="0">
      <w:lvlJc w:val="left"/>
      <w:lvlText w:val="(%1)"/>
      <w:numFmt w:val="lowerRoman"/>
      <w:start w:val="4"/>
    </w:lvl>
  </w:abstractNum>
  <w:abstractNum w:abstractNumId="191">
    <w:nsid w:val="71482545"/>
    <w:multiLevelType w:val="hybridMultilevel"/>
    <w:lvl w:ilvl="0">
      <w:lvlJc w:val="left"/>
      <w:lvlText w:val="(%1)"/>
      <w:numFmt w:val="lowerLetter"/>
      <w:start w:val="1"/>
    </w:lvl>
  </w:abstractNum>
  <w:abstractNum w:abstractNumId="192">
    <w:nsid w:val="17D78639"/>
    <w:multiLevelType w:val="hybridMultilevel"/>
    <w:lvl w:ilvl="0">
      <w:lvlJc w:val="left"/>
      <w:lvlText w:val="%1"/>
      <w:numFmt w:val="decimal"/>
      <w:start w:val="1"/>
    </w:lvl>
    <w:lvl w:ilvl="1">
      <w:lvlJc w:val="left"/>
      <w:lvlText w:val="(%2)"/>
      <w:numFmt w:val="lowerLetter"/>
      <w:start w:val="2"/>
    </w:lvl>
  </w:abstractNum>
  <w:abstractNum w:abstractNumId="193">
    <w:nsid w:val="141D2302"/>
    <w:multiLevelType w:val="hybridMultilevel"/>
    <w:lvl w:ilvl="0">
      <w:lvlJc w:val="left"/>
      <w:lvlText w:val="%1."/>
      <w:numFmt w:val="decimal"/>
      <w:start w:val="4"/>
    </w:lvl>
    <w:lvl w:ilvl="1">
      <w:lvlJc w:val="left"/>
      <w:lvlText w:val="%2"/>
      <w:numFmt w:val="lowerLetter"/>
      <w:start w:val="1"/>
    </w:lvl>
  </w:abstractNum>
  <w:abstractNum w:abstractNumId="194">
    <w:nsid w:val="407168D8"/>
    <w:multiLevelType w:val="hybridMultilevel"/>
    <w:lvl w:ilvl="0">
      <w:lvlJc w:val="left"/>
      <w:lvlText w:val="%1"/>
      <w:numFmt w:val="decimal"/>
      <w:start w:val="1"/>
    </w:lvl>
    <w:lvl w:ilvl="1">
      <w:lvlJc w:val="left"/>
      <w:lvlText w:val="(%2)"/>
      <w:numFmt w:val="lowerLetter"/>
      <w:start w:val="1"/>
    </w:lvl>
  </w:abstractNum>
  <w:abstractNum w:abstractNumId="195">
    <w:nsid w:val="6A1B45E5"/>
    <w:multiLevelType w:val="hybridMultilevel"/>
    <w:lvl w:ilvl="0">
      <w:lvlJc w:val="left"/>
      <w:lvlText w:val="%1."/>
      <w:numFmt w:val="decimal"/>
      <w:start w:val="5"/>
    </w:lvl>
    <w:lvl w:ilvl="1">
      <w:lvlJc w:val="left"/>
      <w:lvlText w:val="%2"/>
      <w:numFmt w:val="lowerLetter"/>
      <w:start w:val="1"/>
    </w:lvl>
  </w:abstractNum>
  <w:abstractNum w:abstractNumId="196">
    <w:nsid w:val="567BD50A"/>
    <w:multiLevelType w:val="hybridMultilevel"/>
    <w:lvl w:ilvl="0">
      <w:lvlJc w:val="left"/>
      <w:lvlText w:val="(%1)"/>
      <w:numFmt w:val="lowerLetter"/>
      <w:start w:val="1"/>
    </w:lvl>
  </w:abstractNum>
  <w:abstractNum w:abstractNumId="197">
    <w:nsid w:val="73BBD7F8"/>
    <w:multiLevelType w:val="hybridMultilevel"/>
    <w:lvl w:ilvl="0">
      <w:lvlJc w:val="left"/>
      <w:lvlText w:val="(%1)"/>
      <w:numFmt w:val="lowerLetter"/>
      <w:start w:val="1"/>
    </w:lvl>
  </w:abstractNum>
  <w:abstractNum w:abstractNumId="198">
    <w:nsid w:val="1876589D"/>
    <w:multiLevelType w:val="hybridMultilevel"/>
    <w:lvl w:ilvl="0">
      <w:lvlJc w:val="left"/>
      <w:lvlText w:val="(%1)"/>
      <w:numFmt w:val="lowerLetter"/>
      <w:start w:val="2"/>
    </w:lvl>
  </w:abstractNum>
  <w:abstractNum w:abstractNumId="199">
    <w:nsid w:val="327FAC77"/>
    <w:multiLevelType w:val="hybridMultilevel"/>
    <w:lvl w:ilvl="0">
      <w:lvlJc w:val="left"/>
      <w:lvlText w:val="(%1)"/>
      <w:numFmt w:val="lowerLetter"/>
      <w:start w:val="1"/>
    </w:lvl>
  </w:abstractNum>
  <w:abstractNum w:abstractNumId="200">
    <w:nsid w:val="5A606509"/>
    <w:multiLevelType w:val="hybridMultilevel"/>
    <w:lvl w:ilvl="0">
      <w:lvlJc w:val="left"/>
      <w:lvlText w:val="(%1)"/>
      <w:numFmt w:val="lowerLetter"/>
      <w:start w:val="2"/>
    </w:lvl>
  </w:abstractNum>
  <w:abstractNum w:abstractNumId="201">
    <w:nsid w:val="6F38E6D1"/>
    <w:multiLevelType w:val="hybridMultilevel"/>
    <w:lvl w:ilvl="0">
      <w:lvlJc w:val="left"/>
      <w:lvlText w:val="%1."/>
      <w:numFmt w:val="decimal"/>
      <w:start w:val="6"/>
    </w:lvl>
  </w:abstractNum>
  <w:abstractNum w:abstractNumId="202">
    <w:nsid w:val="46111BA5"/>
    <w:multiLevelType w:val="hybridMultilevel"/>
    <w:lvl w:ilvl="0">
      <w:lvlJc w:val="left"/>
      <w:lvlText w:val="%1"/>
      <w:numFmt w:val="upperLetter"/>
      <w:start w:val="1"/>
    </w:lvl>
    <w:lvl w:ilvl="1">
      <w:lvlJc w:val="left"/>
      <w:lvlText w:val="(%2)"/>
      <w:numFmt w:val="lowerLetter"/>
      <w:start w:val="1"/>
    </w:lvl>
  </w:abstractNum>
  <w:abstractNum w:abstractNumId="203">
    <w:nsid w:val="5E963896"/>
    <w:multiLevelType w:val="hybridMultilevel"/>
    <w:lvl w:ilvl="0">
      <w:lvlJc w:val="left"/>
      <w:lvlText w:val="(%1)"/>
      <w:numFmt w:val="upperLetter"/>
      <w:start w:val="2"/>
    </w:lvl>
    <w:lvl w:ilvl="1">
      <w:lvlJc w:val="left"/>
      <w:lvlText w:val="(%2)"/>
      <w:numFmt w:val="lowerLetter"/>
      <w:start w:val="2"/>
    </w:lvl>
  </w:abstractNum>
  <w:abstractNum w:abstractNumId="204">
    <w:nsid w:val="775BA7C1"/>
    <w:multiLevelType w:val="hybridMultilevel"/>
    <w:lvl w:ilvl="0">
      <w:lvlJc w:val="left"/>
      <w:lvlText w:val="(%1)"/>
      <w:numFmt w:val="lowerLetter"/>
      <w:start w:val="6"/>
    </w:lvl>
  </w:abstractNum>
  <w:abstractNum w:abstractNumId="205">
    <w:nsid w:val="1DD6D6F4"/>
    <w:multiLevelType w:val="hybridMultilevel"/>
    <w:lvl w:ilvl="0">
      <w:lvlJc w:val="left"/>
      <w:lvlText w:val="(%1)"/>
      <w:numFmt w:val="lowerLetter"/>
      <w:start w:val="15"/>
    </w:lvl>
  </w:abstractNum>
  <w:abstractNum w:abstractNumId="206">
    <w:nsid w:val="769A091F"/>
    <w:multiLevelType w:val="hybridMultilevel"/>
    <w:lvl w:ilvl="0">
      <w:lvlJc w:val="left"/>
      <w:lvlText w:val="%1"/>
      <w:numFmt w:val="decimal"/>
      <w:start w:val="1"/>
    </w:lvl>
    <w:lvl w:ilvl="1">
      <w:lvlJc w:val="left"/>
      <w:lvlText w:val="(%2)"/>
      <w:numFmt w:val="lowerLetter"/>
      <w:start w:val="1"/>
    </w:lvl>
  </w:abstractNum>
  <w:abstractNum w:abstractNumId="207">
    <w:nsid w:val="4695AE95"/>
    <w:multiLevelType w:val="hybridMultilevel"/>
    <w:lvl w:ilvl="0">
      <w:lvlJc w:val="left"/>
      <w:lvlText w:val="%1."/>
      <w:numFmt w:val="decimal"/>
      <w:start w:val="7"/>
    </w:lvl>
    <w:lvl w:ilvl="1">
      <w:lvlJc w:val="left"/>
      <w:lvlText w:val="%2"/>
      <w:numFmt w:val="lowerLetter"/>
      <w:start w:val="1"/>
    </w:lvl>
  </w:abstractNum>
  <w:abstractNum w:abstractNumId="208">
    <w:nsid w:val="777A4EAA"/>
    <w:multiLevelType w:val="hybridMultilevel"/>
    <w:lvl w:ilvl="0">
      <w:lvlJc w:val="left"/>
      <w:lvlText w:val="(%1)"/>
      <w:numFmt w:val="lowerRoman"/>
      <w:start w:val="1"/>
    </w:lvl>
  </w:abstractNum>
  <w:abstractNum w:abstractNumId="209">
    <w:nsid w:val="3F48B982"/>
    <w:multiLevelType w:val="hybridMultilevel"/>
    <w:lvl w:ilvl="0">
      <w:lvlJc w:val="left"/>
      <w:lvlText w:val="%1."/>
      <w:numFmt w:val="decimal"/>
      <w:start w:val="8"/>
    </w:lvl>
  </w:abstractNum>
  <w:abstractNum w:abstractNumId="210">
    <w:nsid w:val="46BA8FCA"/>
    <w:multiLevelType w:val="hybridMultilevel"/>
    <w:lvl w:ilvl="0">
      <w:lvlJc w:val="left"/>
      <w:lvlText w:val="(%1)"/>
      <w:numFmt w:val="lowerLetter"/>
      <w:start w:val="4"/>
    </w:lvl>
  </w:abstractNum>
  <w:abstractNum w:abstractNumId="211">
    <w:nsid w:val="7835626C"/>
    <w:multiLevelType w:val="hybridMultilevel"/>
    <w:lvl w:ilvl="0">
      <w:lvlJc w:val="left"/>
      <w:lvlText w:val="(%1)"/>
      <w:numFmt w:val="lowerLetter"/>
      <w:start w:val="2"/>
    </w:lvl>
  </w:abstractNum>
  <w:abstractNum w:abstractNumId="212">
    <w:nsid w:val="665ACA49"/>
    <w:multiLevelType w:val="hybridMultilevel"/>
    <w:lvl w:ilvl="0">
      <w:lvlJc w:val="left"/>
      <w:lvlText w:val="(%1)"/>
      <w:numFmt w:val="lowerLetter"/>
      <w:start w:val="1"/>
    </w:lvl>
  </w:abstractNum>
  <w:abstractNum w:abstractNumId="213">
    <w:nsid w:val="6835B2AE"/>
    <w:multiLevelType w:val="hybridMultilevel"/>
    <w:lvl w:ilvl="0">
      <w:lvlJc w:val="left"/>
      <w:lvlText w:val="(%1)"/>
      <w:numFmt w:val="lowerRoman"/>
      <w:start w:val="1"/>
    </w:lvl>
  </w:abstractNum>
  <w:abstractNum w:abstractNumId="214">
    <w:nsid w:val="4C187C90"/>
    <w:multiLevelType w:val="hybridMultilevel"/>
    <w:lvl w:ilvl="0">
      <w:lvlJc w:val="left"/>
      <w:lvlText w:val="(%1)"/>
      <w:numFmt w:val="lowerRoman"/>
      <w:start w:val="6"/>
    </w:lvl>
  </w:abstractNum>
  <w:abstractNum w:abstractNumId="215">
    <w:nsid w:val="541F28CD"/>
    <w:multiLevelType w:val="hybridMultilevel"/>
    <w:lvl w:ilvl="0">
      <w:lvlJc w:val="left"/>
      <w:lvlText w:val="(%1)"/>
      <w:numFmt w:val="lowerLetter"/>
      <w:start w:val="1"/>
    </w:lvl>
  </w:abstractNum>
  <w:abstractNum w:abstractNumId="216">
    <w:nsid w:val="7F65FD16"/>
    <w:multiLevelType w:val="hybridMultilevel"/>
    <w:lvl w:ilvl="0">
      <w:lvlJc w:val="left"/>
      <w:lvlText w:val="(%1)"/>
      <w:numFmt w:val="lowerLetter"/>
      <w:start w:val="2"/>
    </w:lvl>
  </w:abstractNum>
  <w:abstractNum w:abstractNumId="217">
    <w:nsid w:val="77C9FD68"/>
    <w:multiLevelType w:val="hybridMultilevel"/>
    <w:lvl w:ilvl="0">
      <w:lvlJc w:val="left"/>
      <w:lvlText w:val="(%1)"/>
      <w:numFmt w:val="lowerLetter"/>
      <w:start w:val="1"/>
    </w:lvl>
  </w:abstractNum>
  <w:abstractNum w:abstractNumId="218">
    <w:nsid w:val="298A92BA"/>
    <w:multiLevelType w:val="hybridMultilevel"/>
    <w:lvl w:ilvl="0">
      <w:lvlJc w:val="left"/>
      <w:lvlText w:val="(%1)"/>
      <w:numFmt w:val="lowerLetter"/>
      <w:start w:val="4"/>
    </w:lvl>
  </w:abstractNum>
  <w:abstractNum w:abstractNumId="219">
    <w:nsid w:val="6FE95EAC"/>
    <w:multiLevelType w:val="hybridMultilevel"/>
    <w:lvl w:ilvl="0">
      <w:lvlJc w:val="left"/>
      <w:lvlText w:val="%1."/>
      <w:numFmt w:val="decimal"/>
      <w:start w:val="1"/>
    </w:lvl>
  </w:abstractNum>
  <w:abstractNum w:abstractNumId="220">
    <w:nsid w:val="4B697C7A"/>
    <w:multiLevelType w:val="hybridMultilevel"/>
    <w:lvl w:ilvl="0">
      <w:lvlJc w:val="left"/>
      <w:lvlText w:val="%1."/>
      <w:numFmt w:val="decimal"/>
      <w:start w:val="5"/>
    </w:lvl>
  </w:abstractNum>
  <w:abstractNum w:abstractNumId="221">
    <w:nsid w:val="51A27AA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2">
    <w:nsid w:val="613183F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23">
    <w:nsid w:val="634102B4"/>
    <w:multiLevelType w:val="hybridMultilevel"/>
    <w:lvl w:ilvl="0">
      <w:lvlJc w:val="left"/>
      <w:lvlText w:val="(%1)"/>
      <w:numFmt w:val="lowerLetter"/>
      <w:start w:val="3"/>
    </w:lvl>
  </w:abstractNum>
  <w:abstractNum w:abstractNumId="224">
    <w:nsid w:val="65BF9DA8"/>
    <w:multiLevelType w:val="hybridMultilevel"/>
    <w:lvl w:ilvl="0">
      <w:lvlJc w:val="left"/>
      <w:lvlText w:val="%1"/>
      <w:numFmt w:val="decimal"/>
      <w:start w:val="1"/>
    </w:lvl>
    <w:lvl w:ilvl="1">
      <w:lvlJc w:val="left"/>
      <w:lvlText w:val="(%2)"/>
      <w:numFmt w:val="lowerLetter"/>
      <w:start w:val="8"/>
    </w:lvl>
  </w:abstractNum>
  <w:abstractNum w:abstractNumId="225">
    <w:nsid w:val="21A2ECCA"/>
    <w:multiLevelType w:val="hybridMultilevel"/>
    <w:lvl w:ilvl="0">
      <w:lvlJc w:val="left"/>
      <w:lvlText w:val="%1."/>
      <w:numFmt w:val="decimal"/>
      <w:start w:val="2"/>
    </w:lvl>
    <w:lvl w:ilvl="1">
      <w:lvlJc w:val="left"/>
      <w:lvlText w:val="(%2)"/>
      <w:numFmt w:val="lowerLetter"/>
      <w:start w:val="1"/>
    </w:lvl>
  </w:abstractNum>
  <w:abstractNum w:abstractNumId="226">
    <w:nsid w:val="4D5C4899"/>
    <w:multiLevelType w:val="hybridMultilevel"/>
    <w:lvl w:ilvl="0">
      <w:lvlJc w:val="left"/>
      <w:lvlText w:val="%1"/>
      <w:numFmt w:val="upperLetter"/>
      <w:start w:val="1"/>
    </w:lvl>
    <w:lvl w:ilvl="1">
      <w:lvlJc w:val="left"/>
      <w:lvlText w:val="(%2)"/>
      <w:numFmt w:val="lowerLetter"/>
      <w:start w:val="3"/>
    </w:lvl>
  </w:abstractNum>
  <w:abstractNum w:abstractNumId="227">
    <w:nsid w:val="3C3B72B2"/>
    <w:multiLevelType w:val="hybridMultilevel"/>
    <w:lvl w:ilvl="0">
      <w:lvlJc w:val="left"/>
      <w:lvlText w:val="(%1)"/>
      <w:numFmt w:val="upperLetter"/>
      <w:start w:val="2"/>
    </w:lvl>
    <w:lvl w:ilvl="1">
      <w:lvlJc w:val="left"/>
      <w:lvlText w:val="%2"/>
      <w:numFmt w:val="lowerLetter"/>
      <w:start w:val="1"/>
    </w:lvl>
  </w:abstractNum>
  <w:abstractNum w:abstractNumId="228">
    <w:nsid w:val="155EC4C2"/>
    <w:multiLevelType w:val="hybridMultilevel"/>
    <w:lvl w:ilvl="0">
      <w:lvlJc w:val="left"/>
      <w:lvlText w:val="(%1)"/>
      <w:numFmt w:val="lowerLetter"/>
      <w:start w:val="5"/>
    </w:lvl>
  </w:abstractNum>
  <w:abstractNum w:abstractNumId="229">
    <w:nsid w:val="65D2A137"/>
    <w:multiLevelType w:val="hybridMultilevel"/>
    <w:lvl w:ilvl="0">
      <w:lvlJc w:val="left"/>
      <w:lvlText w:val="%1."/>
      <w:numFmt w:val="decimal"/>
      <w:start w:val="3"/>
    </w:lvl>
  </w:abstractNum>
  <w:abstractNum w:abstractNumId="230">
    <w:nsid w:val="6EBB1F2A"/>
    <w:multiLevelType w:val="hybridMultilevel"/>
    <w:lvl w:ilvl="0">
      <w:lvlJc w:val="left"/>
      <w:lvlText w:val="(%1)"/>
      <w:numFmt w:val="lowerLetter"/>
      <w:start w:val="1"/>
    </w:lvl>
  </w:abstractNum>
  <w:abstractNum w:abstractNumId="231">
    <w:nsid w:val="6FBF29CB"/>
    <w:multiLevelType w:val="hybridMultilevel"/>
    <w:lvl w:ilvl="0">
      <w:lvlJc w:val="left"/>
      <w:lvlText w:val="(%1)"/>
      <w:numFmt w:val="lowerLetter"/>
      <w:start w:val="2"/>
    </w:lvl>
  </w:abstractNum>
  <w:abstractNum w:abstractNumId="232">
    <w:nsid w:val="550B8808"/>
    <w:multiLevelType w:val="hybridMultilevel"/>
    <w:lvl w:ilvl="0">
      <w:lvlJc w:val="left"/>
      <w:lvlText w:val="(%1)"/>
      <w:numFmt w:val="lowerLetter"/>
      <w:start w:val="6"/>
    </w:lvl>
  </w:abstractNum>
  <w:abstractNum w:abstractNumId="233">
    <w:nsid w:val="34CC3AC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234">
    <w:nsid w:val="4E55626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5">
    <w:nsid w:val="4C672FC9"/>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36">
    <w:nsid w:val="52A311C3"/>
    <w:multiLevelType w:val="hybridMultilevel"/>
    <w:lvl w:ilvl="0">
      <w:lvlJc w:val="left"/>
      <w:lvlText w:val="%1."/>
      <w:numFmt w:val="decimal"/>
      <w:start w:val="5"/>
    </w:lvl>
  </w:abstractNum>
  <w:abstractNum w:abstractNumId="237">
    <w:nsid w:val="44EF6B80"/>
    <w:multiLevelType w:val="hybridMultilevel"/>
    <w:lvl w:ilvl="0">
      <w:lvlJc w:val="left"/>
      <w:lvlText w:val="%1."/>
      <w:numFmt w:val="decimal"/>
      <w:start w:val="6"/>
    </w:lvl>
    <w:lvl w:ilvl="1">
      <w:lvlJc w:val="left"/>
      <w:lvlText w:val="(%2)"/>
      <w:numFmt w:val="lowerLetter"/>
      <w:start w:val="1"/>
    </w:lvl>
  </w:abstractNum>
  <w:abstractNum w:abstractNumId="238">
    <w:nsid w:val="12FCDE5E"/>
    <w:multiLevelType w:val="hybridMultilevel"/>
    <w:lvl w:ilvl="0">
      <w:lvlJc w:val="left"/>
      <w:lvlText w:val="%1"/>
      <w:numFmt w:val="lowerRoman"/>
      <w:start w:val="1"/>
    </w:lvl>
    <w:lvl w:ilvl="1">
      <w:lvlJc w:val="left"/>
      <w:lvlText w:val="(%2)"/>
      <w:numFmt w:val="lowerLetter"/>
      <w:start w:val="2"/>
    </w:lvl>
  </w:abstractNum>
  <w:abstractNum w:abstractNumId="239">
    <w:nsid w:val="4A1D606E"/>
    <w:multiLevelType w:val="hybridMultilevel"/>
    <w:lvl w:ilvl="0">
      <w:lvlJc w:val="left"/>
      <w:lvlText w:val="(%1)"/>
      <w:numFmt w:val="lowerRoman"/>
      <w:start w:val="1"/>
    </w:lvl>
    <w:lvl w:ilvl="1">
      <w:lvlJc w:val="left"/>
      <w:lvlText w:val="(%2)"/>
      <w:numFmt w:val="lowerLetter"/>
      <w:start w:val="3"/>
    </w:lvl>
  </w:abstractNum>
  <w:abstractNum w:abstractNumId="240">
    <w:nsid w:val="4382503"/>
    <w:multiLevelType w:val="hybridMultilevel"/>
    <w:lvl w:ilvl="0">
      <w:lvlJc w:val="left"/>
      <w:lvlText w:val="%1"/>
      <w:numFmt w:val="decimal"/>
      <w:start w:val="1"/>
    </w:lvl>
    <w:lvl w:ilvl="1">
      <w:lvlJc w:val="left"/>
      <w:lvlText w:val="(%2)"/>
      <w:numFmt w:val="lowerLetter"/>
      <w:start w:val="4"/>
    </w:lvl>
  </w:abstractNum>
  <w:abstractNum w:abstractNumId="241">
    <w:nsid w:val="59B76E28"/>
    <w:multiLevelType w:val="hybridMultilevel"/>
    <w:lvl w:ilvl="0">
      <w:lvlJc w:val="left"/>
      <w:lvlText w:val="%1."/>
      <w:numFmt w:val="decimal"/>
      <w:start w:val="7"/>
    </w:lvl>
    <w:lvl w:ilvl="1">
      <w:lvlJc w:val="left"/>
      <w:lvlText w:val="%2"/>
      <w:numFmt w:val="lowerLetter"/>
      <w:start w:val="1"/>
    </w:lvl>
  </w:abstractNum>
  <w:abstractNum w:abstractNumId="242">
    <w:nsid w:val="4252C2DA"/>
    <w:multiLevelType w:val="hybridMultilevel"/>
    <w:lvl w:ilvl="0">
      <w:lvlJc w:val="left"/>
      <w:lvlText w:val="(%1)"/>
      <w:numFmt w:val="lowerRoman"/>
      <w:start w:val="2"/>
    </w:lvl>
    <w:lvl w:ilvl="1">
      <w:lvlJc w:val="left"/>
      <w:lvlText w:val="%2."/>
      <w:numFmt w:val="decimal"/>
      <w:start w:val="8"/>
    </w:lvl>
  </w:abstractNum>
  <w:abstractNum w:abstractNumId="243">
    <w:nsid w:val="6A92EF4C"/>
    <w:multiLevelType w:val="hybridMultilevel"/>
    <w:lvl w:ilvl="0">
      <w:lvlJc w:val="left"/>
      <w:lvlText w:val="%1."/>
      <w:numFmt w:val="decimal"/>
      <w:start w:val="9"/>
    </w:lvl>
  </w:abstractNum>
  <w:abstractNum w:abstractNumId="244">
    <w:nsid w:val="41ED20D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245">
    <w:nsid w:val="E6B3F6A"/>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6">
    <w:nsid w:val="3EB21819"/>
    <w:multiLevelType w:val="hybridMultilevel"/>
    <w:lvl w:ilvl="0">
      <w:lvlJc w:val="left"/>
      <w:lvlText w:val="%1."/>
      <w:numFmt w:val="lowerRoman"/>
      <w:start w:val="2"/>
    </w:lvl>
  </w:abstractNum>
  <w:abstractNum w:abstractNumId="247">
    <w:nsid w:val="41531DED"/>
    <w:multiLevelType w:val="hybridMultilevel"/>
    <w:lvl w:ilvl="0">
      <w:lvlJc w:val="left"/>
      <w:lvlText w:val="(%1)"/>
      <w:numFmt w:val="lowerLetter"/>
      <w:start w:val="2"/>
    </w:lvl>
  </w:abstractNum>
  <w:abstractNum w:abstractNumId="248">
    <w:nsid w:val="6353CD2"/>
    <w:multiLevelType w:val="hybridMultilevel"/>
    <w:lvl w:ilvl="0">
      <w:lvlJc w:val="left"/>
      <w:lvlText w:val="(%1)"/>
      <w:numFmt w:val="lowerLetter"/>
      <w:start w:val="10"/>
    </w:lvl>
  </w:abstractNum>
  <w:abstractNum w:abstractNumId="249">
    <w:nsid w:val="683CAAD3"/>
    <w:multiLevelType w:val="hybridMultilevel"/>
    <w:lvl w:ilvl="0">
      <w:lvlJc w:val="left"/>
      <w:lvlText w:val="%1."/>
      <w:numFmt w:val="decimal"/>
      <w:start w:val="1"/>
    </w:lvl>
    <w:lvl w:ilvl="1">
      <w:lvlJc w:val="left"/>
      <w:lvlText w:val="(%2)"/>
      <w:numFmt w:val="lowerLetter"/>
      <w:start w:val="1"/>
    </w:lvl>
  </w:abstractNum>
  <w:abstractNum w:abstractNumId="250">
    <w:nsid w:val="313C7C99"/>
    <w:multiLevelType w:val="hybridMultilevel"/>
    <w:lvl w:ilvl="0">
      <w:lvlJc w:val="left"/>
      <w:lvlText w:val="%1."/>
      <w:numFmt w:val="decimal"/>
      <w:start w:val="3"/>
    </w:lvl>
    <w:lvl w:ilvl="1">
      <w:lvlJc w:val="left"/>
      <w:lvlText w:val="(%2)"/>
      <w:numFmt w:val="lowerLetter"/>
      <w:start w:val="1"/>
    </w:lvl>
  </w:abstractNum>
  <w:abstractNum w:abstractNumId="251">
    <w:nsid w:val="519EB94C"/>
    <w:multiLevelType w:val="hybridMultilevel"/>
    <w:lvl w:ilvl="0">
      <w:lvlJc w:val="left"/>
      <w:lvlText w:val="(%1)"/>
      <w:numFmt w:val="lowerLetter"/>
      <w:start w:val="2"/>
    </w:lvl>
  </w:abstractNum>
  <w:abstractNum w:abstractNumId="252">
    <w:nsid w:val="39DF2579"/>
    <w:multiLevelType w:val="hybridMultilevel"/>
    <w:lvl w:ilvl="0">
      <w:lvlJc w:val="left"/>
      <w:lvlText w:val="(%1)"/>
      <w:numFmt w:val="lowerLetter"/>
      <w:start w:val="3"/>
    </w:lvl>
  </w:abstractNum>
  <w:abstractNum w:abstractNumId="253">
    <w:nsid w:val="126E008B"/>
    <w:multiLevelType w:val="hybridMultilevel"/>
    <w:lvl w:ilvl="0">
      <w:lvlJc w:val="left"/>
      <w:lvlText w:val="(%1)"/>
      <w:numFmt w:val="lowerLetter"/>
      <w:start w:val="4"/>
    </w:lvl>
  </w:abstractNum>
  <w:abstractNum w:abstractNumId="254">
    <w:nsid w:val="34DFBC00"/>
    <w:multiLevelType w:val="hybridMultilevel"/>
    <w:lvl w:ilvl="0">
      <w:lvlJc w:val="left"/>
      <w:lvlText w:val="%1."/>
      <w:numFmt w:val="decimal"/>
      <w:start w:val="4"/>
    </w:lvl>
    <w:lvl w:ilvl="1">
      <w:lvlJc w:val="left"/>
      <w:lvlText w:val="(%2)"/>
      <w:numFmt w:val="lowerLetter"/>
      <w:start w:val="1"/>
    </w:lvl>
  </w:abstractNum>
  <w:abstractNum w:abstractNumId="255">
    <w:nsid w:val="1F9EC322"/>
    <w:multiLevelType w:val="hybridMultilevel"/>
    <w:lvl w:ilvl="0">
      <w:lvlJc w:val="left"/>
      <w:lvlText w:val="%1."/>
      <w:numFmt w:val="decimal"/>
      <w:start w:val="5"/>
    </w:lvl>
  </w:abstractNum>
  <w:abstractNum w:abstractNumId="256">
    <w:nsid w:val="3410ED56"/>
    <w:multiLevelType w:val="hybridMultilevel"/>
    <w:lvl w:ilvl="0">
      <w:lvlJc w:val="left"/>
      <w:lvlText w:val="%1."/>
      <w:numFmt w:val="decimal"/>
      <w:start w:val="1"/>
    </w:lvl>
    <w:lvl w:ilvl="1">
      <w:lvlJc w:val="left"/>
      <w:lvlText w:val="%2."/>
      <w:numFmt w:val="lowerLetter"/>
      <w:start w:val="1"/>
    </w:lvl>
  </w:abstractNum>
  <w:abstractNum w:abstractNumId="257">
    <w:nsid w:val="23C049A"/>
    <w:multiLevelType w:val="hybridMultilevel"/>
    <w:lvl w:ilvl="0">
      <w:lvlJc w:val="left"/>
      <w:lvlText w:val="%1"/>
      <w:numFmt w:val="decimal"/>
      <w:start w:val="1"/>
    </w:lvl>
    <w:lvl w:ilvl="1">
      <w:lvlJc w:val="left"/>
      <w:lvlText w:val="%2."/>
      <w:numFmt w:val="lowerLetter"/>
      <w:start w:val="2"/>
    </w:lvl>
  </w:abstractNum>
  <w:abstractNum w:abstractNumId="258">
    <w:nsid w:val="5BDA35D4"/>
    <w:multiLevelType w:val="hybridMultilevel"/>
    <w:lvl w:ilvl="0">
      <w:lvlJc w:val="left"/>
      <w:lvlText w:val="%1."/>
      <w:numFmt w:val="decimal"/>
      <w:start w:val="2"/>
    </w:lvl>
    <w:lvl w:ilvl="1">
      <w:lvlJc w:val="left"/>
      <w:lvlText w:val="%2."/>
      <w:numFmt w:val="lowerLetter"/>
      <w:start w:val="1"/>
    </w:lvl>
  </w:abstractNum>
  <w:abstractNum w:abstractNumId="259">
    <w:nsid w:val="496FB218"/>
    <w:multiLevelType w:val="hybridMultilevel"/>
    <w:lvl w:ilvl="0">
      <w:lvlJc w:val="left"/>
      <w:lvlText w:val="%1."/>
      <w:numFmt w:val="lowerRoman"/>
      <w:start w:val="1"/>
    </w:lvl>
  </w:abstractNum>
  <w:abstractNum w:abstractNumId="260">
    <w:nsid w:val="680EA5D1"/>
    <w:multiLevelType w:val="hybridMultilevel"/>
    <w:lvl w:ilvl="0">
      <w:lvlJc w:val="left"/>
      <w:lvlText w:val="%1."/>
      <w:numFmt w:val="lowerRoman"/>
      <w:start w:val="3"/>
    </w:lvl>
  </w:abstractNum>
  <w:abstractNum w:abstractNumId="261">
    <w:nsid w:val="4A9554FE"/>
    <w:multiLevelType w:val="hybridMultilevel"/>
    <w:lvl w:ilvl="0">
      <w:lvlJc w:val="left"/>
      <w:lvlText w:val="%1."/>
      <w:numFmt w:val="lowerLetter"/>
      <w:start w:val="2"/>
    </w:lvl>
  </w:abstractNum>
  <w:abstractNum w:abstractNumId="262">
    <w:nsid w:val="392EDBE4"/>
    <w:multiLevelType w:val="hybridMultilevel"/>
    <w:lvl w:ilvl="0">
      <w:lvlJc w:val="left"/>
      <w:lvlText w:val="%1."/>
      <w:numFmt w:val="lowerLetter"/>
      <w:start w:val="7"/>
    </w:lvl>
  </w:abstractNum>
  <w:abstractNum w:abstractNumId="263">
    <w:nsid w:val="3D1A2DD9"/>
    <w:multiLevelType w:val="hybridMultilevel"/>
    <w:lvl w:ilvl="0">
      <w:lvlJc w:val="left"/>
      <w:lvlText w:val="%1."/>
      <w:numFmt w:val="decimal"/>
      <w:start w:val="3"/>
    </w:lvl>
  </w:abstractNum>
  <w:abstractNum w:abstractNumId="264">
    <w:nsid w:val="7F618FCD"/>
    <w:multiLevelType w:val="hybridMultilevel"/>
    <w:lvl w:ilvl="0">
      <w:lvlJc w:val="left"/>
      <w:lvlText w:val="%1."/>
      <w:numFmt w:val="decimal"/>
      <w:start w:val="4"/>
    </w:lvl>
  </w:abstractNum>
  <w:abstractNum w:abstractNumId="265">
    <w:nsid w:val="7843E45"/>
    <w:multiLevelType w:val="hybridMultilevel"/>
    <w:lvl w:ilvl="0">
      <w:lvlJc w:val="left"/>
      <w:lvlText w:val="%1."/>
      <w:numFmt w:val="decimal"/>
      <w:start w:val="8"/>
    </w:lvl>
  </w:abstractNum>
  <w:abstractNum w:abstractNumId="266">
    <w:nsid w:val="9815DA3"/>
    <w:multiLevelType w:val="hybridMultilevel"/>
    <w:lvl w:ilvl="0">
      <w:lvlJc w:val="left"/>
      <w:lvlText w:val="%1."/>
      <w:numFmt w:val="decimal"/>
      <w:start w:val="11"/>
    </w:lvl>
  </w:abstractNum>
  <w:abstractNum w:abstractNumId="267">
    <w:nsid w:val="5204A191"/>
    <w:multiLevelType w:val="hybridMultilevel"/>
    <w:lvl w:ilvl="0">
      <w:lvlJc w:val="left"/>
      <w:lvlText w:val="%1."/>
      <w:numFmt w:val="decimal"/>
      <w:start w:val="12"/>
    </w:lvl>
  </w:abstractNum>
  <w:abstractNum w:abstractNumId="268">
    <w:nsid w:val="4C73A9C6"/>
    <w:multiLevelType w:val="hybridMultilevel"/>
    <w:lvl w:ilvl="0">
      <w:lvlJc w:val="left"/>
      <w:lvlText w:val="(%1)"/>
      <w:numFmt w:val="lowerRoman"/>
      <w:start w:val="1"/>
    </w:lvl>
  </w:abstractNum>
  <w:abstractNum w:abstractNumId="269">
    <w:nsid w:val="1C7E3C01"/>
    <w:multiLevelType w:val="hybridMultilevel"/>
    <w:lvl w:ilvl="0">
      <w:lvlJc w:val="left"/>
      <w:lvlText w:val="1"/>
      <w:numFmt w:val="bullet"/>
      <w:start w:val="1"/>
    </w:lvl>
  </w:abstractNum>
  <w:abstractNum w:abstractNumId="270">
    <w:nsid w:val="1C2201FF"/>
    <w:multiLevelType w:val="hybridMultilevel"/>
    <w:lvl w:ilvl="0">
      <w:lvlJc w:val="left"/>
      <w:lvlText w:val="2"/>
      <w:numFmt w:val="bullet"/>
      <w:start w:val="1"/>
    </w:lvl>
  </w:abstractNum>
  <w:abstractNum w:abstractNumId="271">
    <w:nsid w:val="50ABCEC9"/>
    <w:multiLevelType w:val="hybridMultilevel"/>
    <w:lvl w:ilvl="0">
      <w:lvlJc w:val="left"/>
      <w:lvlText w:val="(%1)"/>
      <w:numFmt w:val="lowerLetter"/>
      <w:start w:val="1"/>
    </w:lvl>
  </w:abstractNum>
  <w:abstractNum w:abstractNumId="272">
    <w:nsid w:val="7635AA2A"/>
    <w:multiLevelType w:val="hybridMultilevel"/>
    <w:lvl w:ilvl="0">
      <w:lvlJc w:val="left"/>
      <w:lvlText w:val="(%1)"/>
      <w:numFmt w:val="lowerLetter"/>
      <w:start w:val="4"/>
    </w:lvl>
  </w:abstractNum>
  <w:abstractNum w:abstractNumId="273">
    <w:nsid w:val="5E74C4D9"/>
    <w:multiLevelType w:val="hybridMultilevel"/>
    <w:lvl w:ilvl="0">
      <w:lvlJc w:val="left"/>
      <w:lvlText w:val="(%1)"/>
      <w:numFmt w:val="lowerLetter"/>
      <w:start w:val="1"/>
    </w:lvl>
  </w:abstractNum>
  <w:abstractNum w:abstractNumId="274">
    <w:nsid w:val="3B3EBE15"/>
    <w:multiLevelType w:val="hybridMultilevel"/>
    <w:lvl w:ilvl="0">
      <w:lvlJc w:val="left"/>
      <w:lvlText w:val="(%1)"/>
      <w:numFmt w:val="lowerLetter"/>
      <w:start w:val="2"/>
    </w:lvl>
  </w:abstractNum>
  <w:abstractNum w:abstractNumId="275">
    <w:nsid w:val="3822CB01"/>
    <w:multiLevelType w:val="hybridMultilevel"/>
    <w:lvl w:ilvl="0">
      <w:lvlJc w:val="left"/>
      <w:lvlText w:val="(%1)"/>
      <w:numFmt w:val="lowerLetter"/>
      <w:start w:val="1"/>
    </w:lvl>
  </w:abstractNum>
  <w:abstractNum w:abstractNumId="276">
    <w:nsid w:val="6CE00443"/>
    <w:multiLevelType w:val="hybridMultilevel"/>
    <w:lvl w:ilvl="0">
      <w:lvlJc w:val="left"/>
      <w:lvlText w:val="(%1)"/>
      <w:numFmt w:val="lowerLetter"/>
      <w:start w:val="5"/>
    </w:lvl>
  </w:abstractNum>
  <w:abstractNum w:abstractNumId="277">
    <w:nsid w:val="79F0D62F"/>
    <w:multiLevelType w:val="hybridMultilevel"/>
    <w:lvl w:ilvl="0">
      <w:lvlJc w:val="left"/>
      <w:lvlText w:val="(%1)"/>
      <w:numFmt w:val="lowerLetter"/>
      <w:start w:val="1"/>
    </w:lvl>
  </w:abstractNum>
  <w:abstractNum w:abstractNumId="278">
    <w:nsid w:val="7975E8EE"/>
    <w:multiLevelType w:val="hybridMultilevel"/>
    <w:lvl w:ilvl="0">
      <w:lvlJc w:val="left"/>
      <w:lvlText w:val="(%1)"/>
      <w:numFmt w:val="lowerLetter"/>
      <w:start w:val="3"/>
    </w:lvl>
  </w:abstractNum>
  <w:abstractNum w:abstractNumId="279">
    <w:nsid w:val="73154115"/>
    <w:multiLevelType w:val="hybridMultilevel"/>
    <w:lvl w:ilvl="0">
      <w:lvlJc w:val="left"/>
      <w:lvlText w:val="(%1)"/>
      <w:numFmt w:val="lowerLetter"/>
      <w:start w:val="1"/>
    </w:lvl>
  </w:abstractNum>
  <w:abstractNum w:abstractNumId="280">
    <w:nsid w:val="622D8102"/>
    <w:multiLevelType w:val="hybridMultilevel"/>
    <w:lvl w:ilvl="0">
      <w:lvlJc w:val="left"/>
      <w:lvlText w:val="(%1)"/>
      <w:numFmt w:val="lowerLetter"/>
      <w:start w:val="1"/>
    </w:lvl>
  </w:abstractNum>
  <w:abstractNum w:abstractNumId="281">
    <w:nsid w:val="2AB26587"/>
    <w:multiLevelType w:val="hybridMultilevel"/>
    <w:lvl w:ilvl="0">
      <w:lvlJc w:val="left"/>
      <w:lvlText w:val="(%1)"/>
      <w:numFmt w:val="lowerLetter"/>
      <w:start w:val="1"/>
    </w:lvl>
  </w:abstractNum>
  <w:abstractNum w:abstractNumId="282">
    <w:nsid w:val="44B3FA61"/>
    <w:multiLevelType w:val="hybridMultilevel"/>
    <w:lvl w:ilvl="0">
      <w:lvlJc w:val="left"/>
      <w:lvlText w:val="(%1)"/>
      <w:numFmt w:val="lowerLetter"/>
      <w:start w:val="1"/>
    </w:lvl>
  </w:abstractNum>
  <w:abstractNum w:abstractNumId="283">
    <w:nsid w:val="1C0CA67C"/>
    <w:multiLevelType w:val="hybridMultilevel"/>
    <w:lvl w:ilvl="0">
      <w:lvlJc w:val="left"/>
      <w:lvlText w:val="(%1)"/>
      <w:numFmt w:val="lowerLetter"/>
      <w:start w:val="5"/>
    </w:lvl>
  </w:abstractNum>
  <w:abstractNum w:abstractNumId="284">
    <w:nsid w:val="3D206613"/>
    <w:multiLevelType w:val="hybridMultilevel"/>
    <w:lvl w:ilvl="0">
      <w:lvlJc w:val="left"/>
      <w:lvlText w:val="(%1)"/>
      <w:numFmt w:val="lowerLetter"/>
      <w:start w:val="13"/>
    </w:lvl>
  </w:abstractNum>
  <w:abstractNum w:abstractNumId="285">
    <w:nsid w:val="7993B662"/>
    <w:multiLevelType w:val="hybridMultilevel"/>
    <w:lvl w:ilvl="0">
      <w:lvlJc w:val="left"/>
      <w:lvlText w:val="(%1)"/>
      <w:numFmt w:val="lowerLetter"/>
      <w:start w:val="1"/>
    </w:lvl>
  </w:abstractNum>
  <w:abstractNum w:abstractNumId="286">
    <w:nsid w:val="3BAB699E"/>
    <w:multiLevelType w:val="hybridMultilevel"/>
    <w:lvl w:ilvl="0">
      <w:lvlJc w:val="left"/>
      <w:lvlText w:val="(%1)"/>
      <w:numFmt w:val="lowerLetter"/>
      <w:start w:val="3"/>
    </w:lvl>
  </w:abstractNum>
  <w:abstractNum w:abstractNumId="287">
    <w:nsid w:val="71315369"/>
    <w:multiLevelType w:val="hybridMultilevel"/>
    <w:lvl w:ilvl="0">
      <w:lvlJc w:val="left"/>
      <w:lvlText w:val="(%1)"/>
      <w:numFmt w:val="lowerLetter"/>
      <w:start w:val="2"/>
    </w:lvl>
  </w:abstractNum>
  <w:abstractNum w:abstractNumId="288">
    <w:nsid w:val="7BCFBAFC"/>
    <w:multiLevelType w:val="hybridMultilevel"/>
    <w:lvl w:ilvl="0">
      <w:lvlJc w:val="left"/>
      <w:lvlText w:val="(%1)"/>
      <w:numFmt w:val="upperLetter"/>
      <w:start w:val="1"/>
    </w:lvl>
  </w:abstractNum>
  <w:abstractNum w:abstractNumId="289">
    <w:nsid w:val="17859F72"/>
    <w:multiLevelType w:val="hybridMultilevel"/>
    <w:lvl w:ilvl="0">
      <w:lvlJc w:val="left"/>
      <w:lvlText w:val="(%1)"/>
      <w:numFmt w:val="lowerLetter"/>
      <w:start w:val="1"/>
    </w:lvl>
    <w:lvl w:ilvl="1">
      <w:lvlJc w:val="left"/>
      <w:lvlText w:val="(%2)"/>
      <w:numFmt w:val="lowerRoman"/>
      <w:start w:val="1"/>
    </w:lvl>
  </w:abstractNum>
  <w:abstractNum w:abstractNumId="290">
    <w:nsid w:val="3AA10581"/>
    <w:multiLevelType w:val="hybridMultilevel"/>
    <w:lvl w:ilvl="0">
      <w:lvlJc w:val="left"/>
      <w:lvlText w:val="(%1)"/>
      <w:numFmt w:val="lowerRoman"/>
      <w:start w:val="8"/>
    </w:lvl>
  </w:abstractNum>
  <w:abstractNum w:abstractNumId="291">
    <w:nsid w:val="63DE60CD"/>
    <w:multiLevelType w:val="hybridMultilevel"/>
    <w:lvl w:ilvl="0">
      <w:lvlJc w:val="left"/>
      <w:lvlText w:val="(%1)"/>
      <w:numFmt w:val="lowerLetter"/>
      <w:start w:val="2"/>
    </w:lvl>
  </w:abstractNum>
  <w:abstractNum w:abstractNumId="292">
    <w:nsid w:val="621AF471"/>
    <w:multiLevelType w:val="hybridMultilevel"/>
    <w:lvl w:ilvl="0">
      <w:lvlJc w:val="left"/>
      <w:lvlText w:val="(%1)"/>
      <w:numFmt w:val="lowerLetter"/>
      <w:start w:val="2"/>
    </w:lvl>
  </w:abstractNum>
  <w:abstractNum w:abstractNumId="293">
    <w:nsid w:val="73CFE165"/>
    <w:multiLevelType w:val="hybridMultilevel"/>
    <w:lvl w:ilvl="0">
      <w:lvlJc w:val="left"/>
      <w:lvlText w:val="(%1)"/>
      <w:numFmt w:val="lowerLetter"/>
      <w:start w:val="1"/>
    </w:lvl>
  </w:abstractNum>
  <w:abstractNum w:abstractNumId="294">
    <w:nsid w:val="20F88EA6"/>
    <w:multiLevelType w:val="hybridMultilevel"/>
    <w:lvl w:ilvl="0">
      <w:lvlJc w:val="left"/>
      <w:lvlText w:val="(%1)"/>
      <w:numFmt w:val="lowerLetter"/>
      <w:start w:val="4"/>
    </w:lvl>
  </w:abstractNum>
  <w:abstractNum w:abstractNumId="295">
    <w:nsid w:val="617C843E"/>
    <w:multiLevelType w:val="hybridMultilevel"/>
    <w:lvl w:ilvl="0">
      <w:lvlJc w:val="left"/>
      <w:lvlText w:val="%1."/>
      <w:numFmt w:val="decimal"/>
      <w:start w:val="1"/>
    </w:lvl>
  </w:abstractNum>
  <w:abstractNum w:abstractNumId="296">
    <w:nsid w:val="7B541FAB"/>
    <w:multiLevelType w:val="hybridMultilevel"/>
    <w:lvl w:ilvl="0">
      <w:lvlJc w:val="left"/>
      <w:lvlText w:val="%1)"/>
      <w:numFmt w:val="lowerLetter"/>
      <w:start w:val="1"/>
    </w:lvl>
  </w:abstractNum>
  <w:abstractNum w:abstractNumId="297">
    <w:nsid w:val="2A79EC49"/>
    <w:multiLevelType w:val="hybridMultilevel"/>
    <w:lvl w:ilvl="0">
      <w:lvlJc w:val="left"/>
      <w:lvlText w:val="%1)"/>
      <w:numFmt w:val="lowerLetter"/>
      <w:start w:val="2"/>
    </w:lvl>
  </w:abstractNum>
  <w:abstractNum w:abstractNumId="298">
    <w:nsid w:val="338125CF"/>
    <w:multiLevelType w:val="hybridMultilevel"/>
    <w:lvl w:ilvl="0">
      <w:lvlJc w:val="left"/>
      <w:lvlText w:val="%1."/>
      <w:numFmt w:val="decimal"/>
      <w:start w:val="5"/>
    </w:lvl>
  </w:abstractNum>
  <w:abstractNum w:abstractNumId="299">
    <w:nsid w:val="47C7C971"/>
    <w:multiLevelType w:val="hybridMultilevel"/>
    <w:lvl w:ilvl="0">
      <w:lvlJc w:val="left"/>
      <w:lvlText w:val="%1)"/>
      <w:numFmt w:val="lowerLetter"/>
      <w:start w:val="1"/>
    </w:lvl>
  </w:abstractNum>
  <w:abstractNum w:abstractNumId="300">
    <w:nsid w:val="46F8284B"/>
    <w:multiLevelType w:val="hybridMultilevel"/>
    <w:lvl w:ilvl="0">
      <w:lvlJc w:val="left"/>
      <w:lvlText w:val="%1."/>
      <w:numFmt w:val="lowerRoman"/>
      <w:start w:val="1"/>
    </w:lvl>
  </w:abstractNum>
  <w:abstractNum w:abstractNumId="301">
    <w:nsid w:val="4FA327CE"/>
    <w:multiLevelType w:val="hybridMultilevel"/>
    <w:lvl w:ilvl="0">
      <w:lvlJc w:val="left"/>
      <w:lvlText w:val="%1."/>
      <w:numFmt w:val="decimal"/>
      <w:start w:val="8"/>
    </w:lvl>
  </w:abstractNum>
  <w:abstractNum w:abstractNumId="302">
    <w:nsid w:val="1873983A"/>
    <w:multiLevelType w:val="hybridMultilevel"/>
    <w:lvl w:ilvl="0">
      <w:lvlJc w:val="left"/>
      <w:lvlText w:val="%1)"/>
      <w:numFmt w:val="lowerLetter"/>
      <w:start w:val="1"/>
    </w:lvl>
  </w:abstractNum>
  <w:abstractNum w:abstractNumId="303">
    <w:nsid w:val="3D2DD275"/>
    <w:multiLevelType w:val="hybridMultilevel"/>
    <w:lvl w:ilvl="0">
      <w:lvlJc w:val="left"/>
      <w:lvlText w:val="%1."/>
      <w:numFmt w:val="decimal"/>
      <w:start w:val="9"/>
    </w:lvl>
  </w:abstractNum>
  <w:abstractNum w:abstractNumId="304">
    <w:nsid w:val="2E17ECA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2026-04-01T15:25:15Z</dcterms:created>
  <dcterms:modified xsi:type="dcterms:W3CDTF">2026-04-01T15:25:15Z</dcterms:modified>
</cp:coreProperties>
</file>