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069d424b3.htm"/>
        <w:bookmarkStart w:id="1" w:name="ksd111069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333-295175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2033270" cy="888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3270" cy="88836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drawing>
                <wp:inline distT="0" distB="0" distL="0" distR="0">
                  <wp:extent cx="2812415" cy="5981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12415" cy="598170"/>
                          </a:xfrm>
                          <a:prstGeom prst="rect">
                            <a:avLst/>
                          </a:prstGeom>
                        </pic:spPr>
                      </pic:pic>
                    </a:graphicData>
                  </a:graphic>
                </wp:inline>
              </w:drawing>
            </w:r>
            <w:r>
              <w:rPr/>
              <w:t xml:space="preserve"> </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00" w:after="0"/>
        <w:jc w:val="left"/>
        <w:rPr>
          <w:rFonts w:ascii="Times New Roman" w:hAnsi="Times New Roman"/>
          <w:sz w:val="20"/>
        </w:rPr>
      </w:pPr>
      <w:r>
        <w:rPr>
          <w:rFonts w:ascii="Times New Roman" w:hAnsi="Times New Roman"/>
          <w:sz w:val="20"/>
        </w:rPr>
        <w:t xml:space="preserve">To the Shareholders of Cyclerion Therapeutics, Inc. and Korsana Biosciences, Inc., </w:t>
      </w:r>
    </w:p>
    <w:p>
      <w:pPr>
        <w:pStyle w:val="TextBody"/>
        <w:bidi w:val="0"/>
        <w:spacing w:before="200" w:after="0"/>
        <w:jc w:val="left"/>
        <w:rPr>
          <w:rFonts w:ascii="Times New Roman" w:hAnsi="Times New Roman"/>
          <w:sz w:val="20"/>
        </w:rPr>
      </w:pPr>
      <w:r>
        <w:rPr>
          <w:rFonts w:ascii="Times New Roman" w:hAnsi="Times New Roman"/>
          <w:sz w:val="20"/>
        </w:rPr>
        <w:t xml:space="preserve">Cyclerion Therapeutics, Inc., a Massachusetts corporation (“Cyclerion”), and Korsana Biosciences, Inc., a Delaware corporation (“Korsana”), entered into an Agreement and Plan of Merger and Reorganization on April 1, 2026, which agreement was subsequently amended on April 17, 2026 (as amended, the “Merger Agreement”),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The term “Combined Company” when used in the accompanying proxy statement/prospectus refers to the post-Merger corporate structure including Korsana Biosciences, Inc. (f/k/a Cyclerion Therapeutics, Inc.) as the parent entity and Korsana Biosciences Operating Company, LLC as its wholly-owned subsidiary. </w:t>
      </w:r>
    </w:p>
    <w:p>
      <w:pPr>
        <w:pStyle w:val="TextBody"/>
        <w:bidi w:val="0"/>
        <w:spacing w:before="200" w:after="0"/>
        <w:jc w:val="left"/>
        <w:rPr>
          <w:rFonts w:ascii="Times New Roman" w:hAnsi="Times New Roman"/>
          <w:sz w:val="20"/>
        </w:rPr>
      </w:pPr>
      <w:r>
        <w:rPr>
          <w:rFonts w:ascii="Times New Roman" w:hAnsi="Times New Roman"/>
          <w:sz w:val="20"/>
        </w:rPr>
        <w:t>At the closing of the First Merger (the “First Effective Time”, and the date on which the closing of the Merger occurs, the “Closing Date”), upon the terms and subject to the conditions set forth in the Merger Agreement: (i) each then-outstanding share of Korsana common stock, $0.0001 par value per share, of Korsana (the “Korsana Common Stock”) and Korsana Series A Preferred Stock, $0.0001 par value per share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Options</w:t>
      </w:r>
      <w:r>
        <w:rPr>
          <w:rFonts w:ascii="Times New Roman" w:hAnsi="Times New Roman"/>
          <w:sz w:val="20"/>
        </w:rPr>
        <w:t>” beginning on page 172 of the accompanying proxy statement/prospectus; (iv) each then-outstanding restricted stock unit (a “Korsana RSU”) for shares of Korsana Common Stock will be converted into and become a restricted stock unit (a “Cyclerion RSU”) for shares of Cyclerion Common Stock on the existing terms and conditions (including with respect to vesting and accelerated vesting),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Restricted Stock Units</w:t>
      </w:r>
      <w:r>
        <w:rPr>
          <w:rFonts w:ascii="Times New Roman" w:hAnsi="Times New Roman"/>
          <w:sz w:val="20"/>
        </w:rPr>
        <w:t>” beginning on page 173 of the accompanying proxy statement/prospectus; and (v) each then-outstanding warrant to purchase shares of Korsana Common Stock (each, a “Korsana Warrant”) will be converted into a warrant to purchase shares of Cyclerion Common Stock on the existing terms and conditions (each, a “Cyclerion Warrant”),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Warrants</w:t>
      </w:r>
      <w:r>
        <w:rPr>
          <w:rFonts w:ascii="Times New Roman" w:hAnsi="Times New Roman"/>
          <w:sz w:val="20"/>
        </w:rPr>
        <w:t xml:space="preserve">” beginning on page 173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(the “Cyclerion Board”)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and such Cyclerion Options, “In-the-Money Cyclerion Options”),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(“Cyclerion Stock Option Cash Consideration”). Each Cyclerion Option with an exercise price greater than the Cyclerion Closing Price (an “Out-of-the-Money Cyclerion Option”) will be cancelled for no consideration. The vesting of each Cyclerion RSA will be accelerated in full. </w:t>
      </w:r>
    </w:p>
    <w:p>
      <w:pPr>
        <w:pStyle w:val="TextBody"/>
        <w:bidi w:val="0"/>
        <w:spacing w:before="200" w:after="0"/>
        <w:jc w:val="left"/>
        <w:rPr>
          <w:rFonts w:ascii="Times New Roman" w:hAnsi="Times New Roman"/>
          <w:sz w:val="20"/>
        </w:rPr>
      </w:pPr>
      <w:r>
        <w:rPr>
          <w:rFonts w:ascii="Times New Roman" w:hAnsi="Times New Roman"/>
          <w:sz w:val="20"/>
        </w:rPr>
        <w:t>Based on Cyclerion’s and Korsana’s capitalization as of June 30, 2026 and assuming Cyclerion’s net cash as of closing being equal to $(2.5) million, each share of Korsana Common Stock and Korsana Series A Preferred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beginning on page 169 of the accompanying proxy statement/prospectus. Korsana and the investors participating in the Korsana Pre-Closing Financing have also agreed to enter into a registration rights agreement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 (“Rule 415”). The Korsana Pre-Closing Financing is more fully described in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and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Registration Rights Agreement</w:t>
      </w:r>
      <w:r>
        <w:rPr>
          <w:rFonts w:ascii="Times New Roman" w:hAnsi="Times New Roman"/>
          <w:sz w:val="20"/>
        </w:rPr>
        <w:t xml:space="preserve">” beginning on pages 188 and 190, respectively,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Immediately after the Merger, based on the estimated Exchange Ratio as described in the accompanying proxy statement/prospectus, Cyclerion securityholders as of immediately prior to the Merger are expected to own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approximately 1.1% of the outstanding shares of capital stock of the Combined Company (on a fully-diluted basis), and former holders of Korsana securities (including those issued in the Korsana Pre-Closing Financing) are expected to own approximately 98.9% of the outstanding shares of capital stock of the Combined Company (on a fully-diluted basis), subject to certain assumptions, including, but not limited to, Cyclerion’s net cash as of closing being equal to $(2.5) million. Under certain circumstances described in more detail in the section 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0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plans to file an initial listing application for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in the event that the shares of Cyclerion Common Stock to be issued in the Merger are not approved for listing on Nasdaq, it is possible that Cyclerion and Korsana may mutually agree to waive the applicable condition and nonetheless proceed with completion of the Merger.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annual meeting described below. On July 23, 2026, the last trading day before the date of the accompanying proxy statement/prospectus, the closing sale price of Cyclerion Common Stock was $3.62 per share. </w:t>
      </w:r>
    </w:p>
    <w:p>
      <w:pPr>
        <w:pStyle w:val="TextBody"/>
        <w:bidi w:val="0"/>
        <w:spacing w:before="200" w:after="0"/>
        <w:jc w:val="left"/>
        <w:rPr>
          <w:rFonts w:ascii="Times New Roman" w:hAnsi="Times New Roman"/>
          <w:sz w:val="20"/>
        </w:rPr>
      </w:pPr>
      <w:r>
        <w:rPr>
          <w:rFonts w:ascii="Times New Roman" w:hAnsi="Times New Roman"/>
          <w:sz w:val="20"/>
        </w:rPr>
        <w:t xml:space="preserve">Cyclerion shareholders are cordially invited to attend the annual meeting of Cyclerion (the “Cyclerion Shareholders Meeting”) to be held on August 26, 2026, at 2:00 p.m. Eastern Time, unless postponed or adjourned to a later date, in order to obtain the shareholder approvals necessary to complete the Merger and related matters. At the Cyclerion Shareholders Meeting, Cyclerion will ask its shareholders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the accompanying proxy statement/prospectus (the “Authorized Share Increase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the accompanying proxy statement/prospectus, with the final ratio and effectiveness of such amendment and the abandonment of such amendment to be mutually agreed by the Cyclerion Board and the Korsana board of directors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the accompanying proxy statement/prospectus (“Proposal No. 4B” and together with Proposal No. 4A, the “Redomestication Proposal” or “Proposal No. 4”);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00" w:after="0"/>
        <w:jc w:val="left"/>
        <w:rPr>
          <w:rFonts w:ascii="Times New Roman" w:hAnsi="Times New Roman"/>
          <w:sz w:val="20"/>
        </w:rPr>
      </w:pPr>
      <w:r>
        <w:rPr>
          <w:rFonts w:ascii="Times New Roman" w:hAnsi="Times New Roman"/>
          <w:sz w:val="20"/>
        </w:rPr>
        <w:t xml:space="preserve">As described in the accompanying proxy statement/prospectus, current directors and officers of Cyclerion who in the aggregate owned approximately 24.2% of the outstanding shares of Cyclerion capital stock on an as-converted to Cyclerion Common Stock basis as of June 30, 2026, and certain Korsana stockholders (solely in their respective capacities as Korsana stockholders) who in the aggregate owned approximately 43.9% of the outstanding shares of Korsana capital stock as of June 30, 2026, are parties to stockholder support agreements with Cyclerion and Korsana, respectively, whereby such stockholders have agreed to vote in favor of the adoption of the Merger Agreement and the approval of the Merger and related transactions contemplated by the Merger Agreement,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200" w:after="0"/>
        <w:jc w:val="left"/>
        <w:rPr>
          <w:rFonts w:ascii="Times New Roman" w:hAnsi="Times New Roman"/>
          <w:sz w:val="20"/>
        </w:rPr>
      </w:pPr>
      <w:r>
        <w:rPr>
          <w:rFonts w:ascii="Times New Roman" w:hAnsi="Times New Roman"/>
          <w:sz w:val="20"/>
        </w:rPr>
        <w:t xml:space="preserve">After careful consideration, each of the Cyclerion and the Korsana boards of directors has approved the Merger Agreement and has determined that it is advisable to consummate the Merger. The Cyclerion Board has approved the proposals described in the accompanying proxy statement/prospectus and recommends that its shareholders vote “FOR” the proposals described in the accompanying proxy statement/prospectus.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More information about Cyclerion, Korsana, the Merger Agreement and transactions contemplated thereby and the foregoing proposals are contained in the accompanying proxy statement/prospectus. Cyclerion urges you to read the accompanying proxy statement/prospectus carefully and in its entirety. IN PARTICULAR, YOU SHOULD CAREFULLY CONSIDER THE MATTERS DISCUSSED UNDER “RISK FACTORS” BEGINNING ON PAGE 33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Cyclerion and Korsana are excited about the opportunities the Merger brings to Cyclerion’s shareholders and Korsana’s stockholders and thank you for your consideration and continued support.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Regina Graul, Ph.D.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Jonathan Violin, Ph.D.</w:t>
            </w:r>
          </w:p>
        </w:tc>
      </w:tr>
      <w:tr>
        <w:trPr/>
        <w:tc>
          <w:tcPr>
            <w:tcW w:w="5205" w:type="dxa"/>
            <w:tcBorders/>
          </w:tcPr>
          <w:p>
            <w:pPr>
              <w:pStyle w:val="TableContents"/>
              <w:bidi w:val="0"/>
              <w:spacing w:before="0" w:after="283"/>
              <w:jc w:val="left"/>
              <w:rPr>
                <w:i/>
              </w:rPr>
            </w:pPr>
            <w:r>
              <w:rPr>
                <w:i/>
              </w:rPr>
              <w:t>President and Chief Executive Officer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i/>
              </w:rPr>
            </w:pPr>
            <w:r>
              <w:rPr>
                <w:i/>
              </w:rPr>
              <w:t>Chief Executive Officer and President</w:t>
            </w:r>
          </w:p>
        </w:tc>
      </w:tr>
      <w:tr>
        <w:trPr/>
        <w:tc>
          <w:tcPr>
            <w:tcW w:w="5205" w:type="dxa"/>
            <w:tcBorders/>
          </w:tcPr>
          <w:p>
            <w:pPr>
              <w:pStyle w:val="TableContents"/>
              <w:bidi w:val="0"/>
              <w:spacing w:before="0" w:after="283"/>
              <w:jc w:val="left"/>
              <w:rPr>
                <w:i/>
              </w:rPr>
            </w:pPr>
            <w:r>
              <w:rPr>
                <w:i/>
              </w:rPr>
              <w:t>Cyclerion Therapeutics,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i/>
              </w:rPr>
            </w:pPr>
            <w:r>
              <w:rPr>
                <w:i/>
              </w:rPr>
              <w:t>Korsana Biosciences, Inc.</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00" w:after="0"/>
        <w:jc w:val="left"/>
        <w:rPr>
          <w:rFonts w:ascii="Times New Roman" w:hAnsi="Times New Roman"/>
          <w:b/>
          <w:sz w:val="20"/>
        </w:rPr>
      </w:pPr>
      <w:r>
        <w:rPr>
          <w:rFonts w:ascii="Times New Roman" w:hAnsi="Times New Roman"/>
          <w:b/>
          <w:sz w:val="20"/>
        </w:rPr>
        <w:t xml:space="preserve">The accompanying proxy statement/prospectus is dated July 24, 2026, and is first being mailed to Cyclerion’s shareholders on or about July 27,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245 First Street, 18th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Cyclerion Therapeutics, Inc.: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virtual annual meeting of shareholders (the “Cyclerion Shareholders Meeting”) will be held on Wednesday, August 26, 2026 at 2:00 p.m.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Cyclerion Shareholders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terms of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articles of amendment to the restated articles of organization of Cyclerion, as amended (the “Cyclerion Articles”), to increase the number of shares of Cyclerion Common Stock that Cyclerion is authorized to issue from 400,000,000 to 700,000,000, in the form attached as </w:t>
            </w:r>
            <w:r>
              <w:rPr>
                <w:rFonts w:ascii="Times New Roman" w:hAnsi="Times New Roman"/>
                <w:i/>
                <w:sz w:val="20"/>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 the redomestication of Cyclerion from the Commonwealth of Massachusetts to the Cayman Islands by domestication and (B)(i) the redomestication of Cyclerion from the Commonwealth of Massachusetts to the Cayman Islands by way of continuation and (ii) and, as a special resolution for the purposes of Cayman Islands law,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Cyclerion’s independent registered public accounting firm for fiscal year ending December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certain compensation arrangements for Cyclerion’s named executive officers that are based on or otherwise relate to the Merger;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Cyclerion’s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Cyclerion Shareholders Meeting, if necessary, to solicit additional proxies if there is not a sufficient number of votes in favor of the Nasdaq Stock Issuance Proposal, the Authorized Share Increase Proposal, and/or the Reverse Stock Split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fixed July 17, 2026 as the record date (the “Record Date”) for the determination of shareholders entitled to notice of, and to vote at, the Cyclerion Shareholders Meeting and any adjournment or postponement thereof. Only holders of record of shares of Cyclerion Common Stock at the close of business on the Record Date are entitled to notice of, and to vote at, the Cyclerion Shareholders Meeting. At the close of business on July 17, 2026, Cyclerion had 4,681,351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approvals of Proposal Nos. 4A, 4B, 7, 8, and 9 are not conditions to the completion of the Merger, however, each of these proposals is conditioned on the consummation of the Merger and will not be implemented if the Merger is not consummated. Approvals of Proposal Nos. 3, 5, 6, 10, and 11 are requested whether or not the Merger is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All shareholders are cordially invited to attend the annual meeting. Even if you plan to attend the Cyclerion Shareholders Meeting, Cyclerion requests that you sign and return the enclosed proxy or vote by mail or online to ensure that your shares will be represented at the Cyclerion Shareholders Meeting if you are unable to attend. You may change or revoke your proxy at any time before it is voted at the Cyclerion Shareholders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HAS DETERMINED AND BELIEVES THAT EACH OF THE PROPOSALS OUTLINED ABOVE IS FAIR TO, IN THE BEST INTERESTS OF, AND ADVISABLE TO CYCLERION AND ITS SHAREHOLDERS AND HAS APPROVED EACH SUCH PROPOSAL. THE CYCLERION BOARD RECOMMENDS THAT CYCLERION SHAREHOLDERS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Cyclerion Shareholders Meeting to Be Held onAugust 26, 2026 at 2:00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which also serves as the annual report to shareholders in connection with the annual meeting, is available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Cyclerion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Regina Graul, Ph.D. </w:t>
      </w:r>
    </w:p>
    <w:p>
      <w:pPr>
        <w:pStyle w:val="TextBody"/>
        <w:bidi w:val="0"/>
        <w:spacing w:before="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July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0"/>
        <w:gridCol w:w="334"/>
        <w:gridCol w:w="94"/>
        <w:gridCol w:w="604"/>
        <w:gridCol w:w="63"/>
      </w:tblGrid>
      <w:tr>
        <w:trPr/>
        <w:tc>
          <w:tcPr>
            <w:tcW w:w="911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1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110" w:type="dxa"/>
            <w:tcBorders/>
            <w:vAlign w:val="center"/>
          </w:tcPr>
          <w:p>
            <w:pPr>
              <w:pStyle w:val="TableContents"/>
              <w:bidi w:val="0"/>
              <w:spacing w:before="0" w:after="283"/>
              <w:jc w:val="left"/>
              <w:rPr>
                <w:sz w:val="4"/>
                <w:szCs w:val="4"/>
              </w:rPr>
            </w:pPr>
            <w:r>
              <w:rPr>
                <w:sz w:val="4"/>
                <w:szCs w:val="4"/>
              </w:rPr>
            </w:r>
          </w:p>
        </w:tc>
        <w:tc>
          <w:tcPr>
            <w:tcW w:w="1095" w:type="dxa"/>
            <w:gridSpan w:val="4"/>
            <w:tcBorders/>
            <w:vAlign w:val="center"/>
          </w:tcPr>
          <w:p>
            <w:pPr>
              <w:pStyle w:val="TableContents"/>
              <w:bidi w:val="0"/>
              <w:spacing w:before="0" w:after="283"/>
              <w:jc w:val="left"/>
              <w:rPr>
                <w:sz w:val="4"/>
                <w:szCs w:val="4"/>
              </w:rPr>
            </w:pPr>
            <w:r>
              <w:rPr>
                <w:sz w:val="4"/>
                <w:szCs w:val="4"/>
              </w:rPr>
            </w:r>
          </w:p>
        </w:tc>
      </w:tr>
      <w:tr>
        <w:trPr/>
        <w:tc>
          <w:tcPr>
            <w:tcW w:w="9110" w:type="dxa"/>
            <w:tcBorders/>
            <w:vAlign w:val="bottom"/>
          </w:tcPr>
          <w:p>
            <w:pPr>
              <w:pStyle w:val="TableContents"/>
              <w:bidi w:val="0"/>
              <w:spacing w:before="0" w:after="0"/>
              <w:jc w:val="left"/>
              <w:rPr/>
            </w:pPr>
            <w:hyperlink w:anchor="tx111069_1">
              <w:r>
                <w:rPr>
                  <w:rStyle w:val="InternetLink"/>
                  <w:rFonts w:ascii="Times New Roman" w:hAnsi="Times New Roman"/>
                  <w:sz w:val="20"/>
                </w:rPr>
                <w:t>QUESTIONS AND ANSWERS ABOUT THE MERGER</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
              <w:r>
                <w:rPr>
                  <w:rStyle w:val="InternetLink"/>
                  <w:rFonts w:ascii="Times New Roman" w:hAnsi="Times New Roman"/>
                  <w:sz w:val="20"/>
                </w:rPr>
                <w:t>PROSPECTUS SUMMARY</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
              <w:r>
                <w:rPr>
                  <w:rStyle w:val="InternetLink"/>
                  <w:rFonts w:ascii="Times New Roman" w:hAnsi="Times New Roman"/>
                  <w:sz w:val="20"/>
                </w:rPr>
                <w:t>MARKET PRICE AND DIVIDEND INFORMATION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4">
              <w:r>
                <w:rPr>
                  <w:rStyle w:val="InternetLink"/>
                  <w:rFonts w:ascii="Times New Roman" w:hAnsi="Times New Roman"/>
                  <w:sz w:val="20"/>
                </w:rPr>
                <w:t>RISK FACTORS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5">
              <w:r>
                <w:rPr>
                  <w:rStyle w:val="InternetLink"/>
                  <w:rFonts w:ascii="Times New Roman" w:hAnsi="Times New Roman"/>
                  <w:sz w:val="20"/>
                </w:rPr>
                <w:t>CAUTIONARY NOTE REGARDING FORWARD-LOOKING STATEMENTS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6">
              <w:r>
                <w:rPr>
                  <w:rStyle w:val="InternetLink"/>
                  <w:rFonts w:ascii="Times New Roman" w:hAnsi="Times New Roman"/>
                  <w:sz w:val="20"/>
                </w:rPr>
                <w:t>THE ANNUAL MEETING OF CYCLERION SHAREHOLDERS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7">
              <w:r>
                <w:rPr>
                  <w:rStyle w:val="InternetLink"/>
                  <w:rFonts w:ascii="Times New Roman" w:hAnsi="Times New Roman"/>
                  <w:sz w:val="20"/>
                </w:rPr>
                <w:t>THE MERGER</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8">
              <w:r>
                <w:rPr>
                  <w:rStyle w:val="InternetLink"/>
                  <w:rFonts w:ascii="Times New Roman" w:hAnsi="Times New Roman"/>
                  <w:sz w:val="20"/>
                </w:rPr>
                <w:t>THE MERGER AGREEMENT</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9">
              <w:r>
                <w:rPr>
                  <w:rStyle w:val="InternetLink"/>
                  <w:rFonts w:ascii="Times New Roman" w:hAnsi="Times New Roman"/>
                  <w:sz w:val="20"/>
                </w:rPr>
                <w:t>AGREEMENTS RELATED TO THE MERGER</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0">
              <w:r>
                <w:rPr>
                  <w:rStyle w:val="InternetLink"/>
                  <w:rFonts w:ascii="Times New Roman" w:hAnsi="Times New Roman"/>
                  <w:sz w:val="20"/>
                </w:rPr>
                <w:t>CYCLERION DIRECTORS, OFFICERS AND CORPORATE GOVERNANCE</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1">
              <w:r>
                <w:rPr>
                  <w:rStyle w:val="InternetLink"/>
                  <w:rFonts w:ascii="Times New Roman" w:hAnsi="Times New Roman"/>
                  <w:sz w:val="20"/>
                </w:rPr>
                <w:t>CYCLERION EXECUTIVE COMPENSATION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2">
              <w:r>
                <w:rPr>
                  <w:rStyle w:val="InternetLink"/>
                  <w:rFonts w:ascii="Times New Roman" w:hAnsi="Times New Roman"/>
                  <w:sz w:val="20"/>
                </w:rPr>
                <w:t>CYCLERION NON-EMPLOYEE DIRECTOR COMPENSATION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213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3">
              <w:r>
                <w:rPr>
                  <w:rStyle w:val="InternetLink"/>
                  <w:rFonts w:ascii="Times New Roman" w:hAnsi="Times New Roman"/>
                  <w:sz w:val="20"/>
                </w:rPr>
                <w:t>CYCLERION EQUITY COMPENSATION PLAN INFORMATION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214</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4">
              <w:r>
                <w:rPr>
                  <w:rStyle w:val="InternetLink"/>
                  <w:rFonts w:ascii="Times New Roman" w:hAnsi="Times New Roman"/>
                  <w:sz w:val="20"/>
                </w:rPr>
                <w:t>KORSANA EXECUTIVE COMPENSATION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215</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5">
              <w:r>
                <w:rPr>
                  <w:rStyle w:val="InternetLink"/>
                  <w:rFonts w:ascii="Times New Roman" w:hAnsi="Times New Roman"/>
                  <w:sz w:val="20"/>
                </w:rPr>
                <w:t>KORSANA DIRECTOR COMPENSATION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219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6">
              <w:r>
                <w:rPr>
                  <w:rStyle w:val="InternetLink"/>
                  <w:rFonts w:ascii="Times New Roman" w:hAnsi="Times New Roman"/>
                  <w:sz w:val="20"/>
                </w:rPr>
                <w:t>MATTERS BEING SUBMITTED TO A VOTE OF CYCLERION SHAREHOLDERS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220</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7">
              <w:r>
                <w:rPr>
                  <w:rStyle w:val="InternetLink"/>
                  <w:rFonts w:ascii="Times New Roman" w:hAnsi="Times New Roman"/>
                  <w:sz w:val="20"/>
                </w:rPr>
                <w:t>PROPOSAL NO. 1 - THE NASDAQ STOCK ISSUANCE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221</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8">
              <w:r>
                <w:rPr>
                  <w:rStyle w:val="InternetLink"/>
                  <w:rFonts w:ascii="Times New Roman" w:hAnsi="Times New Roman"/>
                  <w:sz w:val="20"/>
                </w:rPr>
                <w:t>PROPOSAL NO. 2 - THE AUTHORIZED SHARE INCREASE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223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19">
              <w:r>
                <w:rPr>
                  <w:rStyle w:val="InternetLink"/>
                  <w:rFonts w:ascii="Times New Roman" w:hAnsi="Times New Roman"/>
                  <w:sz w:val="20"/>
                </w:rPr>
                <w:t>PROPOSAL NO. 3 - THE REVERSE STOCK SPLIT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0">
              <w:r>
                <w:rPr>
                  <w:rStyle w:val="InternetLink"/>
                  <w:rFonts w:ascii="Times New Roman" w:hAnsi="Times New Roman"/>
                  <w:sz w:val="20"/>
                </w:rPr>
                <w:t>PROPOSAL NO. 4 - THE REDOMESTICATION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234</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1">
              <w:r>
                <w:rPr>
                  <w:rStyle w:val="InternetLink"/>
                  <w:rFonts w:ascii="Times New Roman" w:hAnsi="Times New Roman"/>
                  <w:sz w:val="20"/>
                </w:rPr>
                <w:t>PROPOSAL NO. 5 - THE DIRECTOR ELECTION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265</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2">
              <w:r>
                <w:rPr>
                  <w:rStyle w:val="InternetLink"/>
                  <w:rFonts w:ascii="Times New Roman" w:hAnsi="Times New Roman"/>
                  <w:sz w:val="20"/>
                </w:rPr>
                <w:t>PROPOSAL NO. 6 - THE AUDITOR RATIFICATION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266</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3">
              <w:r>
                <w:rPr>
                  <w:rStyle w:val="InternetLink"/>
                  <w:rFonts w:ascii="Times New Roman" w:hAnsi="Times New Roman"/>
                  <w:sz w:val="20"/>
                </w:rPr>
                <w:t>PROPOSAL NO. 7 - THE STOCK PLAN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268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4">
              <w:r>
                <w:rPr>
                  <w:rStyle w:val="InternetLink"/>
                  <w:rFonts w:ascii="Times New Roman" w:hAnsi="Times New Roman"/>
                  <w:sz w:val="20"/>
                </w:rPr>
                <w:t>PROPOSAL NO. 8 - THE ESPP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273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5">
              <w:r>
                <w:rPr>
                  <w:rStyle w:val="InternetLink"/>
                  <w:rFonts w:ascii="Times New Roman" w:hAnsi="Times New Roman"/>
                  <w:sz w:val="20"/>
                </w:rPr>
                <w:t>PROPOSAL NO. 9 - THE MERGER COMPENSATION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277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6">
              <w:r>
                <w:rPr>
                  <w:rStyle w:val="InternetLink"/>
                  <w:rFonts w:ascii="Times New Roman" w:hAnsi="Times New Roman"/>
                  <w:sz w:val="20"/>
                </w:rPr>
                <w:t>PROPOSAL NO. 10 - THE SAY-ON-PAY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278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7">
              <w:r>
                <w:rPr>
                  <w:rStyle w:val="InternetLink"/>
                  <w:rFonts w:ascii="Times New Roman" w:hAnsi="Times New Roman"/>
                  <w:sz w:val="20"/>
                </w:rPr>
                <w:t>PROPOSAL NO. 11 - THE ADJOURNMENT PROPOSAL</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279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8">
              <w:r>
                <w:rPr>
                  <w:rStyle w:val="InternetLink"/>
                  <w:rFonts w:ascii="Times New Roman" w:hAnsi="Times New Roman"/>
                  <w:sz w:val="20"/>
                </w:rPr>
                <w:t>CYCLERION’S BUSINESS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280</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29">
              <w:r>
                <w:rPr>
                  <w:rStyle w:val="InternetLink"/>
                  <w:rFonts w:ascii="Times New Roman" w:hAnsi="Times New Roman"/>
                  <w:sz w:val="20"/>
                </w:rPr>
                <w:t>KORSANA’S BUSINESS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297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0">
              <w:r>
                <w:rPr>
                  <w:rStyle w:val="InternetLink"/>
                  <w:rFonts w:ascii="Times New Roman" w:hAnsi="Times New Roman"/>
                  <w:sz w:val="20"/>
                </w:rPr>
                <w:t>CYCLERION’S MANAGEMENT’S DISCUSSION AND ANALYSIS OF FINANCIAL CONDITION AND RESULTS OF OPERATIONS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346</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1">
              <w:r>
                <w:rPr>
                  <w:rStyle w:val="InternetLink"/>
                  <w:rFonts w:ascii="Times New Roman" w:hAnsi="Times New Roman"/>
                  <w:sz w:val="20"/>
                </w:rPr>
                <w:t>KORSANA’S MANAGEMENT’S DISCUSSION AND ANALYSIS OF FINANCIAL CONDITION AND RESULTS OF OPERATIONS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358</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2">
              <w:r>
                <w:rPr>
                  <w:rStyle w:val="InternetLink"/>
                  <w:rFonts w:ascii="Times New Roman" w:hAnsi="Times New Roman"/>
                  <w:sz w:val="20"/>
                </w:rPr>
                <w:t>MANAGEMENT FOLLOWING THE MERGER</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379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3">
              <w:r>
                <w:rPr>
                  <w:rStyle w:val="InternetLink"/>
                  <w:rFonts w:ascii="Times New Roman" w:hAnsi="Times New Roman"/>
                  <w:sz w:val="20"/>
                </w:rPr>
                <w:t>CERTAIN RELATIONSHIPS AND RELATED PARTY TRANSACTIONS OF THE COMBINED COMPANY</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386</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4">
              <w:r>
                <w:rPr>
                  <w:rStyle w:val="InternetLink"/>
                  <w:rFonts w:ascii="Times New Roman" w:hAnsi="Times New Roman"/>
                  <w:sz w:val="20"/>
                </w:rPr>
                <w:t>UNAUDITED PRO FORMA CONDENSED COMBINED FINANCIAL INFORMATION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393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5">
              <w:r>
                <w:rPr>
                  <w:rStyle w:val="InternetLink"/>
                  <w:rFonts w:ascii="Times New Roman" w:hAnsi="Times New Roman"/>
                  <w:sz w:val="20"/>
                </w:rPr>
                <w:t>NOTES TO UNAUDITED PRO FORMA CONDENSED COMBINED FINANCIAL INFORMATION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399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6">
              <w:r>
                <w:rPr>
                  <w:rStyle w:val="InternetLink"/>
                  <w:rFonts w:ascii="Times New Roman" w:hAnsi="Times New Roman"/>
                  <w:sz w:val="20"/>
                </w:rPr>
                <w:t>DESCRIPTION OF CYCLERION CAPITAL STOCK</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409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7">
              <w:r>
                <w:rPr>
                  <w:rStyle w:val="InternetLink"/>
                  <w:rFonts w:ascii="Times New Roman" w:hAnsi="Times New Roman"/>
                  <w:sz w:val="20"/>
                </w:rPr>
                <w:t>COMPARISON OF RIGHTS OF HOLDERS OF CYCLERION CAPITAL STOCK AND</w:t>
                <w:br/>
                <w:t>KORSANA CAPITAL STOCK</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414</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8">
              <w:r>
                <w:rPr>
                  <w:rStyle w:val="InternetLink"/>
                  <w:rFonts w:ascii="Times New Roman" w:hAnsi="Times New Roman"/>
                  <w:sz w:val="20"/>
                </w:rPr>
                <w:t>PRINCIPAL SHAREHOLDERS OF CYCLERION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427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39">
              <w:r>
                <w:rPr>
                  <w:rStyle w:val="InternetLink"/>
                  <w:rFonts w:ascii="Times New Roman" w:hAnsi="Times New Roman"/>
                  <w:sz w:val="20"/>
                </w:rPr>
                <w:t>PRINCIPAL STOCKHOLDERS OF KORSANA</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429</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40">
              <w:r>
                <w:rPr>
                  <w:rStyle w:val="InternetLink"/>
                  <w:rFonts w:ascii="Times New Roman" w:hAnsi="Times New Roman"/>
                  <w:sz w:val="20"/>
                </w:rPr>
                <w:t>PRINCIPAL STOCKHOLDERS OF THE COMBINED COMPANY</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433</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41">
              <w:r>
                <w:rPr>
                  <w:rStyle w:val="InternetLink"/>
                  <w:rFonts w:ascii="Times New Roman" w:hAnsi="Times New Roman"/>
                  <w:sz w:val="20"/>
                </w:rPr>
                <w:t>LEGAL MATTERS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437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42">
              <w:r>
                <w:rPr>
                  <w:rStyle w:val="InternetLink"/>
                  <w:rFonts w:ascii="Times New Roman" w:hAnsi="Times New Roman"/>
                  <w:sz w:val="20"/>
                </w:rPr>
                <w:t>EXPERTS</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437</w:t>
            </w:r>
          </w:p>
        </w:tc>
        <w:tc>
          <w:tcPr>
            <w:tcW w:w="63" w:type="dxa"/>
            <w:tcBorders/>
            <w:vAlign w:val="bottom"/>
          </w:tcPr>
          <w:p>
            <w:pPr>
              <w:pStyle w:val="TableContents"/>
              <w:bidi w:val="0"/>
              <w:spacing w:before="0" w:after="283"/>
              <w:jc w:val="left"/>
              <w:rPr/>
            </w:pPr>
            <w:r>
              <w:rPr/>
              <w:t> </w:t>
            </w:r>
          </w:p>
        </w:tc>
      </w:tr>
      <w:tr>
        <w:trPr/>
        <w:tc>
          <w:tcPr>
            <w:tcW w:w="9110" w:type="dxa"/>
            <w:tcBorders/>
            <w:vAlign w:val="bottom"/>
          </w:tcPr>
          <w:p>
            <w:pPr>
              <w:pStyle w:val="TableContents"/>
              <w:bidi w:val="0"/>
              <w:spacing w:before="0" w:after="0"/>
              <w:jc w:val="left"/>
              <w:rPr/>
            </w:pPr>
            <w:hyperlink w:anchor="tx111069_43">
              <w:r>
                <w:rPr>
                  <w:rStyle w:val="InternetLink"/>
                  <w:rFonts w:ascii="Times New Roman" w:hAnsi="Times New Roman"/>
                  <w:sz w:val="20"/>
                </w:rPr>
                <w:t>WHERE YOU CAN FIND MORE INFORMATION</w:t>
              </w:r>
            </w:hyperlink>
          </w:p>
        </w:tc>
        <w:tc>
          <w:tcPr>
            <w:tcW w:w="3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438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198"/>
        <w:gridCol w:w="243"/>
        <w:gridCol w:w="85"/>
        <w:gridCol w:w="617"/>
        <w:gridCol w:w="62"/>
      </w:tblGrid>
      <w:tr>
        <w:trPr/>
        <w:tc>
          <w:tcPr>
            <w:tcW w:w="919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9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44">
              <w:r>
                <w:rPr>
                  <w:rStyle w:val="InternetLink"/>
                  <w:rFonts w:ascii="Times New Roman" w:hAnsi="Times New Roman"/>
                  <w:sz w:val="20"/>
                </w:rPr>
                <w:t>STOCKHOLDER PROPOSALS OR DIRECTOR NOMINATIONS FOR 2027 ANNUAL MEETING</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439</w:t>
            </w:r>
          </w:p>
        </w:tc>
        <w:tc>
          <w:tcPr>
            <w:tcW w:w="62" w:type="dxa"/>
            <w:tcBorders/>
            <w:vAlign w:val="bottom"/>
          </w:tcPr>
          <w:p>
            <w:pPr>
              <w:pStyle w:val="TableContents"/>
              <w:bidi w:val="0"/>
              <w:spacing w:before="0" w:after="283"/>
              <w:jc w:val="left"/>
              <w:rPr/>
            </w:pPr>
            <w:r>
              <w:rPr/>
              <w:t> </w:t>
            </w:r>
          </w:p>
        </w:tc>
      </w:tr>
      <w:tr>
        <w:trPr>
          <w:trHeight w:val="120" w:hRule="atLeast"/>
        </w:trPr>
        <w:tc>
          <w:tcPr>
            <w:tcW w:w="9198" w:type="dxa"/>
            <w:tcBorders/>
            <w:vAlign w:val="center"/>
          </w:tcPr>
          <w:p>
            <w:pPr>
              <w:pStyle w:val="TableContents"/>
              <w:bidi w:val="0"/>
              <w:spacing w:before="0" w:after="283"/>
              <w:jc w:val="left"/>
              <w:rPr>
                <w:sz w:val="4"/>
                <w:szCs w:val="4"/>
              </w:rPr>
            </w:pPr>
            <w:r>
              <w:rPr>
                <w:sz w:val="4"/>
                <w:szCs w:val="4"/>
              </w:rPr>
            </w:r>
          </w:p>
        </w:tc>
        <w:tc>
          <w:tcPr>
            <w:tcW w:w="1007" w:type="dxa"/>
            <w:gridSpan w:val="4"/>
            <w:tcBorders/>
            <w:vAlign w:val="center"/>
          </w:tcPr>
          <w:p>
            <w:pPr>
              <w:pStyle w:val="TableContents"/>
              <w:bidi w:val="0"/>
              <w:spacing w:before="0" w:after="283"/>
              <w:jc w:val="left"/>
              <w:rPr>
                <w:sz w:val="4"/>
                <w:szCs w:val="4"/>
              </w:rPr>
            </w:pPr>
            <w:r>
              <w:rPr>
                <w:sz w:val="4"/>
                <w:szCs w:val="4"/>
              </w:rPr>
            </w:r>
          </w:p>
        </w:tc>
      </w:tr>
      <w:tr>
        <w:trPr/>
        <w:tc>
          <w:tcPr>
            <w:tcW w:w="9198" w:type="dxa"/>
            <w:tcBorders/>
            <w:vAlign w:val="bottom"/>
          </w:tcPr>
          <w:p>
            <w:pPr>
              <w:pStyle w:val="TableContents"/>
              <w:bidi w:val="0"/>
              <w:spacing w:before="0" w:after="0"/>
              <w:jc w:val="left"/>
              <w:rPr/>
            </w:pPr>
            <w:hyperlink w:anchor="tx111069_45">
              <w:r>
                <w:rPr>
                  <w:rStyle w:val="InternetLink"/>
                  <w:rFonts w:ascii="Times New Roman" w:hAnsi="Times New Roman"/>
                  <w:sz w:val="20"/>
                </w:rPr>
                <w:t>INDEX TO FINANCIAL STATEMENTS</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46">
              <w:r>
                <w:rPr>
                  <w:rStyle w:val="InternetLink"/>
                  <w:rFonts w:ascii="Times New Roman" w:hAnsi="Times New Roman"/>
                  <w:sz w:val="20"/>
                </w:rPr>
                <w:t>ANNEX A: AGREEMENT AND PLAN OF MERGER AND REORGANIZATION, AND THE AMENDMENT THERETO</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47">
              <w:r>
                <w:rPr>
                  <w:rStyle w:val="InternetLink"/>
                  <w:rFonts w:ascii="Times New Roman" w:hAnsi="Times New Roman"/>
                  <w:sz w:val="20"/>
                </w:rPr>
                <w:t>ANNEX B: OPINION OF GEMINI VALUATION SERVICES</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48">
              <w:r>
                <w:rPr>
                  <w:rStyle w:val="InternetLink"/>
                  <w:rFonts w:ascii="Times New Roman" w:hAnsi="Times New Roman"/>
                  <w:sz w:val="20"/>
                </w:rPr>
                <w:t>ANNEX C: FORM OF CYCLERION SHAREHOLDER SUPPORT AGREEMENT</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49">
              <w:r>
                <w:rPr>
                  <w:rStyle w:val="InternetLink"/>
                  <w:rFonts w:ascii="Times New Roman" w:hAnsi="Times New Roman"/>
                  <w:sz w:val="20"/>
                </w:rPr>
                <w:t>ANNEX D: FORM OF KORSANA STOCKHOLDER SUPPORT AGREEMENT</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0">
              <w:r>
                <w:rPr>
                  <w:rStyle w:val="InternetLink"/>
                  <w:rFonts w:ascii="Times New Roman" w:hAnsi="Times New Roman"/>
                  <w:sz w:val="20"/>
                </w:rPr>
                <w:t>ANNEX E: FORM OF LOCK-UP AGREEMENT</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1">
              <w:r>
                <w:rPr>
                  <w:rStyle w:val="InternetLink"/>
                  <w:rFonts w:ascii="Times New Roman" w:hAnsi="Times New Roman"/>
                  <w:sz w:val="20"/>
                </w:rPr>
                <w:t>ANNEX F: FORM OF CVR AGREEMENT</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2">
              <w:r>
                <w:rPr>
                  <w:rStyle w:val="InternetLink"/>
                  <w:rFonts w:ascii="Times New Roman" w:hAnsi="Times New Roman"/>
                  <w:sz w:val="20"/>
                </w:rPr>
                <w:t>ANNEX G: FORM OF ARTICLES OF AMENDMENT TO THE RESTATED ARTICLES OF ORGANIZATION OF CYCLERION THERAPEUTICS, INC. TO DESIGNATE SERIES B PREFERRED STOCK</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G-1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3">
              <w:r>
                <w:rPr>
                  <w:rStyle w:val="InternetLink"/>
                  <w:rFonts w:ascii="Times New Roman" w:hAnsi="Times New Roman"/>
                  <w:sz w:val="20"/>
                </w:rPr>
                <w:t>ANNEX H: FORM OF ARTICLES OF AMENDMENT TO THE RESTATED ARTICLES OF ORGANIZATION OF CYCLERION THERAPEUTICS, INC. TO REFLECT INCREASE IN AUTHORIZED SHARES</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H-1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4">
              <w:r>
                <w:rPr>
                  <w:rStyle w:val="InternetLink"/>
                  <w:rFonts w:ascii="Times New Roman" w:hAnsi="Times New Roman"/>
                  <w:sz w:val="20"/>
                </w:rPr>
                <w:t>ANNEX I: FORM OF ARTICLES OF AMENDMENT TO THE RESTATED ARTICLES OF ORGANIZATION OF CYCLERION THERAPEUTICS, INC. TO REFLECT REVERSE STOCK SPLIT</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I-1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5">
              <w:r>
                <w:rPr>
                  <w:rStyle w:val="InternetLink"/>
                  <w:rFonts w:ascii="Times New Roman" w:hAnsi="Times New Roman"/>
                  <w:sz w:val="20"/>
                </w:rPr>
                <w:t>ANNEX J: PLAN OF DOMESTICATION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J-1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6">
              <w:r>
                <w:rPr>
                  <w:rStyle w:val="InternetLink"/>
                  <w:rFonts w:ascii="Times New Roman" w:hAnsi="Times New Roman"/>
                  <w:sz w:val="20"/>
                </w:rPr>
                <w:t>ANNEX K: FORM OF CAYMAN ISLANDS MEMORANDUM AND ARTICLES OF ASSOCIATION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K-1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7">
              <w:r>
                <w:rPr>
                  <w:rStyle w:val="InternetLink"/>
                  <w:rFonts w:ascii="Times New Roman" w:hAnsi="Times New Roman"/>
                  <w:sz w:val="20"/>
                </w:rPr>
                <w:t>ANNEX L: APPRAISAL RIGHTS (SECTION 262 OF THE DELAWARE GENERAL CORPORATION LAW)</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L-1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8">
              <w:r>
                <w:rPr>
                  <w:rStyle w:val="InternetLink"/>
                  <w:rFonts w:ascii="Times New Roman" w:hAnsi="Times New Roman"/>
                  <w:sz w:val="20"/>
                </w:rPr>
                <w:t>ANNEX M: RESOLUTIONS OF THE CYCLERION BOARD FOR THE CAYMAN REDOMESTICATION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M-1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59">
              <w:r>
                <w:rPr>
                  <w:rStyle w:val="InternetLink"/>
                  <w:rFonts w:ascii="Times New Roman" w:hAnsi="Times New Roman"/>
                  <w:sz w:val="20"/>
                </w:rPr>
                <w:t>ANNEX N: CAYMAN ISLANDS SERIES A CERTIFICATE OF DESIGNATION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N-1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60">
              <w:r>
                <w:rPr>
                  <w:rStyle w:val="InternetLink"/>
                  <w:rFonts w:ascii="Times New Roman" w:hAnsi="Times New Roman"/>
                  <w:sz w:val="20"/>
                </w:rPr>
                <w:t>ANNEX O: CAYMAN ISLANDS SERIES B CERTIFICATE OF DESIGNATION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O-1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61">
              <w:r>
                <w:rPr>
                  <w:rStyle w:val="InternetLink"/>
                  <w:rFonts w:ascii="Times New Roman" w:hAnsi="Times New Roman"/>
                  <w:sz w:val="20"/>
                </w:rPr>
                <w:t xml:space="preserve">ANNEX P: FORM OF KORSANA BIOSCIENCES, INC. 2026 STOCK INCENTIVE </w:t>
                <w:br/>
                <w:t>PLAN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P-1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62">
              <w:r>
                <w:rPr>
                  <w:rStyle w:val="InternetLink"/>
                  <w:rFonts w:ascii="Times New Roman" w:hAnsi="Times New Roman"/>
                  <w:sz w:val="20"/>
                </w:rPr>
                <w:t>ANNEX Q: FORM OF KORSANA BIOSCIENCES, INC. 2026 EMPLOYEE STOCK PURCHASE PLAN</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Q-1</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0"/>
              <w:jc w:val="left"/>
              <w:rPr/>
            </w:pPr>
            <w:hyperlink w:anchor="tx111069_63">
              <w:r>
                <w:rPr>
                  <w:rStyle w:val="InternetLink"/>
                  <w:rFonts w:ascii="Times New Roman" w:hAnsi="Times New Roman"/>
                  <w:sz w:val="20"/>
                </w:rPr>
                <w:t>ANNEX R: FORM OF CYCLERION THERAPEUTICS, INC. PROXY CARD</w:t>
              </w:r>
            </w:hyperlink>
          </w:p>
        </w:tc>
        <w:tc>
          <w:tcPr>
            <w:tcW w:w="24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R-1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1069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360" w:after="0"/>
        <w:jc w:val="left"/>
        <w:rPr>
          <w:rFonts w:ascii="Times New Roman" w:hAnsi="Times New Roman"/>
          <w:b/>
          <w:sz w:val="20"/>
        </w:rPr>
      </w:pPr>
      <w:r>
        <w:rPr>
          <w:rFonts w:ascii="Times New Roman" w:hAnsi="Times New Roman"/>
          <w:b/>
          <w:sz w:val="20"/>
        </w:rPr>
        <w:t xml:space="preserve">Q: What is the Merger? </w:t>
      </w:r>
    </w:p>
    <w:p>
      <w:pPr>
        <w:pStyle w:val="TextBody"/>
        <w:bidi w:val="0"/>
        <w:spacing w:before="120" w:after="0"/>
        <w:jc w:val="left"/>
        <w:rPr>
          <w:rFonts w:ascii="Times New Roman" w:hAnsi="Times New Roman"/>
          <w:sz w:val="20"/>
        </w:rPr>
      </w:pPr>
      <w:r>
        <w:rPr>
          <w:rFonts w:ascii="Times New Roman" w:hAnsi="Times New Roman"/>
          <w:sz w:val="20"/>
        </w:rPr>
        <w:t xml:space="preserve">A: On April 1, 2026, Cyclerion, Korsana, First Merger Sub and Second Merger Sub entered into the Merger Agreement, which agreement was subsequently amended on April 17, 2026.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The Merger Agreement contains the terms and conditions of the proposed Merger. Pursuant to the Merger Agreement, First Merger Sub will merge with and into Korsana, with Korsana continuing as a wholly owned subsidiary of Cyclerion and the surviving corporation of the First Merger. Korsana will then merge with and into Second Merger Sub, with Second Merger Sub being the surviving entity of the Second Merger. This entire transaction is referred to in this proxy statement/prospectus as the Merger. In connection with the Merger, Cyclerion will change its corporate name to “Korsana Biosciences, Inc.” </w:t>
      </w:r>
    </w:p>
    <w:p>
      <w:pPr>
        <w:pStyle w:val="TextBody"/>
        <w:bidi w:val="0"/>
        <w:spacing w:before="360" w:after="0"/>
        <w:jc w:val="left"/>
        <w:rPr>
          <w:rFonts w:ascii="Times New Roman" w:hAnsi="Times New Roman"/>
          <w:b/>
          <w:sz w:val="20"/>
        </w:rPr>
      </w:pPr>
      <w:r>
        <w:rPr>
          <w:rFonts w:ascii="Times New Roman" w:hAnsi="Times New Roman"/>
          <w:b/>
          <w:sz w:val="20"/>
        </w:rPr>
        <w:t xml:space="preserve">Q: Why are the two companies proposing to merge? </w:t>
      </w:r>
    </w:p>
    <w:p>
      <w:pPr>
        <w:pStyle w:val="TextBody"/>
        <w:bidi w:val="0"/>
        <w:spacing w:before="120" w:after="0"/>
        <w:jc w:val="left"/>
        <w:rPr>
          <w:rFonts w:ascii="Times New Roman" w:hAnsi="Times New Roman"/>
          <w:sz w:val="20"/>
        </w:rPr>
      </w:pPr>
      <w:r>
        <w:rPr>
          <w:rFonts w:ascii="Times New Roman" w:hAnsi="Times New Roman"/>
          <w:sz w:val="20"/>
        </w:rPr>
        <w:t>A: Cyclerion and Korsana believe that combining the two companies will result in a company with a promising pipeline, a strong leadership team and substantial capital resources, focused on developing novel therapies to reduce the burden of neurodegenerative diseases. For a more complete description of the reasons for the Merger, please see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Reasons for the Merger</w:t>
      </w:r>
      <w:r>
        <w:rPr>
          <w:rFonts w:ascii="Times New Roman" w:hAnsi="Times New Roman"/>
          <w:sz w:val="20"/>
        </w:rPr>
        <w:t>” and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w:t>
      </w:r>
      <w:r>
        <w:rPr>
          <w:rFonts w:ascii="Times New Roman" w:hAnsi="Times New Roman"/>
          <w:i/>
          <w:sz w:val="20"/>
        </w:rPr>
        <w:t>s Reasons for the Merger</w:t>
      </w:r>
      <w:r>
        <w:rPr>
          <w:rFonts w:ascii="Times New Roman" w:hAnsi="Times New Roman"/>
          <w:sz w:val="20"/>
        </w:rPr>
        <w:t xml:space="preserve">” beginning on pages 142 and 146,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Cyclerion if, for any reason, the Merger does not close? </w:t>
      </w:r>
    </w:p>
    <w:p>
      <w:pPr>
        <w:pStyle w:val="TextBody"/>
        <w:bidi w:val="0"/>
        <w:spacing w:before="120" w:after="0"/>
        <w:jc w:val="left"/>
        <w:rPr>
          <w:rFonts w:ascii="Times New Roman" w:hAnsi="Times New Roman"/>
          <w:sz w:val="20"/>
        </w:rPr>
      </w:pPr>
      <w:r>
        <w:rPr>
          <w:rFonts w:ascii="Times New Roman" w:hAnsi="Times New Roman"/>
          <w:sz w:val="20"/>
        </w:rPr>
        <w:t xml:space="preserve">A: Cyclerion has invested significant time and incurred, and expects to continue to incur, significant expenses related to the proposed Merger. In the event the Merger does not close, Cyclerion will have a limited ability to continue its current operations without obtaining additional financing. Although the Cyclerion Board may elect, among other things, to attempt to complete another strategic transaction if the Merger does not close, the Cyclerion Board may instead divest all or a portion of Cyclerion’s business or take steps necessary to liquidate or dissolve Cyclerion’s business and assets if a viable alternative strategic transaction is not available. If Cyclerion decides to dissolve and liquidate its assets, Cyclerion would be required to pay all of its contractual obligations, and to set aside certain reserves for potential future claims, and there can be no assurance as to the amount of and the timing of such liquidation and distribution of available cash left to distribute to shareholders after paying the obligations of Cyclerion and setting aside funds for reserves. </w:t>
      </w:r>
    </w:p>
    <w:p>
      <w:pPr>
        <w:pStyle w:val="TextBody"/>
        <w:bidi w:val="0"/>
        <w:spacing w:before="360" w:after="0"/>
        <w:jc w:val="left"/>
        <w:rPr>
          <w:rFonts w:ascii="Times New Roman" w:hAnsi="Times New Roman"/>
          <w:b/>
          <w:sz w:val="20"/>
        </w:rPr>
      </w:pPr>
      <w:r>
        <w:rPr>
          <w:rFonts w:ascii="Times New Roman" w:hAnsi="Times New Roman"/>
          <w:b/>
          <w:sz w:val="20"/>
        </w:rPr>
        <w:t xml:space="preserve">Q: Why am I receiving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A: You are receiving this proxy statement/prospectus because you have been identified as a shareholder of Cyclerion as of the applicable Record Date, and you are entitled to vote to approve the matters set forth herein. This document serves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Cyclerion used to solicit proxies for the Cyclerion Shareholders Meeting to vote on the matters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Cyclerion used to offer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report of Cyclerion provided in connection with the special meeting in lieu of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is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the Merger, Korsana entered into the Securities Purchase Agreement with certain investors named therein, including, among others, Fairmount, Venrock Healthcare Capital Partners,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pursuant to which such investors agreed to purchase shares of Korsana Common Stock and Korsana Pre-Funded Warrants for an aggregate purchase price of approximately $380.0 million. Shares of Korsana Common Stock and Korsana Pre-Funded Warrants issued pursuant to this financing transaction will be converted into shares of Cyclerion Common Stock and Cyclerion Pre-Funded Warrants,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the shares of Korsana Common Stock and Korsana Pre-Funded Warrants issued in the Korsana Pre-Closing Financing are expected to represent approximately 53.4% of the outstanding shares of common stock of the Combined Company (on a fully-diluted basis).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The closing of the Korsana Pre-Closing Financing is conditioned upon the satisfaction or waiver of the conditions to the closing of the Merger as well as certain other conditions.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Korsana Pre-Closing Financing, please see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and “— </w:t>
      </w:r>
      <w:r>
        <w:rPr>
          <w:rFonts w:ascii="Times New Roman" w:hAnsi="Times New Roman"/>
          <w:i/>
          <w:sz w:val="20"/>
        </w:rPr>
        <w:t>Registration Rights Agreement</w:t>
      </w:r>
      <w:r>
        <w:rPr>
          <w:rFonts w:ascii="Times New Roman" w:hAnsi="Times New Roman"/>
          <w:sz w:val="20"/>
        </w:rPr>
        <w:t xml:space="preserve">” beginning on pages 188 and 190 of this proxy statement/prospectus,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will be voted on at the Cyclerion Shareholders Meeting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A: Pursuant to the terms of the Merger Agreement, the following proposals must be approved by the requisite shareholder vote at the Cyclerion Shareholders Meeting in order for the Merger to close: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Nasdaq Stock Issuance Proposal</w:t>
      </w:r>
      <w:r>
        <w:rPr>
          <w:rFonts w:ascii="Times New Roman" w:hAnsi="Times New Roman"/>
          <w:sz w:val="20"/>
        </w:rPr>
        <w:t xml:space="preserve"> to approve (i) the issuance of shares of Cyclerion Common Stock, including the shares of Cyclerion Common Stock issuable upon conversion of Cyclerion Series B Preferred Stock, which will represent more than 20% of the shares of Cyclerion Common Stock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Authorized Share Increase Proposal</w:t>
      </w:r>
      <w:r>
        <w:rPr>
          <w:rFonts w:ascii="Times New Roman" w:hAnsi="Times New Roman"/>
          <w:sz w:val="20"/>
        </w:rPr>
        <w:t xml:space="preserve"> to approve an amendment to the Cyclerion Articles to increase the number of shares of Cyclerion Common Stock that Cyclerion is authorized to issue from 400,000,000 to 700,000,000, in the form attached as </w:t>
      </w:r>
      <w:r>
        <w:rPr>
          <w:rFonts w:ascii="Times New Roman" w:hAnsi="Times New Roman"/>
          <w:i/>
          <w:sz w:val="20"/>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Reverse Stock Split Proposal</w:t>
      </w:r>
      <w:r>
        <w:rPr>
          <w:rFonts w:ascii="Times New Roman" w:hAnsi="Times New Roman"/>
          <w:sz w:val="20"/>
        </w:rPr>
        <w:t xml:space="preserve"> to approve an amendment to the Cyclerion Articles to effect a reverse stock split of Cyclerion’s issued and outstanding common stock at a ratio in the range of one new share for every two shares and one new share for every ten shares (or any number in between),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in the form attached as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Redomestication Proposal</w:t>
      </w:r>
      <w:r>
        <w:rPr>
          <w:rFonts w:ascii="Times New Roman" w:hAnsi="Times New Roman"/>
          <w:sz w:val="20"/>
        </w:rPr>
        <w:t xml:space="preserve">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Nos. 1, 2, and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In addition to the requirement of obtaining Cyclerion shareholder approval of Proposal Nos. 1, 2, and 3, the closing of the Merger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are to be voted on at the Cyclerion Shareholders Meeting, other than the Nasdaq Stock Issuance Proposal, the Reverse Stock Split Proposal and the Authorized Share Increase Proposal? </w:t>
      </w:r>
    </w:p>
    <w:p>
      <w:pPr>
        <w:pStyle w:val="TextBody"/>
        <w:bidi w:val="0"/>
        <w:spacing w:before="120" w:after="0"/>
        <w:jc w:val="left"/>
        <w:rPr>
          <w:rFonts w:ascii="Times New Roman" w:hAnsi="Times New Roman"/>
          <w:sz w:val="20"/>
        </w:rPr>
      </w:pPr>
      <w:r>
        <w:rPr>
          <w:rFonts w:ascii="Times New Roman" w:hAnsi="Times New Roman"/>
          <w:sz w:val="20"/>
        </w:rPr>
        <w:t xml:space="preserve">A: At the Cyclerion Shareholders Meeting, the holders of Cyclerion Common Stock will also be asked to consider the following proposals: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Director Election Proposal</w:t>
      </w:r>
      <w:r>
        <w:rPr>
          <w:rFonts w:ascii="Times New Roman" w:hAnsi="Times New Roman"/>
          <w:sz w:val="20"/>
        </w:rPr>
        <w:t xml:space="preserve"> to elect Errol B. De Souza, Ph.D., Regina M. Graul, Ph.D., Peter M. Hecht, Ph.D., Michael Higgins, Steven E. Hyman, M.D., and Dina Katabi, Ph.D., to serve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Cyclerion’s 2027 annual meeting of shareholders, or until his or her successor has been duly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Auditor Ratification Proposal</w:t>
      </w:r>
      <w:r>
        <w:rPr>
          <w:rFonts w:ascii="Times New Roman" w:hAnsi="Times New Roman"/>
          <w:sz w:val="20"/>
        </w:rPr>
        <w:t xml:space="preserve"> to ratify the selection of Ernst &amp; Young LLP as Cyclerion’s independent registered public accounting firm for the fiscal year ending December 31, 2026;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7</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Stock Plan Proposal</w:t>
      </w:r>
      <w:r>
        <w:rPr>
          <w:rFonts w:ascii="Times New Roman" w:hAnsi="Times New Roman"/>
          <w:sz w:val="20"/>
        </w:rPr>
        <w:t xml:space="preserve"> to approve the Korsana Biosciences, Inc. 2026 Stock Incentive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8</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ESPP Proposal</w:t>
      </w:r>
      <w:r>
        <w:rPr>
          <w:rFonts w:ascii="Times New Roman" w:hAnsi="Times New Roman"/>
          <w:sz w:val="20"/>
        </w:rPr>
        <w:t xml:space="preserve"> to approve the Korsana Biosciences, Inc. 2026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9</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Merger Compensation Proposal</w:t>
      </w:r>
      <w:r>
        <w:rPr>
          <w:rFonts w:ascii="Times New Roman" w:hAnsi="Times New Roman"/>
          <w:sz w:val="20"/>
        </w:rPr>
        <w:t xml:space="preserve"> to approve, on an advisory basis, certain compensation arrangements for Cyclerion’s named executive officers that are based on or otherwise relate to the Merger;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10 – The Say-on-Pay Proposal</w:t>
      </w:r>
      <w:r>
        <w:rPr>
          <w:rFonts w:ascii="Times New Roman" w:hAnsi="Times New Roman"/>
          <w:sz w:val="20"/>
        </w:rPr>
        <w:t xml:space="preserve"> to approve, on an advisory basis, the compensation of Cyclerion’s named executive officers; and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Adjournment Proposal</w:t>
      </w:r>
      <w:r>
        <w:rPr>
          <w:rFonts w:ascii="Times New Roman" w:hAnsi="Times New Roman"/>
          <w:sz w:val="20"/>
        </w:rPr>
        <w:t xml:space="preserve"> to approve an adjournment of the Cyclerion Shareholders Meeting, if necessary, to solicit additional proxies if there is not a sufficient number of votes in favor of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approvals of Proposal Nos. 4A, 4B, 5, 6, 7, 8, 9, 10, and 11 are not a condition to the Merger. However, the implementation of Proposal Nos. 7, 8, and 9 are conditioned on the consummation of the Merger. Cyclerion does not expect that any matter other than the Proposals will be brought before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purpose of approving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shareholder votes are required to approve the Proposals at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A: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Cyclerion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prior to the First Effective Time, Cyclerion and the designated rights agent (“Rights Agent”) are expected to enter into a Contingent Value Rights Agreement (the “Cyclerion CVR Agreement”), pursuant to which holders of Cyclerion Common Stock and Cyclerion Series A Preferred Stock as of the close of business on the last business day prior to the day on which the First Effective Time occurs will receive one contingent value right (each, a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(the “Cyclerion Legacy Assets”), net of any indemnity obligations, transaction costs and certain other expenses, during the period beginning on the date of the closing of the Merger and ending (i) with respect to the sale, transfer, license or other disposition of Cyclerion Legacy Assets other than those Cyclerion Legacy Assets described in the following clauses (ii) and (iii), upon the second (2nd) anniversary of the Closing Date, (ii) with respect to Cyclerion’s right to receive payments under that License Agreement, dated June 3, 2021, between Cyclerion and Akebia Therapeutics, Inc.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Therapeutics Holdings, Inc. (“Tisento”) beneficially owned by Cyclerion,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$50,000 (the “CVR Expense Cap”) for costs and expenses associated with the retention of an employee or consultant of Cyclerion for the purpose of business development efforts related to Cyclerion Legacy Assets and related activities, including seeking and negotiating and, with the prior written consent of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Cyclerion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 Each share of Cyclerion Common Stock and Cyclerion Series A Preferred Stock that is issued and outstanding at the First Effective Time of the Merger will remain issued and outstanding and such shares, subject to the proposed reverse stock split, will be unaffected by the Merger. Prior to the First Effective Time, the Cyclerion Board will accelerate the vesting of all Cyclerion Options and Cyclerion RSAs. Each outstanding Cyclerion Option with an exercise price less than or equal to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the Combined Company on a fully-diluted basis, former Korsana securityholders, excluding holders of Korsana Common Stock and Korsana Pre-Funded Warrants purchased in the Korsana Pre-Closing Financing, are expected to own approximately 45.5% of the outstanding shares of the Combined Company on a fully-diluted basis, and Korsana Common Stock and Korsana Pre-Funded Warrants issued in the Korsana Pre-Closing Financing are expected to represent approximately 53.4% of the outstanding shares of capital stock of the Combined Company on a fully-diluted basis, subject to certain assumptions, including, but not limited to, Cyclerion’s Net Cash as of Closing being $(2.5) million.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Cyclerion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168, 169 and 32,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Korsana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A: 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any shares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xml:space="preserve">” beginning on page 169 of this proxy statement/ 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Korsana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beginning on pages 168 and 169 of this proxy statement/prospectus. For a description of the effect of the Korsana Pre-Closing Financing on Korsana’s current securityholders, please see the section titled “</w:t>
      </w:r>
      <w:r>
        <w:rPr>
          <w:rFonts w:ascii="Times New Roman" w:hAnsi="Times New Roman"/>
          <w:i/>
          <w:sz w:val="20"/>
        </w:rPr>
        <w:t>Agreements Related to the Merger</w:t>
      </w:r>
      <w:r>
        <w:rPr>
          <w:rFonts w:ascii="Times New Roman" w:hAnsi="Times New Roman"/>
          <w:sz w:val="20"/>
        </w:rPr>
        <w:t> — </w:t>
      </w:r>
      <w:r>
        <w:rPr>
          <w:rFonts w:ascii="Times New Roman" w:hAnsi="Times New Roman"/>
          <w:i/>
          <w:sz w:val="20"/>
        </w:rPr>
        <w:t>Securities Purchase Agreement</w:t>
      </w:r>
      <w:r>
        <w:rPr>
          <w:rFonts w:ascii="Times New Roman" w:hAnsi="Times New Roman"/>
          <w:sz w:val="20"/>
        </w:rPr>
        <w:t xml:space="preserve">” beginning on page 188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Will the common stock of the Combined Company trade on an exchange? </w:t>
      </w:r>
    </w:p>
    <w:p>
      <w:pPr>
        <w:pStyle w:val="TextBody"/>
        <w:bidi w:val="0"/>
        <w:spacing w:before="120" w:after="0"/>
        <w:jc w:val="left"/>
        <w:rPr>
          <w:rFonts w:ascii="Times New Roman" w:hAnsi="Times New Roman"/>
          <w:sz w:val="20"/>
        </w:rPr>
      </w:pPr>
      <w:r>
        <w:rPr>
          <w:rFonts w:ascii="Times New Roman" w:hAnsi="Times New Roman"/>
          <w:sz w:val="20"/>
        </w:rPr>
        <w:t xml:space="preserve">A: Shares of Cyclerion Common Stock are currently listed on Nasdaq under the symbol “CYCN.” </w:t>
      </w:r>
    </w:p>
    <w:p>
      <w:pPr>
        <w:pStyle w:val="TextBody"/>
        <w:bidi w:val="0"/>
        <w:spacing w:before="24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w:t>
      </w:r>
      <w:r>
        <w:rPr>
          <w:rFonts w:ascii="Times New Roman" w:hAnsi="Times New Roman"/>
          <w:i/>
          <w:sz w:val="20"/>
        </w:rPr>
        <w:t>-</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the last trading day before the date of this proxy statement/prospectus, the closing sale price of Cyclerion Common Stock was $3.62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Q: Who will be the directors of the Combined Company immediately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 Immediately following the Merger, the Combined Company’s board of directors will be composed of six members, all six of whom will have been designated by Korsana.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First Effective Time, the Cyclerion Board will appoint the following Korsana designees: Andrew Gottesdiener, Heidi Henson, Tomas Kiselak, Michelle Pernice, Nimish Shah, and Dr. Jonathan Violin to the board of directors of the Combined Company, and concurrent therewith all of Cyclerion’s current directors will resign from their positions as directors of the Cyclerion Board effective as of the First Effective Time. Mr. Kiselak is expected to be appointed as Chair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If the Cayman Redomestication is effected, the Combined Company will have a staggered structure of three classes following the completion of the Merger. See the section titled “</w:t>
      </w:r>
      <w:r>
        <w:rPr>
          <w:rFonts w:ascii="Times New Roman" w:hAnsi="Times New Roman"/>
          <w:i/>
          <w:sz w:val="20"/>
        </w:rPr>
        <w:t>Management Following the Merger</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Who will be the executive officers of the Combined Company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 Immediately following the Merger, the executive management team of the Combined Company is expected to consist of the following members of the Korsana executive management team: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5205" w:type="dxa"/>
            <w:tcBorders/>
          </w:tcPr>
          <w:p>
            <w:pPr>
              <w:pStyle w:val="TableContents"/>
              <w:bidi w:val="0"/>
              <w:spacing w:before="0" w:after="283"/>
              <w:jc w:val="left"/>
              <w:rPr/>
            </w:pPr>
            <w:r>
              <w:rPr/>
              <w:t>Jonathan Violin, Ph.D.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Chief Executive Officer and President</w:t>
            </w:r>
          </w:p>
        </w:tc>
      </w:tr>
      <w:tr>
        <w:trPr/>
        <w:tc>
          <w:tcPr>
            <w:tcW w:w="5205" w:type="dxa"/>
            <w:tcBorders/>
          </w:tcPr>
          <w:p>
            <w:pPr>
              <w:pStyle w:val="TableContents"/>
              <w:bidi w:val="0"/>
              <w:spacing w:before="0" w:after="283"/>
              <w:jc w:val="left"/>
              <w:rPr/>
            </w:pPr>
            <w:r>
              <w:rPr/>
              <w:t>Mark Vignola, Ph.D.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Chief Financial Officer</w:t>
            </w:r>
          </w:p>
        </w:tc>
      </w:tr>
      <w:tr>
        <w:trPr/>
        <w:tc>
          <w:tcPr>
            <w:tcW w:w="5205" w:type="dxa"/>
            <w:tcBorders/>
          </w:tcPr>
          <w:p>
            <w:pPr>
              <w:pStyle w:val="TableContents"/>
              <w:bidi w:val="0"/>
              <w:spacing w:before="0" w:after="283"/>
              <w:jc w:val="left"/>
              <w:rPr/>
            </w:pPr>
            <w:r>
              <w:rPr/>
              <w:t>Madelyn Zeylikman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General Counsel and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As a Cyclerion shareholder, how does the Cyclerion Board recommend that I vote? </w:t>
      </w:r>
    </w:p>
    <w:p>
      <w:pPr>
        <w:pStyle w:val="TextBody"/>
        <w:bidi w:val="0"/>
        <w:spacing w:before="120" w:after="0"/>
        <w:jc w:val="left"/>
        <w:rPr>
          <w:rFonts w:ascii="Times New Roman" w:hAnsi="Times New Roman"/>
          <w:sz w:val="20"/>
        </w:rPr>
      </w:pPr>
      <w:r>
        <w:rPr>
          <w:rFonts w:ascii="Times New Roman" w:hAnsi="Times New Roman"/>
          <w:sz w:val="20"/>
        </w:rPr>
        <w:t>A: The Cyclerion Board,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Cyclerion and its shareholders; (ii) approved and declared advisable the Merger Agreement and the related transactions contemplated by the Merger Agreement and approved the issuance of shares of Cyclerion Common Stock, including shares of Cyclerion Common Stock issuable upon conversion of Cyclerion Series B Preferred Stock, in connection with the Merger and the Korsana Pre-Closing Financing, respectively; and (iii) recommends that Cyclerion’s shareholders vote “</w:t>
      </w:r>
      <w:r>
        <w:rPr>
          <w:rFonts w:ascii="Times New Roman" w:hAnsi="Times New Roman"/>
          <w:b/>
          <w:sz w:val="20"/>
        </w:rPr>
        <w:t>FOR</w:t>
      </w:r>
      <w:r>
        <w:rPr>
          <w:rFonts w:ascii="Times New Roman" w:hAnsi="Times New Roman"/>
          <w:sz w:val="20"/>
        </w:rPr>
        <w:t xml:space="preserve">”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risks should I consider in deciding whether to vote in favor of the Merger? </w:t>
      </w:r>
    </w:p>
    <w:p>
      <w:pPr>
        <w:pStyle w:val="TextBody"/>
        <w:bidi w:val="0"/>
        <w:spacing w:before="120" w:after="0"/>
        <w:jc w:val="left"/>
        <w:rPr>
          <w:rFonts w:ascii="Times New Roman" w:hAnsi="Times New Roman"/>
          <w:sz w:val="20"/>
        </w:rPr>
      </w:pPr>
      <w:r>
        <w:rPr>
          <w:rFonts w:ascii="Times New Roman" w:hAnsi="Times New Roman"/>
          <w:sz w:val="20"/>
        </w:rPr>
        <w:t>A: You should carefully review the section titled “</w:t>
      </w:r>
      <w:r>
        <w:rPr>
          <w:rFonts w:ascii="Times New Roman" w:hAnsi="Times New Roman"/>
          <w:i/>
          <w:sz w:val="20"/>
        </w:rPr>
        <w:t>Risk Factors</w:t>
      </w:r>
      <w:r>
        <w:rPr>
          <w:rFonts w:ascii="Times New Roman" w:hAnsi="Times New Roman"/>
          <w:sz w:val="20"/>
        </w:rPr>
        <w:t xml:space="preserve">” beginning on page 33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Cyclerion and Korsana, as independent companies, are subject. </w:t>
      </w:r>
    </w:p>
    <w:p>
      <w:pPr>
        <w:pStyle w:val="TextBody"/>
        <w:bidi w:val="0"/>
        <w:spacing w:before="360" w:after="0"/>
        <w:jc w:val="left"/>
        <w:rPr>
          <w:rFonts w:ascii="Times New Roman" w:hAnsi="Times New Roman"/>
          <w:b/>
          <w:sz w:val="20"/>
        </w:rPr>
      </w:pPr>
      <w:r>
        <w:rPr>
          <w:rFonts w:ascii="Times New Roman" w:hAnsi="Times New Roman"/>
          <w:b/>
          <w:sz w:val="20"/>
        </w:rPr>
        <w:t xml:space="preserve">Q: When do you expect the Merger to be consummated? </w:t>
      </w:r>
    </w:p>
    <w:p>
      <w:pPr>
        <w:pStyle w:val="TextBody"/>
        <w:bidi w:val="0"/>
        <w:spacing w:before="120" w:after="0"/>
        <w:jc w:val="left"/>
        <w:rPr>
          <w:rFonts w:ascii="Times New Roman" w:hAnsi="Times New Roman"/>
          <w:sz w:val="20"/>
        </w:rPr>
      </w:pPr>
      <w:r>
        <w:rPr>
          <w:rFonts w:ascii="Times New Roman" w:hAnsi="Times New Roman"/>
          <w:sz w:val="20"/>
        </w:rPr>
        <w:t>A: The Merger is anticipated to close in the third quarter of 2026, but the exact timing cannot be predicted. For more information,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Why is Cyclerion seeking approval for the redomestication to the Cayman Islands (the “Cayman Redomestication”)? </w:t>
      </w:r>
    </w:p>
    <w:p>
      <w:pPr>
        <w:pStyle w:val="TextBody"/>
        <w:bidi w:val="0"/>
        <w:spacing w:before="120" w:after="0"/>
        <w:jc w:val="left"/>
        <w:rPr>
          <w:rFonts w:ascii="Times New Roman" w:hAnsi="Times New Roman"/>
          <w:sz w:val="20"/>
        </w:rPr>
      </w:pPr>
      <w:r>
        <w:rPr>
          <w:rFonts w:ascii="Times New Roman" w:hAnsi="Times New Roman"/>
          <w:sz w:val="20"/>
        </w:rPr>
        <w:t>A: The Cyclerion and Korsana boards of directors believe that there are several reasons why the Cayman Redomestication is in the best interests of Cyclerion and Cyclerion’s shareholders. The Cyclerion Board believes the Cayman Redomestication may help the Combined Company attract and retain qualified management by reducing the risk of lawsuits being filed against the Combined Company and its directors and officers. Cyclerion and Korsana believe that for the reasons described in this proxy statement/prospectus, in general, Cayman Islands law will provide greater protection to the Combined Company and its directors and officers than Massachusetts law. Additionally, the Cyclerion Board believes that the Cayman Redomestication will give the Combined Company more flexibility and predictability in various corporation transactions. For more information,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Q: How will the Cayman Redomestication affect the rights of the Combined Company’s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Your rights as a shareholder currently are governed by Massachusetts law and the provisions of the restated articles of organization of Cyclerion, and Cyclerion’s amended and restated bylaws. As a result of the Cayman Redomestication, you will become a shareholder of the Combined Company with rights governed by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Islands law and the provisions of the Cayman Articles, in the form attached as </w:t>
      </w:r>
      <w:r>
        <w:rPr>
          <w:rFonts w:ascii="Times New Roman" w:hAnsi="Times New Roman"/>
          <w:i/>
          <w:sz w:val="20"/>
        </w:rPr>
        <w:t>Annex K</w:t>
      </w:r>
      <w:r>
        <w:rPr>
          <w:rFonts w:ascii="Times New Roman" w:hAnsi="Times New Roman"/>
          <w:sz w:val="20"/>
        </w:rPr>
        <w:t xml:space="preserve"> to this proxy statement/prospectus, which differ in certain respects from your current rights. These important differences are discussed and summarized in this proxy statement/prospectus under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 Corporation 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Cayman Redomestication to the Combined Company’s stockholders?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beginning on page 260 of this proxy statement/prospectus, Cyclerion intends that the Cayman Redomestication qualify as a “reorganization” within the meaning of Section 368(a) of the Code. As a result, a U.S. Holder (as defined therein) of the Combined Company stock (as defined therein) will not recognize gain or loss upon the Cayman Redomestication. For a more detailed discussion of the U.S. federal income tax considerations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beginning on page 260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 I need to do now? </w:t>
      </w:r>
    </w:p>
    <w:p>
      <w:pPr>
        <w:pStyle w:val="TextBody"/>
        <w:bidi w:val="0"/>
        <w:spacing w:before="120" w:after="0"/>
        <w:jc w:val="left"/>
        <w:rPr>
          <w:rFonts w:ascii="Times New Roman" w:hAnsi="Times New Roman"/>
          <w:sz w:val="20"/>
        </w:rPr>
      </w:pPr>
      <w:r>
        <w:rPr>
          <w:rFonts w:ascii="Times New Roman" w:hAnsi="Times New Roman"/>
          <w:sz w:val="20"/>
        </w:rPr>
        <w:t xml:space="preserve">A: Cyclerion urges you to read this proxy statement/prospectus carefully, including the annexes and the documents incorporated by reference, and to consider how the Merger affects you.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vote by proxy over the telephone, vote by proxy through the Internet or vote by proxy using a proxy card that you may request or that we may elect to deliver at a later time, the form of which is attached as </w:t>
      </w:r>
      <w:r>
        <w:rPr>
          <w:rFonts w:ascii="Times New Roman" w:hAnsi="Times New Roman"/>
          <w:i/>
          <w:sz w:val="20"/>
        </w:rPr>
        <w:t xml:space="preserve">Annex R </w:t>
      </w:r>
      <w:r>
        <w:rPr>
          <w:rFonts w:ascii="Times New Roman" w:hAnsi="Times New Roman"/>
          <w:sz w:val="20"/>
        </w:rPr>
        <w:t xml:space="preserve">to this proxy statement/prospectus. Whether or not you plan to attend the Cyclerion Shareholders Meeting, we urge you to vote by proxy to ensure your vote is counted. You may still attend the meeting and vote even if you have already voted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attend the Cyclerion Shareholders Meeting via the Internet and vote during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us before the Cyclerion Shareholders Meeting, we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found on the Notice. Your vote must be received by August 25, 2026 at 11:59 p.m. Eastern Time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www.proxyvote.com</w:t>
            </w:r>
            <w:r>
              <w:rPr>
                <w:rFonts w:ascii="Times New Roman" w:hAnsi="Times New Roman"/>
                <w:sz w:val="20"/>
              </w:rPr>
              <w:t xml:space="preserve"> to complete an electronic proxy card. You will be asked to provide the company number and control number from the Notice. Your vote must be received by August 25, 2026 at 11:59 p.m. Eastern Time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rather than from Cyclerion. Simply follow the voting instructions in the Notice to ensure that your vote is counted. You may vote by telephone or over the Internet as instructed by your broker or bank. To vote at the Cyclerion Shareholders Meeting, you must obtain a valid proxy from your broker, bank, or other agent. Follow the instructions from your broker or bank included with these proxy materials, or contact your broker or bank to request a proxy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A: If you return a signed and dated proxy card or otherwise vote without marking voting selections, your shares will be voted, as applicable, “For” the Nasdaq Stock Issuance Proposal, “For” the Authorized Share Proposal, “For” the Reverse Stock Split Proposal, “For” the Redomestication Proposal, “For” the Director Election Proposal, “For” the Auditor Ratification Proposal, “For” the Stock Plan Proposal, “For” the ESPP Proposal, “For” the Merger Compensation Proposal, “For” the Say-on-Pay Proposal and “For” the Adjournment Proposal. If any other matter is properly presented at the meeting, your proxy 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I do not return a proxy card or otherwise vote or provide proxy instructions,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If you are a shareholder of record and fail to return your proxy card or otherwise vote, your shares will not be voted. If you are a beneficial owner of Cyclerion Common Stock and fail to provide proxy instructions, your shares will not be voted on non-routine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Q: If my Cyclerion shares are held in “street name” by my broker and I do not provide my broker or bank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Cyclerion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Cyclerion urges you to direct your broker, bank or other agent how to vote your shares on all proposals to ensure that your vote is counted.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broker non-votes and do they count for determining a quorum? </w:t>
      </w:r>
    </w:p>
    <w:p>
      <w:pPr>
        <w:pStyle w:val="TextBody"/>
        <w:bidi w:val="0"/>
        <w:spacing w:before="120" w:after="0"/>
        <w:jc w:val="left"/>
        <w:rPr>
          <w:rFonts w:ascii="Times New Roman" w:hAnsi="Times New Roman"/>
          <w:sz w:val="20"/>
        </w:rPr>
      </w:pPr>
      <w:r>
        <w:rPr>
          <w:rFonts w:ascii="Times New Roman" w:hAnsi="Times New Roman"/>
          <w:sz w:val="20"/>
        </w:rPr>
        <w:t xml:space="preserve">A: Generally, a “broker non-vote” occurs when shares held by a broker are not voted with respect to a particular proposal because the broker has not received voting instructions from its client(s) with respect to such shares on how to vote and does not have discretionary authority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Cyclerion Shareholders Meeting. Broker non-votes, if any, will have no effect on Proposal Nos. 1, 4B, 5, 6, 7, 8, 9, 10, and 11 and will have the same effect as a vote “AGAINST” Proposal Nos. 2, 3, and 4A. </w:t>
      </w:r>
    </w:p>
    <w:p>
      <w:pPr>
        <w:pStyle w:val="TextBody"/>
        <w:bidi w:val="0"/>
        <w:spacing w:before="360" w:after="0"/>
        <w:jc w:val="left"/>
        <w:rPr>
          <w:rFonts w:ascii="Times New Roman" w:hAnsi="Times New Roman"/>
          <w:b/>
          <w:sz w:val="20"/>
        </w:rPr>
      </w:pPr>
      <w:r>
        <w:rPr>
          <w:rFonts w:ascii="Times New Roman" w:hAnsi="Times New Roman"/>
          <w:b/>
          <w:sz w:val="20"/>
        </w:rPr>
        <w:t xml:space="preserve">Q: May I revoke and/or change my vote after I have submitted a proxy or provided proxy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Cyclerion shareholder of record, unless such shareholder’s vote is subject to a support agreement, may revoke and/or change their vote at any time before their proxy is voted at the Cyclerion Shareholders Meeting in one of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Cyclerion Shareholders Meeting and vote during the meeting. Simply attending the Cyclerion Shareholders Meeting will not, by itself, revoke your proxy and/or change your vote.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considerations of the Merger to a U.S. Holder of Korsana Common Stock and Korsana Preferred Stock?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beginning on page 161 of this proxy statement/prospectus, each of Cyclerion and Korsana intend that the Merger qualify as a “reorganization” within the meaning of Section 368(a) of the Internal Revenue Code of 1986, as amended (the “Code”) for U.S. federal income tax purposes.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xml:space="preserve">” beginning on page 161.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consequences of the issuance of the Cyclerion CVRs, including any distributions of Cyclerion capital stock under the Cyclerion CVRs? </w:t>
      </w:r>
    </w:p>
    <w:p>
      <w:pPr>
        <w:pStyle w:val="TextBody"/>
        <w:bidi w:val="0"/>
        <w:spacing w:before="120" w:after="0"/>
        <w:jc w:val="left"/>
        <w:rPr>
          <w:rFonts w:ascii="Times New Roman" w:hAnsi="Times New Roman"/>
          <w:sz w:val="20"/>
        </w:rPr>
      </w:pPr>
      <w:r>
        <w:rPr>
          <w:rFonts w:ascii="Times New Roman" w:hAnsi="Times New Roman"/>
          <w:sz w:val="20"/>
        </w:rPr>
        <w:t>A: Although the U.S. federal income tax treatment of the Cyclerion CVRs is uncertain and the matter is not free from doubt, the Combined Company intends to treat a holder’s receipt of the Cyclerion CVRs as a distribution of property with respect to the holder’s existing shares of Cyclerion capital stock for U.S. federal income tax purposes. Please review the information in the section titled “</w:t>
      </w:r>
      <w:r>
        <w:rPr>
          <w:rFonts w:ascii="Times New Roman" w:hAnsi="Times New Roman"/>
          <w:i/>
          <w:sz w:val="20"/>
        </w:rPr>
        <w:t>Agreements Related to the Merger—Cyclerion CVR Agreement—Material U.S. Federal Income Tax Consequences of the Cyclerion CVRs to Holders of Cyclerion Capital Stock</w:t>
      </w:r>
      <w:r>
        <w:rPr>
          <w:rFonts w:ascii="Times New Roman" w:hAnsi="Times New Roman"/>
          <w:sz w:val="20"/>
        </w:rPr>
        <w:t xml:space="preserve">” for a discussion of the material U.S. federal income tax consequences of the Cyclerion CVRs to holders of Cyclerion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reverse stock split to a U.S. Holder of Cyclerion Common Stock? </w:t>
      </w:r>
    </w:p>
    <w:p>
      <w:pPr>
        <w:pStyle w:val="TextBody"/>
        <w:bidi w:val="0"/>
        <w:spacing w:before="120" w:after="0"/>
        <w:jc w:val="left"/>
        <w:rPr>
          <w:rFonts w:ascii="Times New Roman" w:hAnsi="Times New Roman"/>
          <w:sz w:val="20"/>
        </w:rPr>
      </w:pPr>
      <w:r>
        <w:rPr>
          <w:rFonts w:ascii="Times New Roman" w:hAnsi="Times New Roman"/>
          <w:sz w:val="20"/>
        </w:rPr>
        <w:t>A: A U.S. Holder of Cyclerion Common Stock should not recognize gain or loss upon the reverse stock split, except to the extent such holder receives cash in lieu of a fractional share of Cyclerion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beginning on page 230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xml:space="preserve">” beginning on page 230 of this proxy statement/prospectus for a more complete description of the U.S. federal income tax considerations of the reverse stock split to a U.S. Holder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Who can help answer my questions?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Cyclerion shareholder and would like additional copies of this proxy statement/prospectus without charge or if you have questions about the Merger or related matters, including the procedures for voting your shares, you should contact Cyclerion’s proxy solicitor, Laurel Hill Advisory Group, LLC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1069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sz w:val="20"/>
        </w:rPr>
      </w:pPr>
      <w:r>
        <w:rPr>
          <w:rFonts w:ascii="Times New Roman" w:hAnsi="Times New Roman"/>
          <w:sz w:val="20"/>
        </w:rPr>
        <w:t>This summary highlights selected information from this proxy statement/prospectus and may not contain all of the information that is important to you. To better understand the Merger and the proposals being considered at the Cyclerion Shareholders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is a preclinical biotechnology company focused on building a pipeline of innovative therapeutics to address serious neuropsychiatric disorders with significant unmet medical need. Cyclerion’s current strategic focus is centered on the development of a novel therapeutic approach for neuropsychiatric conditions, with the lead indication being treatment-resistant depression (“TRD”), which Cyclerion believes represents a substantial clinical and commercial opportunity. Over the past year, Cyclerion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Cyclerion’s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good laboratory practice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(“TfR”) based shuttle designed to potentially improve delivery to the brain, which Korsana believes may also help reduce or avoid the treatment-related complications known as amyloid-related imaging abnormalities (“ARIA”), associated with the two approved disease-modifying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xml:space="preserve">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Korsana’s principal executive offices are located at 203 Crescent Street, Bldgs. #3/3A/4, Suite 503, Waltham, MA 02453, and its telephone number is (781) 516-2325.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Merger Sub </w:t>
      </w:r>
    </w:p>
    <w:p>
      <w:pPr>
        <w:pStyle w:val="TextBody"/>
        <w:bidi w:val="0"/>
        <w:spacing w:before="120" w:after="0"/>
        <w:jc w:val="left"/>
        <w:rPr>
          <w:rFonts w:ascii="Times New Roman" w:hAnsi="Times New Roman"/>
          <w:sz w:val="20"/>
        </w:rPr>
      </w:pPr>
      <w:r>
        <w:rPr>
          <w:rFonts w:ascii="Times New Roman" w:hAnsi="Times New Roman"/>
          <w:sz w:val="20"/>
        </w:rPr>
        <w:t xml:space="preserve">First Merger Sub is a direct, wholly owned subsidiary of Cyclerion and was formed solely for the purpose of carrying out the Merger. First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Merger Sub </w:t>
      </w:r>
    </w:p>
    <w:p>
      <w:pPr>
        <w:pStyle w:val="TextBody"/>
        <w:bidi w:val="0"/>
        <w:spacing w:before="120" w:after="0"/>
        <w:jc w:val="left"/>
        <w:rPr>
          <w:rFonts w:ascii="Times New Roman" w:hAnsi="Times New Roman"/>
          <w:sz w:val="20"/>
        </w:rPr>
      </w:pPr>
      <w:r>
        <w:rPr>
          <w:rFonts w:ascii="Times New Roman" w:hAnsi="Times New Roman"/>
          <w:sz w:val="20"/>
        </w:rPr>
        <w:t xml:space="preserve">Second Merger Sub is a direct, wholly owned subsidiary of Cyclerion and was formed solely for the purpose of carrying out the Merger. Second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(see page 134)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Delaware General Corporation Law (“DGCL”) and the Delaware Limited Liability Company Act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Cyclerion’s Reasons for the Merger (see page 142) </w:t>
      </w:r>
    </w:p>
    <w:p>
      <w:pPr>
        <w:pStyle w:val="TextBody"/>
        <w:bidi w:val="0"/>
        <w:spacing w:before="120" w:after="0"/>
        <w:jc w:val="left"/>
        <w:rPr>
          <w:rFonts w:ascii="Times New Roman" w:hAnsi="Times New Roman"/>
          <w:sz w:val="20"/>
        </w:rPr>
      </w:pPr>
      <w:r>
        <w:rPr>
          <w:rFonts w:ascii="Times New Roman" w:hAnsi="Times New Roman"/>
          <w:sz w:val="20"/>
        </w:rPr>
        <w:t>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as described later in this proxy statement/prospectus under the section titled “</w:t>
      </w:r>
      <w:r>
        <w:rPr>
          <w:rFonts w:ascii="Times New Roman" w:hAnsi="Times New Roman"/>
          <w:i/>
          <w:sz w:val="20"/>
        </w:rPr>
        <w:t>The Merger-Cyclerion’s Reasons for the Merger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Korsana</w:t>
      </w:r>
      <w:r>
        <w:rPr>
          <w:rFonts w:ascii="Times New Roman" w:hAnsi="Times New Roman"/>
          <w:sz w:val="20"/>
        </w:rPr>
        <w:t>’</w:t>
      </w:r>
      <w:r>
        <w:rPr>
          <w:rFonts w:ascii="Times New Roman" w:hAnsi="Times New Roman"/>
          <w:b/>
          <w:sz w:val="20"/>
        </w:rPr>
        <w:t>s Reasons for</w:t>
      </w:r>
      <w:r>
        <w:rPr>
          <w:rFonts w:ascii="Times New Roman" w:hAnsi="Times New Roman"/>
          <w:sz w:val="20"/>
        </w:rPr>
        <w:t xml:space="preserve"> </w:t>
      </w:r>
      <w:r>
        <w:rPr>
          <w:rFonts w:ascii="Times New Roman" w:hAnsi="Times New Roman"/>
          <w:b/>
          <w:sz w:val="20"/>
        </w:rPr>
        <w:t>the Merger</w:t>
      </w:r>
      <w:r>
        <w:rPr>
          <w:rFonts w:ascii="Times New Roman" w:hAnsi="Times New Roman"/>
          <w:sz w:val="20"/>
        </w:rPr>
        <w:t xml:space="preserve"> </w:t>
      </w:r>
      <w:r>
        <w:rPr>
          <w:rFonts w:ascii="Times New Roman" w:hAnsi="Times New Roman"/>
          <w:b/>
          <w:sz w:val="20"/>
        </w:rPr>
        <w:t>(see page 146)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public company, Korsana expects to have broader access to capital and a wider range of investors to support the preclinical and clinical development of its pipeline than would be available if Korsana continued to operate as a privately-held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financial position,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Korsana Pre-Closing Financing might not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 the amount of proceeds from the Korsana Pre-Closing Financing and outstanding capital stock at Closing, and thus the relative percentage ownership of Cyclerion shareholders and Korsana stockholders in the Combined Company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termination fee of up to $10.736 million payable by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time and effort involved in connection with completing the Merger, related disruptions, or potential disruptions to Korsana’s business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following the Merger as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(see page 129)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fair to, in the best interests of, and advisable to, Cyclerion and its shareholders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composition of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each director nominee named in the Director Election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(see page 155)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directors and executive officers have interests in the Merger that are different from, or in addition to, the interests of Cyclerion shareholders generally. These interests may present them with actual or potential conflicts of interest. These interests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(i) prior to the closing of the Merger, the Cyclerion Board will accelerate the vesting of all equity awards of Cyclerion then outstanding but not then vested or exercisable, regardless of whether requirements for performance-based vesting have been met, and cancel each option to acquire shares of Cyclerion Common Stock with an exercise price per share greater than Cyclerion Closing Price and (ii) at the closing of the First Merger, (a) In-the-Money Cyclerion Options will be cancelled and converted into the right to receive cash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Cyclerion Options and Cyclerion Restricted Stock Awards</w:t>
            </w:r>
            <w:r>
              <w:rPr>
                <w:rFonts w:ascii="Times New Roman" w:hAnsi="Times New Roman"/>
                <w:sz w:val="20"/>
              </w:rPr>
              <w:t xml:space="preserve">” beginning on page 155 of this proxy statement/prospectus and (b) each other option to acquire shares of Cyclerion Common Stock will be cancelled for no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Cyclerion’s President and Chief Executive Officer will receive severance benefits in accordance with the terms of the amended employment agreement that she entered into with Cyclerion in connection with the Merger, as described in further detail in the section of this proxy statement/prospectus titled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the Cyclerion shareholders approve the Merger as contemplated by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Korsana’s Directors and Executive Officers in the Merger (see page 157)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These interests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subsection excludes any Korsana shares issuable upon exercise or settlement of Korsana options and restricted stock units held by such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Fairmount Healthcare Fund II L.P. (“Fairmount Fund II”), an affiliate of Tomas Kiselak and Michelle Pernice (Korsana directors) and Jonathan Violin (Korsana director and Chief Executive Officer and President),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Venrock Healthcare Capital Partners, an affiliate of Andrew Gottesdiener and Nimish Shah (Korsana directors),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Korsana Common Stock and each Korsana restricted stock unit held by Korsana’s executive officers and directors, whether or not vested, will be converted into an option to purchase shares of the Combined Company’s common stock or a restricted stock unit of the Combined Company, respectively, on the same terms and conditions (including any vesting and acceleration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expected to become directors and executive officers of the Combined Company upon completion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Gemini to the Cyclerion Board (see page B-1) </w:t>
      </w:r>
    </w:p>
    <w:p>
      <w:pPr>
        <w:pStyle w:val="TextBody"/>
        <w:bidi w:val="0"/>
        <w:spacing w:before="120" w:after="0"/>
        <w:jc w:val="left"/>
        <w:rPr>
          <w:rFonts w:ascii="Times New Roman" w:hAnsi="Times New Roman"/>
          <w:sz w:val="20"/>
        </w:rPr>
      </w:pPr>
      <w:r>
        <w:rPr>
          <w:rFonts w:ascii="Times New Roman" w:hAnsi="Times New Roman"/>
          <w:sz w:val="20"/>
        </w:rPr>
        <w:t xml:space="preserve">Cyclerion retained Gemini Valuation Services, LLC (“Gemini”) as its financial advisor in connection with the Merger and the other transactions contemplated by the Merger Agreement. On March 31, 2026, Gemini rendered to the Cyclerion Board its oral opinion, which was subsequently confirmed by a written opinion addressed to the Cyclerion Board, dated March 31, 2026, that, as of such date and based upon and subject to the various assumptions made, and the qualifications and limitations upon the review undertaken by Gemini in preparing its opinion, the Exchange Ratio was fair, from a financial point of view, to Cyclerion.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Gemini, dated March 31, 2026, which describes the assumptions made and the qualifications and limitations upon the review undertaken by Gemini in preparing its opinion, is attached as </w:t>
      </w:r>
      <w:r>
        <w:rPr>
          <w:rFonts w:ascii="Times New Roman" w:hAnsi="Times New Roman"/>
          <w:i/>
          <w:sz w:val="20"/>
        </w:rPr>
        <w:t>Annex B</w:t>
      </w:r>
      <w:r>
        <w:rPr>
          <w:rFonts w:ascii="Times New Roman" w:hAnsi="Times New Roman"/>
          <w:sz w:val="20"/>
        </w:rPr>
        <w:t xml:space="preserve"> to this proxy statement/prospectus and is incorporated herein by reference. </w:t>
      </w:r>
      <w:r>
        <w:rPr>
          <w:rFonts w:ascii="Times New Roman" w:hAnsi="Times New Roman"/>
          <w:b/>
          <w:sz w:val="20"/>
        </w:rPr>
        <w:t>Gemini</w:t>
      </w:r>
      <w:r>
        <w:rPr>
          <w:rFonts w:ascii="Times New Roman" w:hAnsi="Times New Roman"/>
          <w:sz w:val="20"/>
        </w:rPr>
        <w:t>’</w:t>
      </w:r>
      <w:r>
        <w:rPr>
          <w:rFonts w:ascii="Times New Roman" w:hAnsi="Times New Roman"/>
          <w:b/>
          <w:sz w:val="20"/>
        </w:rPr>
        <w:t>s financial advisory services and opinion were provided for</w:t>
      </w:r>
      <w:r>
        <w:rPr>
          <w:rFonts w:ascii="Times New Roman" w:hAnsi="Times New Roman"/>
          <w:sz w:val="20"/>
        </w:rPr>
        <w:t xml:space="preserve"> </w:t>
      </w:r>
      <w:r>
        <w:rPr>
          <w:rFonts w:ascii="Times New Roman" w:hAnsi="Times New Roman"/>
          <w:b/>
          <w:sz w:val="20"/>
        </w:rPr>
        <w:t>the information and assistance of the Cyclerion</w:t>
      </w:r>
      <w:r>
        <w:rPr>
          <w:rFonts w:ascii="Times New Roman" w:hAnsi="Times New Roman"/>
          <w:sz w:val="20"/>
        </w:rPr>
        <w:t xml:space="preserve"> </w:t>
      </w:r>
      <w:r>
        <w:rPr>
          <w:rFonts w:ascii="Times New Roman" w:hAnsi="Times New Roman"/>
          <w:b/>
          <w:sz w:val="20"/>
        </w:rPr>
        <w:t>Board (in their capacity as directors and not in any other capacity) in connection with and for</w:t>
      </w:r>
      <w:r>
        <w:rPr>
          <w:rFonts w:ascii="Times New Roman" w:hAnsi="Times New Roman"/>
          <w:sz w:val="20"/>
        </w:rPr>
        <w:t xml:space="preserve"> </w:t>
      </w:r>
      <w:r>
        <w:rPr>
          <w:rFonts w:ascii="Times New Roman" w:hAnsi="Times New Roman"/>
          <w:b/>
          <w:sz w:val="20"/>
        </w:rPr>
        <w:t>purposes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w:t>
      </w:r>
      <w:r>
        <w:rPr>
          <w:rFonts w:ascii="Times New Roman" w:hAnsi="Times New Roman"/>
          <w:b/>
          <w:sz w:val="20"/>
        </w:rPr>
        <w:t>s consideration of the Merger</w:t>
      </w:r>
      <w:r>
        <w:rPr>
          <w:rFonts w:ascii="Times New Roman" w:hAnsi="Times New Roman"/>
          <w:sz w:val="20"/>
        </w:rPr>
        <w:t xml:space="preserve"> </w:t>
      </w:r>
      <w:r>
        <w:rPr>
          <w:rFonts w:ascii="Times New Roman" w:hAnsi="Times New Roman"/>
          <w:b/>
          <w:sz w:val="20"/>
        </w:rPr>
        <w:t>and the opinion of Gemini</w:t>
      </w:r>
      <w:r>
        <w:rPr>
          <w:rFonts w:ascii="Times New Roman" w:hAnsi="Times New Roman"/>
          <w:sz w:val="20"/>
        </w:rPr>
        <w:t xml:space="preserve"> </w:t>
      </w:r>
      <w:r>
        <w:rPr>
          <w:rFonts w:ascii="Times New Roman" w:hAnsi="Times New Roman"/>
          <w:b/>
          <w:sz w:val="20"/>
        </w:rPr>
        <w:t>addressed only the fairness, from a financial point of view, as of the date thereof, to Cyclerion</w:t>
      </w:r>
      <w:r>
        <w:rPr>
          <w:rFonts w:ascii="Times New Roman" w:hAnsi="Times New Roman"/>
          <w:sz w:val="20"/>
        </w:rPr>
        <w:t xml:space="preserve"> </w:t>
      </w:r>
      <w:r>
        <w:rPr>
          <w:rFonts w:ascii="Times New Roman" w:hAnsi="Times New Roman"/>
          <w:b/>
          <w:sz w:val="20"/>
        </w:rPr>
        <w:t>of the Exchange Ratio</w:t>
      </w:r>
      <w:r>
        <w:rPr>
          <w:rFonts w:ascii="Times New Roman" w:hAnsi="Times New Roman"/>
          <w:sz w:val="20"/>
        </w:rPr>
        <w:t xml:space="preserve"> </w:t>
      </w:r>
      <w:r>
        <w:rPr>
          <w:rFonts w:ascii="Times New Roman" w:hAnsi="Times New Roman"/>
          <w:b/>
          <w:sz w:val="20"/>
        </w:rPr>
        <w:t>pursuant to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terms of the Merger Agreement. The opinion of Gemini</w:t>
      </w:r>
      <w:r>
        <w:rPr>
          <w:rFonts w:ascii="Times New Roman" w:hAnsi="Times New Roman"/>
          <w:sz w:val="20"/>
        </w:rPr>
        <w:t xml:space="preserve"> </w:t>
      </w:r>
      <w:r>
        <w:rPr>
          <w:rFonts w:ascii="Times New Roman" w:hAnsi="Times New Roman"/>
          <w:b/>
          <w:sz w:val="20"/>
        </w:rPr>
        <w:t>did not address any other term or aspect of the Merger Agreement or the Merger</w:t>
      </w:r>
      <w:r>
        <w:rPr>
          <w:rFonts w:ascii="Times New Roman" w:hAnsi="Times New Roman"/>
          <w:sz w:val="20"/>
        </w:rPr>
        <w:t xml:space="preserve"> </w:t>
      </w:r>
      <w:r>
        <w:rPr>
          <w:rFonts w:ascii="Times New Roman" w:hAnsi="Times New Roman"/>
          <w:b/>
          <w:sz w:val="20"/>
        </w:rPr>
        <w:t>and does not constitute a recommendation to any shareholder of Cyclerion as to whether or how such holder should vote with respect to the Merger or otherwise act with respect to the Merger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Gemini should be read carefully in its entirety for a description of the assumptions made and limitations upon the review undertaken by Gemini in preparing its opinion.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Merger Agreement and Agreements Related to the Merger Agreement </w:t>
      </w:r>
    </w:p>
    <w:p>
      <w:pPr>
        <w:pStyle w:val="TextBody"/>
        <w:bidi w:val="0"/>
        <w:spacing w:before="120" w:after="0"/>
        <w:jc w:val="left"/>
        <w:rPr>
          <w:rFonts w:ascii="Times New Roman" w:hAnsi="Times New Roman"/>
          <w:sz w:val="20"/>
        </w:rPr>
      </w:pPr>
      <w:r>
        <w:rPr>
          <w:rFonts w:ascii="Times New Roman" w:hAnsi="Times New Roman"/>
          <w:b/>
          <w:i/>
          <w:sz w:val="20"/>
        </w:rPr>
        <w:t>Merger</w:t>
      </w:r>
      <w:r>
        <w:rPr>
          <w:rFonts w:ascii="Times New Roman" w:hAnsi="Times New Roman"/>
          <w:sz w:val="20"/>
        </w:rPr>
        <w:t xml:space="preserve"> </w:t>
      </w:r>
      <w:r>
        <w:rPr>
          <w:rFonts w:ascii="Times New Roman" w:hAnsi="Times New Roman"/>
          <w:b/>
          <w:i/>
          <w:sz w:val="20"/>
        </w:rPr>
        <w:t>Consideration</w:t>
      </w:r>
      <w:r>
        <w:rPr>
          <w:rFonts w:ascii="Times New Roman" w:hAnsi="Times New Roman"/>
          <w:sz w:val="20"/>
        </w:rPr>
        <w:t xml:space="preserve"> (see page 168)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Options</w:t>
      </w:r>
      <w:r>
        <w:rPr>
          <w:rFonts w:ascii="Times New Roman" w:hAnsi="Times New Roman"/>
          <w:sz w:val="20"/>
        </w:rPr>
        <w:t xml:space="preserve"> (see page 172)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option to purchase shares of Korsana Common Stock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Korsana’s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 of Korsana Warrants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sz w:val="20"/>
        </w:rPr>
      </w:pP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Restricted</w:t>
      </w:r>
      <w:r>
        <w:rPr>
          <w:rFonts w:ascii="Times New Roman" w:hAnsi="Times New Roman"/>
          <w:sz w:val="20"/>
        </w:rPr>
        <w:t xml:space="preserve"> </w:t>
      </w:r>
      <w:r>
        <w:rPr>
          <w:rFonts w:ascii="Times New Roman" w:hAnsi="Times New Roman"/>
          <w:b/>
          <w:i/>
          <w:sz w:val="20"/>
        </w:rPr>
        <w:t>Stock</w:t>
      </w:r>
      <w:r>
        <w:rPr>
          <w:rFonts w:ascii="Times New Roman" w:hAnsi="Times New Roman"/>
          <w:sz w:val="20"/>
        </w:rPr>
        <w:t xml:space="preserve"> </w:t>
      </w:r>
      <w:r>
        <w:rPr>
          <w:rFonts w:ascii="Times New Roman" w:hAnsi="Times New Roman"/>
          <w:b/>
          <w:i/>
          <w:sz w:val="20"/>
        </w:rPr>
        <w:t>Units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units would otherwise be entitled to is equal to or exceeds 0.50, and otherwise rounded down. Each Korsana RSU assumed by Cyclerion will otherwise continue in full force and effect and the term,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the Korsana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Cyclerion Common Stock, Cyclerion</w:t>
      </w:r>
      <w:r>
        <w:rPr>
          <w:rFonts w:ascii="Times New Roman" w:hAnsi="Times New Roman"/>
          <w:sz w:val="20"/>
        </w:rPr>
        <w:t xml:space="preserve"> </w:t>
      </w:r>
      <w:r>
        <w:rPr>
          <w:rFonts w:ascii="Times New Roman" w:hAnsi="Times New Roman"/>
          <w:b/>
          <w:i/>
          <w:sz w:val="20"/>
        </w:rPr>
        <w:t>Options and Cyclerion Restricted Stock Awards</w:t>
      </w:r>
      <w:r>
        <w:rPr>
          <w:rFonts w:ascii="Times New Roman" w:hAnsi="Times New Roman"/>
          <w:sz w:val="20"/>
        </w:rPr>
        <w:t xml:space="preserve"> (see page 174)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the Cyclerion Board will accelerate the vesting of all equity awards of Cyclerion then outstanding but not then vested or exercisable. At the First Effective Time, (i) each In-the-Money Cyclerion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(ii) each Out-of-the-Money Cyclerion Option will be cancelled for no consideration. The vesting of each Cyclerion RSA will be accelerated in full. </w:t>
      </w:r>
    </w:p>
    <w:p>
      <w:pPr>
        <w:pStyle w:val="TextBody"/>
        <w:bidi w:val="0"/>
        <w:spacing w:before="360" w:after="0"/>
        <w:jc w:val="left"/>
        <w:rPr>
          <w:rFonts w:ascii="Times New Roman" w:hAnsi="Times New Roman"/>
          <w:sz w:val="20"/>
        </w:rPr>
      </w:pPr>
      <w:r>
        <w:rPr>
          <w:rFonts w:ascii="Times New Roman" w:hAnsi="Times New Roman"/>
          <w:b/>
          <w:i/>
          <w:sz w:val="20"/>
        </w:rPr>
        <w:t>Conditions to the Completion</w:t>
      </w:r>
      <w:r>
        <w:rPr>
          <w:rFonts w:ascii="Times New Roman" w:hAnsi="Times New Roman"/>
          <w:sz w:val="20"/>
        </w:rPr>
        <w:t xml:space="preserve"> </w:t>
      </w:r>
      <w:r>
        <w:rPr>
          <w:rFonts w:ascii="Times New Roman" w:hAnsi="Times New Roman"/>
          <w:b/>
          <w:i/>
          <w:sz w:val="20"/>
        </w:rPr>
        <w:t>of the Merger</w:t>
      </w:r>
      <w:r>
        <w:rPr>
          <w:rFonts w:ascii="Times New Roman" w:hAnsi="Times New Roman"/>
          <w:sz w:val="20"/>
        </w:rPr>
        <w:t xml:space="preserve"> (see page 183)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 Cyclerion shareholders must approve Proposal No. 1, Proposal No. 2, and Proposal No. 3 (unless, to the extent permitted by applicable law, each of Cyclerion, the Merger Subs, and Korsana waive such conditions) and Korsana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rPr>
      </w:pPr>
      <w:r>
        <w:rPr>
          <w:rFonts w:ascii="Times New Roman" w:hAnsi="Times New Roman"/>
          <w:b/>
          <w:i/>
          <w:sz w:val="20"/>
        </w:rPr>
        <w:t>Non-Solicitation</w:t>
      </w:r>
      <w:r>
        <w:rPr>
          <w:rFonts w:ascii="Times New Roman" w:hAnsi="Times New Roman"/>
          <w:sz w:val="20"/>
        </w:rPr>
        <w:t xml:space="preserve"> (see page 179)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non-solicitation provisions prohibiting Cyclerion and Korsana from soliciting a competing transaction. Each of Cyclerion and Korsana has agreed that, subject to certain exceptions, Cyclerion and Korsana and any of their respective subsidiaries will not, nor will either party or any of its subsidiaries authorize or permit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rPr>
      </w:pPr>
      <w:r>
        <w:rPr>
          <w:rFonts w:ascii="Times New Roman" w:hAnsi="Times New Roman"/>
          <w:b/>
          <w:i/>
          <w:sz w:val="20"/>
        </w:rPr>
        <w:t>Board Recommendation Change</w:t>
      </w:r>
      <w:r>
        <w:rPr>
          <w:rFonts w:ascii="Times New Roman" w:hAnsi="Times New Roman"/>
          <w:sz w:val="20"/>
        </w:rPr>
        <w:t xml:space="preserve"> (see page 181) </w:t>
      </w:r>
    </w:p>
    <w:p>
      <w:pPr>
        <w:pStyle w:val="TextBody"/>
        <w:bidi w:val="0"/>
        <w:spacing w:before="120" w:after="0"/>
        <w:jc w:val="left"/>
        <w:rPr>
          <w:rFonts w:ascii="Times New Roman" w:hAnsi="Times New Roman"/>
          <w:sz w:val="20"/>
        </w:rPr>
      </w:pPr>
      <w:r>
        <w:rPr>
          <w:rFonts w:ascii="Times New Roman" w:hAnsi="Times New Roman"/>
          <w:sz w:val="20"/>
        </w:rPr>
        <w:t xml:space="preserve">Neither the Korsana Board nor Cyclerion Board may change its recommendation in favor of the Merger, except that prior to receipt by such party of its stockholder approval, such party’s board of directors may effect a change in recommendation as a result of (i) a material development or change in circumstances, or (ii) with respect to a superior offer that did not result from a material breach of the Merger Agreement (each of (i) and (ii), an “Intervening Event”),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material amendment to any superior offer, the party considering the superior offer would be required to provide the other party with notice of such material amendment and there would be a new three-business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rPr>
      </w:pPr>
      <w:r>
        <w:rPr>
          <w:rFonts w:ascii="Times New Roman" w:hAnsi="Times New Roman"/>
          <w:b/>
          <w:i/>
          <w:sz w:val="20"/>
        </w:rPr>
        <w:t xml:space="preserve">Termination of the Merger Agreement </w:t>
      </w:r>
      <w:r>
        <w:rPr>
          <w:rFonts w:ascii="Times New Roman" w:hAnsi="Times New Roman"/>
          <w:sz w:val="20"/>
        </w:rPr>
        <w:t xml:space="preserve">(see page 184) </w:t>
      </w:r>
    </w:p>
    <w:p>
      <w:pPr>
        <w:pStyle w:val="TextBody"/>
        <w:bidi w:val="0"/>
        <w:spacing w:before="120" w:after="0"/>
        <w:jc w:val="left"/>
        <w:rPr>
          <w:rFonts w:ascii="Times New Roman" w:hAnsi="Times New Roman"/>
          <w:sz w:val="20"/>
        </w:rPr>
      </w:pPr>
      <w:r>
        <w:rPr>
          <w:rFonts w:ascii="Times New Roman" w:hAnsi="Times New Roman"/>
          <w:sz w:val="20"/>
        </w:rPr>
        <w:t xml:space="preserve">Either Cyclerion or Korsana may terminate the Merger Agreement under certain circumstances, which would prevent the Merger from being consummated. </w:t>
      </w:r>
    </w:p>
    <w:p>
      <w:pPr>
        <w:pStyle w:val="TextBody"/>
        <w:bidi w:val="0"/>
        <w:spacing w:before="360" w:after="0"/>
        <w:jc w:val="left"/>
        <w:rPr>
          <w:rFonts w:ascii="Times New Roman" w:hAnsi="Times New Roman"/>
          <w:sz w:val="20"/>
        </w:rPr>
      </w:pPr>
      <w:r>
        <w:rPr>
          <w:rFonts w:ascii="Times New Roman" w:hAnsi="Times New Roman"/>
          <w:b/>
          <w:i/>
          <w:sz w:val="20"/>
        </w:rPr>
        <w:t>Termination Fee</w:t>
      </w:r>
      <w:r>
        <w:rPr>
          <w:rFonts w:ascii="Times New Roman" w:hAnsi="Times New Roman"/>
          <w:sz w:val="20"/>
        </w:rPr>
        <w:t xml:space="preserve"> (see page 184)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under certain circumstances, Cyclerion could be required to pay Korsana a termination fee of $235,000 or Korsana could be required to pay Cyclerion a termination fee of $10,736,000.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Support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(the “Korsana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officers of Cyclerion holding approximately 24.2% of the outstanding shares of Cyclerion capital stock as of June 30, 2026 on an as-converted to Cyclerion Common Stock basis have entered into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(the “Cyclerion Support Agreements”). </w:t>
      </w:r>
    </w:p>
    <w:p>
      <w:pPr>
        <w:pStyle w:val="TextBody"/>
        <w:bidi w:val="0"/>
        <w:spacing w:before="360" w:after="0"/>
        <w:jc w:val="left"/>
        <w:rPr>
          <w:rFonts w:ascii="Times New Roman" w:hAnsi="Times New Roman"/>
          <w:sz w:val="20"/>
        </w:rPr>
      </w:pPr>
      <w:r>
        <w:rPr>
          <w:rFonts w:ascii="Times New Roman" w:hAnsi="Times New Roman"/>
          <w:b/>
          <w:i/>
          <w:sz w:val="20"/>
        </w:rPr>
        <w:t>Lock-Up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360" w:after="0"/>
        <w:jc w:val="left"/>
        <w:rPr>
          <w:rFonts w:ascii="Times New Roman" w:hAnsi="Times New Roman"/>
          <w:sz w:val="20"/>
        </w:rPr>
      </w:pPr>
      <w:r>
        <w:rPr>
          <w:rFonts w:ascii="Times New Roman" w:hAnsi="Times New Roman"/>
          <w:b/>
          <w:i/>
          <w:sz w:val="20"/>
        </w:rPr>
        <w:t>Cyclerion CVR Agreement</w:t>
      </w:r>
      <w:r>
        <w:rPr>
          <w:rFonts w:ascii="Times New Roman" w:hAnsi="Times New Roman"/>
          <w:sz w:val="20"/>
        </w:rPr>
        <w:t xml:space="preserve"> (see page 190)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 Legacy Assets, net of any indemnity obligations, transaction costs and certain other expenses, during the period beginning on the date of the closing of the Merger and ending (i) with respect to the sale, transfer, license or other disposition of all Cyclerion Legacy Assets other than those Cyclerion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Therapeutics, Inc.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 Legacy Assets and related activities, including seeking and negotiating and, with the prior written consent of the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sz w:val="20"/>
        </w:rPr>
      </w:pPr>
      <w:r>
        <w:rPr>
          <w:rFonts w:ascii="Times New Roman" w:hAnsi="Times New Roman"/>
          <w:b/>
          <w:i/>
          <w:sz w:val="20"/>
        </w:rPr>
        <w:t>Securities Purchase Agreement and Registration Rights Agreement</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of Korsana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also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Approximately 196.0 million shares of Cyclerion Common Stock (or approximately 260.9 million shares of Cyclerion Common Stock, if the Cyclerion Pre-Funded Warrants are exercised) are expected to be registrable securities under the Registration Rights Agreement following the closing of the Merger, subject to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Management Following the Merger (see page 379)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407"/>
        <w:gridCol w:w="203"/>
        <w:gridCol w:w="582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820" w:type="dxa"/>
            <w:tcBorders/>
            <w:vAlign w:val="center"/>
          </w:tcPr>
          <w:p>
            <w:pPr>
              <w:pStyle w:val="TableContents"/>
              <w:bidi w:val="0"/>
              <w:spacing w:before="0" w:after="283"/>
              <w:jc w:val="left"/>
              <w:rPr>
                <w:sz w:val="4"/>
                <w:szCs w:val="4"/>
              </w:rPr>
            </w:pPr>
            <w:r>
              <w:rPr>
                <w:sz w:val="4"/>
                <w:szCs w:val="4"/>
              </w:rPr>
            </w:r>
          </w:p>
        </w:tc>
      </w:tr>
      <w:tr>
        <w:trPr/>
        <w:tc>
          <w:tcPr>
            <w:tcW w:w="357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3" w:type="dxa"/>
            <w:tcBorders/>
            <w:vAlign w:val="bottom"/>
          </w:tcPr>
          <w:p>
            <w:pPr>
              <w:pStyle w:val="TableContents"/>
              <w:bidi w:val="0"/>
              <w:spacing w:before="0" w:after="283"/>
              <w:jc w:val="left"/>
              <w:rPr/>
            </w:pPr>
            <w:r>
              <w:rPr/>
              <w:t>  </w:t>
            </w:r>
          </w:p>
        </w:tc>
        <w:tc>
          <w:tcPr>
            <w:tcW w:w="4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3" w:type="dxa"/>
            <w:tcBorders/>
            <w:vAlign w:val="bottom"/>
          </w:tcPr>
          <w:p>
            <w:pPr>
              <w:pStyle w:val="TableContents"/>
              <w:bidi w:val="0"/>
              <w:spacing w:before="0" w:after="283"/>
              <w:jc w:val="left"/>
              <w:rPr/>
            </w:pPr>
            <w:r>
              <w:rPr/>
              <w:t>  </w:t>
            </w:r>
          </w:p>
        </w:tc>
        <w:tc>
          <w:tcPr>
            <w:tcW w:w="582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357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50</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Chief Executive Officer, President and Director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49</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Chief Financial Officer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52</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General Counsel and Secretary</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602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35</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Director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60</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Director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40</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Director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38</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Director</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20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pPr>
            <w:r>
              <w:rPr/>
              <w:t>48</w:t>
            </w:r>
          </w:p>
        </w:tc>
        <w:tc>
          <w:tcPr>
            <w:tcW w:w="203" w:type="dxa"/>
            <w:tcBorders/>
            <w:vAlign w:val="bottom"/>
          </w:tcPr>
          <w:p>
            <w:pPr>
              <w:pStyle w:val="TableContents"/>
              <w:bidi w:val="0"/>
              <w:spacing w:before="0" w:after="283"/>
              <w:jc w:val="left"/>
              <w:rPr/>
            </w:pPr>
            <w:r>
              <w:rPr/>
              <w:t>  </w:t>
            </w:r>
          </w:p>
        </w:tc>
        <w:tc>
          <w:tcPr>
            <w:tcW w:w="5820"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(see page 161) </w:t>
      </w:r>
    </w:p>
    <w:p>
      <w:pPr>
        <w:pStyle w:val="TextBody"/>
        <w:bidi w:val="0"/>
        <w:spacing w:before="120" w:after="0"/>
        <w:jc w:val="left"/>
        <w:rPr>
          <w:rFonts w:ascii="Times New Roman" w:hAnsi="Times New Roman"/>
          <w:sz w:val="20"/>
        </w:rPr>
      </w:pPr>
      <w:r>
        <w:rPr>
          <w:rFonts w:ascii="Times New Roman" w:hAnsi="Times New Roman"/>
          <w:sz w:val="20"/>
        </w:rPr>
        <w:t>As discussed in detail in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beginning on page 161 of this proxy statement/prospectus and subject to the limitations and qualifications described therein, Korsana and Cyclerion intend the Merger to qualify as a “reorganization” within the meaning of Section 368(a) of the Code.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xml:space="preserve">,” beginning on page 161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(see page 260) </w:t>
      </w:r>
    </w:p>
    <w:p>
      <w:pPr>
        <w:pStyle w:val="TextBody"/>
        <w:bidi w:val="0"/>
        <w:spacing w:before="12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Cyclerion intends that the Cayman Redomestication qualify as a “reorganization” within the meaning of Section 368(a) of the Code. Assuming the Cayman Redomestication so qualifies, a U.S. Holder of the Combined Company stock will not recognize gain or loss upon the Cayman Redomestication. For a more detailed discussion of the U.S. federal income tax considerations of the Cayman Redomestication,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U.S. Federal Income Tax</w:t>
      </w:r>
      <w:r>
        <w:rPr>
          <w:rFonts w:ascii="Times New Roman" w:hAnsi="Times New Roman"/>
          <w:sz w:val="20"/>
        </w:rPr>
        <w:t xml:space="preserve"> </w:t>
      </w:r>
      <w:r>
        <w:rPr>
          <w:rFonts w:ascii="Times New Roman" w:hAnsi="Times New Roman"/>
          <w:i/>
          <w:sz w:val="20"/>
        </w:rPr>
        <w:t>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(see page 33) </w:t>
      </w:r>
    </w:p>
    <w:p>
      <w:pPr>
        <w:pStyle w:val="TextBody"/>
        <w:bidi w:val="0"/>
        <w:spacing w:before="120" w:after="0"/>
        <w:jc w:val="left"/>
        <w:rPr>
          <w:rFonts w:ascii="Times New Roman" w:hAnsi="Times New Roman"/>
          <w:sz w:val="20"/>
        </w:rPr>
      </w:pPr>
      <w:r>
        <w:rPr>
          <w:rFonts w:ascii="Times New Roman" w:hAnsi="Times New Roman"/>
          <w:sz w:val="20"/>
        </w:rPr>
        <w:t xml:space="preserve">Both Cyclerion and Korsana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could materially and adversely affect Cyclerion’s results of operations, business, financial results and/or common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Cyclerion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Cyclerion Common Stock, including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is expected to be deemed a shell company. As a result, if Cyclerion completes the Merger, the Combined Company may be subject to more stringent reporting requirements, offering limitations and resale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the Cyclerion and Korsana directors and executive officers have interests in the Merger that are different from yours and that may influence them to support or approve the Merger without regard to your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Reverse Stock Split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Cyclerion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Cyclerion is a biopharmaceutical company with a limited operating history and no products approved for commercial sale, valuing Cyclerion’s business and predicting its prospects are challenging.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has incurred significant losses and Cyclerion anticipates that, if it continue to progress the development of its product candidates, Cyclerion will continue to incur significant losses for the foreseeable future. Cyclerion has never generated revenue from product sales and may never be profitable.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substantial doubt about Cyclerion’s ability to continue as a going concern. If Cyclerion is not able to complete the proposed Merger and Cyclerion continues to progress the development of its product candidates, Cyclerion will need to raise additional funding in the near term, which may not be available on acceptable terms, if at all, to continue as a going concern and advance its product candidates. Failure to obtain capital when needed may force Cyclerion to delay, limit or terminate product development efforts or operations altogether. Raising additional capital would dilute Cyclerion’s existing shareholders, restrict Cyclerion’s operations or cause it to relinquish valuable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Cyclerion’s approach to the discovery and development of product candidates for the treatment of serious diseases may never lead to marketable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of biopharmaceutical products is inherently risky. If Cyclerion continues to progress the development of its product candidates, Cyclerion may encounter substantial delays in its activities, including Cyclerion’s planned clinical studies, or Cyclerion may fail to demonstrate safety and efficacy to the satisfaction of applicable regulatory authorities in the development of products to treat patients with serious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regulatory authorities are lengthy, time-consuming and inherently unpredictable. If Cyclerion, assuming Cyclerion continues to progress the development of its product candidates, or Tisento, Akebia or any other future licensees, as applicable, are ultimately unable to obtain regulatory approval for the product candidates, Cyclerion will be unable to generate product revenue and Cyclerion’s business will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obtaining and maintaining regulatory approval of product candidates in one jurisdiction does not mean that there will be success in obtaining regulatory approval of Cyclerion’s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If Cyclerion continues to progress the development of its product candidates, Cyclerion may not succeed in its pursuit of capital, capabilities, and transactions for the development and commercialization of Cyclerion’s future clinical stage assets, which would affect Cyclerion’s financial condition.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Cyclerion or its licensors, licensees or Tisento are unable to adequately protect proprietary technologies, or obtain and maintain issued patents that are sufficient to protect their respective product candidates, others could compete against Cyclerion, its licensees and Tisento more directly, which would have a material adverse impact on Cyclerion’s business, prospects,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prospects for success depend on our ability to retain Regina Graul, Cyclerion’s President and Chief Executive Officer and in the future to attract, retain and motivate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Cyclerion fails to maintain proper and effective internal controls, Cyclerion’s ability to produce accurate and timely financial statements could be impaired, which could result in sanctions or other penalties that would harm Cyclerion’s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could be delisted from Nasdaq, which would seriously harm the liquidity of Cyclerion’s stock and ability to raise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Korsana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Korsana Pre-Closing Financing are successful, Korsana will need to raise additional capital, and if it is unable to do so when needed, that will raise substantial doubt about Korsana’s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has never generated any revenue from product sales and may never be profitable;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is a preclinical-stage biotechnology company with a limited operating history on which to assess its business; it has not initiated, conducted, or completed any clinical trials, has no products approved for commercial sale, has historically incurred losses, and anticipates that it will continue to incur significant losses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programs are in preclinical stages of development and may fail in development or suffer delays that materially and adversely affect their commercial viability. If Korsana or its current or future collaborators are unable to complete development of or commercialize Korsana’s product candidates, or experience significant delays in doing so, Korsana’s business will be materially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is substantially dependent on the success of its lead program, KRSA-028, and its anticipated clinical trials of such programs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currently relies on licensing arrangements with Paragon through the Paragon License Agreement and research collaborations with Paragon through the Paragon ADOA and Paragon Research Letter Agreement. If Korsana is unable to maintain collaborations or licensing arrangements, or if its collaborations or licensing arrangements are not successful, Korsana’s business could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Korsana’s plans and strategies, Korsana will need to grow the size of its organization and it may experience difficulties in managing this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does not currently own any issued patents or pending patent applications. Therefore, Korsana’s ability to obtain and protect its patent rights, and protect other proprietary rights, is uncertain, exposing Korsana to the possible loss of competitive advantage;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its product candidates, Korsana will not be able to commercialize, or will be delayed in commercializing, its product candidates, and its ability to generate revenue will be materially impaired. </w:t>
            </w:r>
          </w:p>
        </w:tc>
      </w:tr>
    </w:tbl>
    <w:p>
      <w:pPr>
        <w:pStyle w:val="TextBody"/>
        <w:bidi w:val="0"/>
        <w:spacing w:before="360" w:after="0"/>
        <w:jc w:val="left"/>
        <w:rPr>
          <w:rFonts w:ascii="Times New Roman" w:hAnsi="Times New Roman"/>
          <w:sz w:val="20"/>
        </w:rPr>
      </w:pPr>
      <w:r>
        <w:rPr>
          <w:rFonts w:ascii="Times New Roman" w:hAnsi="Times New Roman"/>
          <w:b/>
          <w:i/>
          <w:sz w:val="20"/>
        </w:rPr>
        <w:t>Risks Related to the Cayman Redomestication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Currently, Cyclerion is governed by Massachusetts law, the Cyclerion Articles, and the Cyclerion Bylaws, but upon effectiveness of the Cayman Redomestication the Combined Company will be governed by Cayman Islands law and the Cayman Articles, provisions of which have anti-takeover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Combined Company’s Cayman Articles designate the courts of the Cayman Islands as the sole and exclusive forum for certain types of actions and proceedings that may be initiated by shareholders, this could limit your ability to obtain a favorable judicial forum for disputes with the Combined Company or the Combined Company’s directors, officers, or other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may never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holders of Combined Company Series B Preferred Stock will have the ability to significantly influence all matters submitted to the Combined Company shareholders for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These risks and other risks are discussed in greater detail under the section titled “</w:t>
      </w:r>
      <w:r>
        <w:rPr>
          <w:rFonts w:ascii="Times New Roman" w:hAnsi="Times New Roman"/>
          <w:i/>
          <w:sz w:val="20"/>
        </w:rPr>
        <w:t>Risk Factors</w:t>
      </w:r>
      <w:r>
        <w:rPr>
          <w:rFonts w:ascii="Times New Roman" w:hAnsi="Times New Roman"/>
          <w:sz w:val="20"/>
        </w:rPr>
        <w:t xml:space="preserve">” beginning on page 33 of this proxy statement/prospectus. Cyclerion and Korsana both encourage you to read and consider all of these risks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(see page 182)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conditioned on the expiration or termination of any applicable waiting period (and any extension thereof) under the HSR Act and the absence of any law or order restraining, enjoining, or otherwise prohibiting the consummation of the Merger. The HSR Act provides that certain transactions may not be completed until notification and report forms are furnished to the U.S. Department of Justice (“DOJ”) and the U.S. Federal Trade Commission (“FTC”) and the HSR Act waiting period is terminated or expires. 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(see page 163) </w:t>
      </w:r>
    </w:p>
    <w:p>
      <w:pPr>
        <w:pStyle w:val="TextBody"/>
        <w:bidi w:val="0"/>
        <w:spacing w:before="12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(see page 164)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Cyclerion as a reverse merger and is expected to be accounted for as an in-substance reverse recapitalization of Cyclerion by Korsana in accordance with U.S. Generally Accepted Accounting Principles (“GAAP”) as, at close, the transaction is, in essence, the issuance of equity by Korsana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(see page 164)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Cyclerion Capital Stock and Korsana Capital Stock (see page 414) </w:t>
      </w:r>
    </w:p>
    <w:p>
      <w:pPr>
        <w:pStyle w:val="TextBody"/>
        <w:bidi w:val="0"/>
        <w:spacing w:before="120" w:after="0"/>
        <w:jc w:val="left"/>
        <w:rPr>
          <w:rFonts w:ascii="Times New Roman" w:hAnsi="Times New Roman"/>
          <w:sz w:val="20"/>
        </w:rPr>
      </w:pPr>
      <w:r>
        <w:rPr>
          <w:rFonts w:ascii="Times New Roman" w:hAnsi="Times New Roman"/>
          <w:sz w:val="20"/>
        </w:rPr>
        <w:t>Cyclerion is incorporated under the laws of the Commonwealth of Massachusetts and thus is currently subject to the MBCA and Korsana is incorporated under the laws of the State of Delaware and thus subject to the DGCL and accordingly, the rights of their respective stockholders are not identical due to differences in the law of the jurisdiction in which each entity is incorporated and due to differences in governing documents. If the Merger is completed, Korsana stockholders will become shareholders of Cyclerion, and their rights will be governed by the MBCA, the Cyclerion Articles and the Cyclerion Bylaws, in each case as they may be amended, including by Proposal Nos. 2 and 3 if approved by Cyclerion shareholders. The extent to which the rights of Korsana stockholders will change as a result of the Merger is further affected by Proposal No. 4, which, if approved and the Cayman Redomestication is effected, would result in Cyclerion shareholders (including former Korsana stockholders) no longer being governed by the MBCA and Cyclerion’s existing organizational documents, but instead by the Cayman Articles and the Cayman Islands Companies Act. For a comparison of stockholder rights under these respective regimes, see the section titled “</w:t>
      </w:r>
      <w:r>
        <w:rPr>
          <w:rFonts w:ascii="Times New Roman" w:hAnsi="Times New Roman"/>
          <w:i/>
          <w:sz w:val="20"/>
        </w:rPr>
        <w:t>Comparison of Rights</w:t>
      </w:r>
      <w:r>
        <w:rPr>
          <w:rFonts w:ascii="Times New Roman" w:hAnsi="Times New Roman"/>
          <w:sz w:val="20"/>
        </w:rPr>
        <w:t xml:space="preserve"> </w:t>
      </w:r>
      <w:r>
        <w:rPr>
          <w:rFonts w:ascii="Times New Roman" w:hAnsi="Times New Roman"/>
          <w:i/>
          <w:sz w:val="20"/>
        </w:rPr>
        <w:t>of Holders of Cyclerion</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beginning on page 414, and, assuming the Cayman Redomestication is completed,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stockholders pursuant to the Merger will no longer be governed by the Cyclerion Articles, Cyclerion’s amended and restated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11069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Common Stock is currently listed on the Nasdaq Capital Market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Cyclerion Common Stock on March 31, 2026, the last day of trading prior to the announcement of the Merger, as reported on The Nasdaq Capital Market, was $1.55 per share. The closing price of the Cyclerion Common Stock on July 23, 2026, as reported on The Nasdaq Capital Market, was $3.62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Cyclerion Common Stock is subject to fluctuation, the market value of the shares of the Cyclerion Common Stock that the Korsana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Korsana is a private company, and its shares of common stock and preferred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2, and 3 and successful application for initial listing with Nasdaq, following the consummation of the Merger, shares of Cyclerion Common Stock will trade on Nasdaq under Cyclerion’s new name, “Korsana Biosciences, Inc.,” and new trading symbol “KRSA.” </w:t>
      </w:r>
    </w:p>
    <w:p>
      <w:pPr>
        <w:pStyle w:val="TextBody"/>
        <w:bidi w:val="0"/>
        <w:spacing w:before="240" w:after="0"/>
        <w:jc w:val="left"/>
        <w:rPr>
          <w:rFonts w:ascii="Times New Roman" w:hAnsi="Times New Roman"/>
          <w:sz w:val="20"/>
        </w:rPr>
      </w:pPr>
      <w:r>
        <w:rPr>
          <w:rFonts w:ascii="Times New Roman" w:hAnsi="Times New Roman"/>
          <w:sz w:val="20"/>
        </w:rPr>
        <w:t>As of July 22, 2026, there were approximately 67 registered holders of record of the Cyclerion Common Stock. As of July 22, 2026, Korsana had 3 holders of record of Korsana Common Stock, 7 holders of record of Korsana Series Seed Preferred Stock, and 15 holders of record of Korsana Series A Preferred Stock. For detailed information regarding the beneficial ownership of certain Cyclerion and Korsana stockholders, see the sections of this proxy statement/prospectus titled “</w:t>
      </w:r>
      <w:r>
        <w:rPr>
          <w:rFonts w:ascii="Times New Roman" w:hAnsi="Times New Roman"/>
          <w:i/>
          <w:sz w:val="20"/>
        </w:rPr>
        <w:t>Principal Shareholders of Cyclerion</w:t>
      </w:r>
      <w:r>
        <w:rPr>
          <w:rFonts w:ascii="Times New Roman" w:hAnsi="Times New Roman"/>
          <w:sz w:val="20"/>
        </w:rPr>
        <w:t>,” “</w:t>
      </w:r>
      <w:r>
        <w:rPr>
          <w:rFonts w:ascii="Times New Roman" w:hAnsi="Times New Roman"/>
          <w:i/>
          <w:sz w:val="20"/>
        </w:rPr>
        <w:t>Principal Stockholders of Korsana</w:t>
      </w:r>
      <w:r>
        <w:rPr>
          <w:rFonts w:ascii="Times New Roman" w:hAnsi="Times New Roman"/>
          <w:sz w:val="20"/>
        </w:rPr>
        <w:t>” and “</w:t>
      </w:r>
      <w:r>
        <w:rPr>
          <w:rFonts w:ascii="Times New Roman" w:hAnsi="Times New Roman"/>
          <w:i/>
          <w:sz w:val="20"/>
        </w:rPr>
        <w:t>Principal Shareholders of the Combined Company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declared or paid any cash dividends on the Cyclerion Common Stock and does not anticipate paying cash dividends on the Cyclerion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Korsana has never paid or declared any cash dividends on Korsana capital stock. If the Merger does not occur, Korsana does not anticipate paying any cash dividends on the Korsana capital stock in the foreseeable future, and Korsana intends to retain all available funds and any future earnings to fund the development and expansion of its business. Any future determination to pay dividends will be at the discretion of the Korsana Board and will depend upon a number of factors, including its results of operations, financial condition, future prospects, contractual restrictions, and restrictions imposed by applicable laws and other factors the Korsana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1106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Cyclerion Common Stock. You should also read and consider the other information in this proxy statement/prospectus. Please see the section titled “Where You Can Find More Information” beginning on page 436</w:t>
      </w:r>
      <w:r>
        <w:rPr>
          <w:rFonts w:ascii="Times New Roman" w:hAnsi="Times New Roman"/>
          <w:sz w:val="20"/>
        </w:rPr>
        <w:t> </w:t>
      </w:r>
      <w:r>
        <w:rPr>
          <w:rFonts w:ascii="Times New Roman" w:hAnsi="Times New Roman"/>
          <w:i/>
          <w:sz w:val="20"/>
        </w:rPr>
        <w:t xml:space="preserve">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could materially and adversely affect Cyclerion’s results of operations, business, financial results, and/or common stock price.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and Korsana entered into the Merger Agreement, which agreement was subsequently amended on April 17, 2026, pursuant to which, among other matters, and subject to the satisfaction or waiver of the conditions set forth in the Merger Agreement, First Merger Sub will merge with and into Korsana, with Korsana continuing as a wholly owned subsidiary of Cyclerion and the surviving corporation of the First Merger and, immediately following the First Merger and as part of the same overall transaction as the First Merger, Korsana will merge with and into Second Merger Sub as part of the Second Merger, with Second Merger Sub continuing as a wholly owned subsidiary of Cyclerion and the surviving entity of the Second Merger. Consummation of the Merger is subject to certain closing conditions, a number of which are not within Cyclerion’s control. Any failure to satisfy these required conditions to closing may prevent, delay or otherwise materially adversely affect the completion of the transaction. Cyclerion cannot predict with certainty whether or when any of the required closing conditions will be satisfied or if another uncertainty may arise and cannot assure you that it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Cyclerion’s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Cyclerion’s ability to retain and motivate existing employees. Uncertainty as to whether the Merger will be completed in a timely manner or at all could adversely affect Cyclerion’s business and its relationship with collaborators, suppliers, vendors, regulators, and other business partners.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 xml:space="preserve">Even if the Merger is approved by the stockholders of Korsana and Cyclerion, specified conditions must be satisfied or, to the extent permitted by applicable law, waived to complete the Merger. These conditions are set forth in the Merger Agreement and described further in the section titled “The Merger Agreement” of this proxy statement/prospectus. Cyclerion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may mutually agree to waive the condition to the Merger requiring approval for listing on Nasdaq, and if such condition is waived, the Combined Company’s stock may not be listed on Nasdaq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Cyclerion agreed, to the extent required by the rules and regulations of Nasdaq, to use its commercially reasonable efforts to cause the shares of Cyclerion Common Stock being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Merger to be approved for listing on Nasdaq at or prior to the First Effective Time. Additionally, under the Merger Agreement, each of Cyclerion’s and Korsana’s obligation to complete the Merger is subject to the satisfaction or waiver by each of the parties of various conditions, including that the shares of Cyclerion Common Stock to be issued in the Merger have been approved for listing (subject to official notice of issuance) on Nasdaq as of the closing of the Merger. In the event that the shares of Cyclerion Common Stock to be issued in the Merger are not approved for listing on Nasdaq, it is possible that Cyclerion and Korsana may mutually agree to waive the applicable condition and nonetheless proceed with completing the Merger. If such condition is waived, Cyclerion will not recirculate an updated proxy statement/prospectus, nor will it solicit a new vote of shareholders prior to proceeding with the Merger. If Cyclerion proceeds with the Merger in these circumstances, the Combined Company’s stock may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for the Merger will not change or otherwise be adjusted based on the market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Applying the Exchange Ratio, based on Cyclerion’s and Korsana’s capitalization as of June 30, 2026 and taking into account Cyclerion’s current cash position, each share of Korsana Common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Applying the Exchange Ratio, the former Korsana securityholders immediately before the Merger are expected to own approximately 98.9% of the aggregate number of shares of the Combined Company’s capital stock following the Merger (on a fully-diluted basis), and Cyclerion shareholders immediately before the Merger are expected to own approximately 1.1% of the aggregate number of shares of the Combined Company capital stock following the Merger (on a fully-diluted basis), subject to certain assumptions, including, but not limited to, Cyclerion’s Net Cash as of closing being equal to $(2.5 million). In the event Cyclerion’s Net Cash is less than or greater than $0, the Exchange Ratio will be adjusted such that the number of shares issued to Korsana’s pre-closing securityholders will be decreased or increased, as applicable, and Cyclerion shareholders will own a smaller or larger percentage, as applicable, of the Combined Company following the consummation of the Merger.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Cyclerion’s stock before the completion of the First Merger will not affect the number of shares Korsana stockholders will be entitled to receive pursuant to the Merger Agreement. Therefore, if before the completion of the First Merger, the market price of Cyclerion Common Stock increases from the market price on the date of the Merger Agreement, then Korsana stockholders could receive merger consideration with substantially more value for their shares of Korsana capital stock than the parties had negotiated when they established the Exchange Ratio. Similarly, if before the completion of the First Merger, the market price of Cyclerion Common Stock declines from the market price on the date of the Merger Agreement, then Korsana stockholders could receive merger consideration with substantially lower value. The Merger Agreement does not include a price-based termination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issuance of Cyclerion Common Stock, including the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Cyclerion shareholders must approve, among other things, the issuance of Cyclerion Common Stock, including shares of Cyclerion Common Stock issuable upon conversion of Cyclerion Series B Preferred Stock, to Korsana stockholders pursuant to the Merger Agreement and the resulting change in control from the First Merger, and Korsana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neither Cyclerion nor Korsana is obligated to complete the Merger if there is a material adverse effect affecting the other party between April 1,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Therefore, if any of these events were to occur and adversely affect Cyclerion or Korsana, the other party would still be obliged to consummate the closing of the Merger notwithstanding such material adverse effect. If any such adverse effects occur and Cyclerion consummates the closing of the Merger, the stock price of the Combined Company may suffer. This in turn may reduce the value of the Merger to the shareholders of Cyclerion, Korsana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Cyclerion’s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Cyclerion Common Stock is subject to significant fluctuations. Market prices for securities of pharmaceutical, biotechnology and other life science companies have historically been particularly volatile. In addition, the market price of Cyclerion Common Stock will likely be volatile based on whether shareholders and other investors believe that Cyclerion can complete the Merger or otherwise raise additional capital to support Cyclerion’s operations if the Merger is not consummated and another strategic transaction cannot be identified, negotiated and consummated in a timely manner, if at all. The volatility of the market price of Cyclerion Common Stock has been and may be exacerbated by low trading volume. Additional factors that may cause the market price of Cyclerion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results of its future clinical trials, discussions with regulators, and regulatory approval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Cyclerion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Cyclerion’s research and development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Cyclerion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Korsana and Cyclerion entered into the Securities Purchase Agreement with certain investors, including existing investors of Korsana, pursuant to which the investors agreed to purchase, in the aggregate, approximately $380.0 million of Korsana Common Stock and Korsana Pre-Funded Warrants in the Korsana Pre-Closing Financing immediately prior to the closing of the Merger. The closing of the Korsana Pre-Closing Financing is conditioned upon the satisfaction or waiver of the conditions to the closing of the Merger as well as certain other conditions. The Korsana Common Stock and Korsana Pre-Funded Warrants issued in the Korsana Pre-Closing Financing will result in dilution to all securityholders of the Combined Company (i.e., both Cyclerion’s pre-Merger securityholders and former Korsana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Cyclerion’s pre-Merger securityholders and Korsana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result of Cyclerion’s assumption of the Paragon ADOA in connection with the Merger, the Combined Company will be subject to the obligation to grant to Parasa on December 31, 2026, warrants to purchase a number of shares equal to 1.00% of the outstanding shares of Cyclerion Common Stock as of the date of the grant on a fully-diluted basis, with an exercise price equal to the fair market value of the underlying shares on the grant date. Such warrants granted will result in further dilution to all securityholders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Cyclerion’s expected disposal of Cyclerion’s historical assets and operations in connection with the Merger is expected to make Cyclerion a shell company. Cyclerion anticipates that following the consummation of the Merger, the Combined Company will no longer be a shell company. As a result, Cyclerion anticipates that holders will not be able to sell their restricted Combined Company securities pursuant to Rule 144 without registration until one year after Cyclerion files the Current Report on Form 8-K following the closing that includes the required Form 10 information that reflects that the Combined Company is no longer a shell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Cyclerion is expected to be deemed a shell company. As a result, if Cyclerion completes the Merger, the Combined Company will be subject to more stringent reporting requirements, offering limitations and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Cyclerion’s or the Combined Company’s expected disposal of Cyclerion’s historical assets and operations prior to or following the Merger is expected to make Cyclerion a shell company. As such, the Combined Company would be subject to the requirements applicable to shell company business combinations. The requirements applicable to shell company business combinations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is not, and the Combined Company will not be, eligible to use a Form S-3 until 12 full calendar months after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are affiliates of Korsana at the time the Merger is submitted for the vote or consent of Korsana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Korsana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Cyclerion’s and Korsana’s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Cyclerion and Korsana have interests in the Merger that are different from, or in addition to, the interests of other Cyclerion shareholders generally. These interests with respect to Cyclerion’s directors and executive officers may include, among others,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current members of the Korsana Board will continue as directors of the Combined Company after the First Effective Time, and, following the closing of the Merger, will be eligible to be compensated as non-employee directors of the Combined Company pursuant to Cyclerion’s non-employee director compensation policy that is expected to remain in place following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was aware of and considered those interests, among other matters, in reaching their decisions to approve and adopt the Merger Agreement, approve the Merger, and recommend the approval of the Merger Agreement to Cyclerion and Korsana stockholders. These interests, among other factors, may have influenced the directors and executive officers of each company to support or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Cyclerion shareholders and Korsana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Cyclerion’s current shareholders will generally own a smaller percentage of the Combined Company than their ownership of Cyclerion prior to the Merger. 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 Chief Executive Officer and President of Korsana will serve as the Chief Executive Officer and President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Cyclerion’s current directors and executive officers have entered into support agreements pursuant to the terms of the Merger Agreement, and as an inducement to Korsana’s willingness to enter into the Merger Agreement, by which they have agreed to vote all of their shares of Cyclerion capital stock in favor of the Merger Agreement and the transactions contemplated thereby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Korsana Common Stock makes it difficult to evaluate the fair market value of its capital stock, the value of Cyclerion Common Stock to be issued to Korsana stockholders may be more or less than the fair market value of Korsana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Korsana is privately held and is not traded on any public market. The lack of a public market makes it difficult to determine the fair market value of Korsana capital stock. Because the percentage of Cyclerion’s equity to be issued to Korsana stockholders was determined based on negotiations between the parties, it is possible that the value of Cyclerion Common Stock and Cyclerion Series B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to be issued to Korsana stockholders will be more or less than the fair market value of Korsana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Cyclerion, Korsana,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Cyclerion, the Cyclerion Board, Korsana, the Korsana Board and others in connection with the transactions contemplated by the Merger Agreement. The outcome of litigation is uncertain, and Cyclerion or Korsana may not be successful in defending against any such future claims. Lawsuits that may be filed against Cyclerion, the Cyclerion Board, Korsana, or the Korsana Board could delay or prevent the Merger, divert the attention of Cyclerion’s and Korsana’s management and employees from their day-to-day business and otherwise adversely affect Cyclerion and Korsana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has never paid and, other than in connection with the Merger, does not intend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paid cash dividends on any of its capital stock. Cyclerion does not currently anticipate declaring or paying cash dividends on its capital stock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does not successfully consummate the Merger or another strategic transaction, the Cyclerion Board may decide to pursue a dissolution and liquidation of Cyclerion. In such an event, the amount of cash available for distribution to Cyclerion shareholders, if any, will depend heavily on the timing of such liquidation as well as the amount of cash that will need to be reserved for commitments and contingent liabilities, as to which Cyclerion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Cyclerion Board may decide to pursue a dissolution and liquidation of Cyclerion. In such an event, the amount of cash available for distribution to Cyclerion shareholders, if any, will depend heavily on the timing of such decision and, ultimately, such liquidation, since the amount of cash available for distribution continues to decrease as Cyclerion funds its operations while pursuing the Merger. In addition, if the Cyclerion Board were to approve and recommend, and Cyclerion shareholders were to approve, a dissolution and liquidation of Cyclerion, Cyclerion would be required under Massachusetts law to pay Cyclerion’s outstanding obligations, as well as to make reasonable provision for contingent and unknown obligations, prior to making any distributions in liquidation to shareholders. Cyclerion’s commitments and contingent liabilities may include obligations under Cyclerion’s employment and related agreements with certain employees that provide for severance and other payments following a termination of employment occurring for various reasons, including a change in control of Cyclerion, litigation against Cyclerion, and other various claims and legal actions arising in the ordinary course of business, and other unexpected and/or contingent liabilities. As a result of this requirement, a portion of Cyclerion’s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Cyclerion may be subject to litigation or other claims related to a dissolution and liquidation of Cyclerion. If a dissolution and liquidation were to be pursued, the Cyclerion Board, in consultation with Cyclerion’s advisors, would need to evaluate these matters and make a determination about a reasonable amount to reserve. Accordingly, holders of Cyclerion Common Stock could lose all or a significant portion of their investment in the event of liquidation, dissolution or winding up of Cyclerion. A liquidation would be a lengthy and uncertain process with no assurance of any value ever being returned to Cyclerion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its shareholders will not have any right to make damage claims against Korsana for the breach of any representation, warranty or covenant made by Korsana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all of the representations, warranties and covenants of the parties contained therein shall not survive the closing of the Merger, except for those covenants contained therein that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terms apply or are to be performed in whole or in part after the Closing, and then only with respect to breaches occurring after the closing of the Merger. Accordingly, there are no remedies available to the parties with respect to any breach of the representations, warranties, covenants or agreements of the parties to the Merger Agreement after the Closing of the Merger, except for covenants to be performed in whole or in part after the Closing. As a result, Cyclerion and its shareholders will have no remedy available to them if the Merger is consummated and it is later revealed that there was a breach of any of the representations, warranties and covenants made by Korsana at the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Cyclerion cannot assure you that the due diligence conducted in relation to Korsana has identified all material issues or risks associated with Korsana, its business or the industry in which it competes. Furthermore, Cyclerion cannot assure you that factors outside of its or Korsana’s control will not later arise, or that any previously identified risks will not materialize in a manner inconsistent with the preliminary analysis. As a result of these factors, following the closing of the Merger, the Combined Company may be exposed to liabilities and incur additional costs and expenses and it may be forced to later write-down or write off assets, restructure its operations, or incur impairment or other charges. Cyclerion and its shareholders have no indemnification rights against Korsana or its stockholders under the Merger Agreement. Accordingly, any shareholders of Cyclerion that remain stockholders of the Combined Company following the Merger could suffer a reduction in the value of their securities. Such shareholders are unlikely to have a remedy for such reduction in value unless they are able to successfully claim that the reduction was due to the breach by Cyclerion’s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Cyclerion’s shareholders potentially may not receive any payment on the Cyclerion CVRs and the Cyclerion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First Effective Time, Cyclerion and the Rights Agent (as defined in the Cyclerion CVR Agreement) will execute and deliver the Cyclerion CVR Agreement, pursuant to which each person who was a shareholder of record of Cyclerion’s capital stock as of the close of business on the last business day prior to the day on which the First Effective Time occurs will be entitled to receive a Cyclerion CVR, issued by Cyclerion subject to and in accordance with the terms and conditions of the Cyclerion CVR Agreement. Pursuant to the Cyclerion CVR Agreement, each CVR holder is entitled to certain rights to receive a pro rata portion of the proceeds, if any, received by Cyclerion as a result of the disposition of the Cyclerion Legacy Assets during specified periods of time. Such proceeds are subject to certain permitted deductions. The right of Cyclerion’s shareholders to derive any value from the Cyclerion CVRs will be contingent solely upon the disposition of such Cyclerion Legacy Assets within the time periods specified in the Cyclerion CVR Agreement or any other contingencies as provided in the Cyclerion CVR Agreement. </w:t>
      </w:r>
    </w:p>
    <w:p>
      <w:pPr>
        <w:pStyle w:val="TextBody"/>
        <w:bidi w:val="0"/>
        <w:spacing w:before="240" w:after="0"/>
        <w:jc w:val="left"/>
        <w:rPr>
          <w:rFonts w:ascii="Times New Roman" w:hAnsi="Times New Roman"/>
          <w:sz w:val="20"/>
        </w:rPr>
      </w:pPr>
      <w:r>
        <w:rPr>
          <w:rFonts w:ascii="Times New Roman" w:hAnsi="Times New Roman"/>
          <w:sz w:val="20"/>
        </w:rPr>
        <w:t>Cyclerion may not be able to achieve successful results from the disposition of such Cyclerion Legacy Assets as described above. If this is not achieved for any reason within the time periods specified in the CVR Agreement, no payments will be made under the Cyclerion CVRs, and the Cyclerion CVRs will expire valueless. For more information see the section titled “</w:t>
      </w:r>
      <w:r>
        <w:rPr>
          <w:rFonts w:ascii="Times New Roman" w:hAnsi="Times New Roman"/>
          <w:i/>
          <w:sz w:val="20"/>
        </w:rPr>
        <w:t>Agreements Related to the Merger — Cyclerion CVR Agreement.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Cyclerion CVRs is uncertain.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intends to treat the issuance of the Cyclerion CVRs to the persons who prior to completion of the Merger were Cyclerion shareholders as a distribution of property with respect to Cyclerion capital stock. However, the U.S. federal income tax treatment of the CVRs is uncertain. There is no legal authority directly addressing the U.S. federal income tax treatment of contingent value rights with characteristics similar to the Cyclerion CVRs. Therefore, it is possible that the issuance of the Cyclerion CVRs may be treated as a distribution of equity with respect to Cyclerion capital stock, as an “open transaction,” or as a “debt instrument” for U.S. federal income tax purposes, and such questions are inherently factual in nature. For more information regarding the U.S. federal income tax consequences of the Cyclerion CVRs, see the section 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Agreements Related to the Merger — Cyclerion CVR Agreement — Material U.S. Federal Income Tax Consequences of the Cyclerion CVRs to Holders of Cyclerion Capital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could result in a significant devaluation of Cyclerion’s market capitalization and the trading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Cyclerion expects that the reverse stock split will result in an increase in the market price of Cyclerion Common Stock, Cyclerion cannot assure stockholders that the reverse stock split, if implemented, will increase the market price of Cyclerion Common Stock in proportion to the reduction in the number of shares of Cyclerion Common Stock outstanding or result in a permanent increase in the market price. Accordingly, the total market capitalization of Cyclerion Common Stock after the reverse stock split may be lower than the total market capitalization before such reverse stock split and, in the future, the market price of Cyclerion Common Stock following such reverse stock split may not exceed or remain higher than the market price prior to the corresponding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effect the reverse stock split may have upon the market price of Cyclerion Common Stock cannot be predicted with any certainty. The market price of Cyclerion Common Stock is dependent on many factors, including Cyclerion’s business and financial performance, general market conditions, prospects for future success and other factors detailed from time to time in the reports Cyclerion files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Cyclerion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generate additional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While the Cyclerion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Cyclerion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purposes of the reverse stock split are to (i) increase the per-share market price of Cyclerion Common Stock above the minimum bid price requirement under the Nasdaq rules so that the listing of Cyclerion and the shares of Cyclerion Common Stock being issued in the Merger on Nasdaq will be approved and (ii) increase the number of authorized and unissued shares available for future issuance in connection with the Merger, though such increase will not alone be sufficient to complete the Merger. It cannot be assured, however, that the reverse stock split will accomplish any increase in the per share market price of Cyclerion Common Stock for any meaningful period of time. While it is expected that the reduction in the number of outstanding shares of Cyclerion Common Stock will proportionally increase the market price of Cyclerion Common Stock, it cannot be assured that the reverse stock split will increase the market price of Cyclerion Common Stock by a multiple of the reverse stock split ratio mutually agreed by Cyclerion and Korsana, or result in any permanent or sustained increase in the market price of Cyclerion Common Stock, which is dependent upon many factors, including Cyclerion’s business and financial performance, general market conditions and prospects for future success. Thus, while the stock price of Cyclerion Common Stock might meet the listing requirements for Nasdaq initially after the reverse stock split, it cannot be assured that it will continue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Cyclerion Board believes that the anticipated increase in the market price of the Combined Company’s common stock resulting from the proposed reverse stock split could encourage interest in its common stock and possibly promote greater liquidity for its shareholders,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will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Cyclerion </w:t>
      </w:r>
    </w:p>
    <w:p>
      <w:pPr>
        <w:pStyle w:val="TextBody"/>
        <w:bidi w:val="0"/>
        <w:spacing w:before="12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Cyclerion”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As we are a biopharmaceutical company with a limited operating history and no products approved for commercial sale, valuing our business and predicting our prospects are challenging. </w:t>
      </w:r>
    </w:p>
    <w:p>
      <w:pPr>
        <w:pStyle w:val="TextBody"/>
        <w:bidi w:val="0"/>
        <w:spacing w:before="120" w:after="0"/>
        <w:jc w:val="left"/>
        <w:rPr>
          <w:rFonts w:ascii="Times New Roman" w:hAnsi="Times New Roman"/>
          <w:sz w:val="20"/>
        </w:rPr>
      </w:pPr>
      <w:r>
        <w:rPr>
          <w:rFonts w:ascii="Times New Roman" w:hAnsi="Times New Roman"/>
          <w:sz w:val="20"/>
        </w:rPr>
        <w:t xml:space="preserve">We are a biopharmaceutical company that was incorporated in 2018. Our business was conducted within Ironwood Pharmaceuticals, Inc. prior to that time, and we had no history as an independent company prior to the completion of the separation which occurred in 2019. Prior to the announcement of the Merger, we were seeking to develop new products for treatment resistant depression. We have also developed a pipeline of sGC stimulators, but we have no products approved for commercial sale, and we have never generated revenue from product sales nor has Tisento or Akebia ever generated product sales from products incorporating our compounds. Our operating activities to date have been limited primarily to organizing and staffing our company, business planning, raising capital, developing our technology, identifying potential product candidates, pursuing partnership opportunities and obtaining licenses we deem necessary for our treatment resistant depression candidate, and conducting early-stage clinical trials for our product candidates. In light of the proposed Merger, we have stopped the development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If we continue to progress the development of our product candidates,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face or we are not able to complete the proposed Merger,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has incurred significant losses and we anticipate that, if we continue to progress the development of our product candidates, we will continue to incur significant losses for the foreseeable future. We have never generated revenue from product sales and may never be profitable. </w:t>
      </w:r>
    </w:p>
    <w:p>
      <w:pPr>
        <w:pStyle w:val="TextBody"/>
        <w:bidi w:val="0"/>
        <w:spacing w:before="120" w:after="0"/>
        <w:jc w:val="left"/>
        <w:rPr>
          <w:rFonts w:ascii="Times New Roman" w:hAnsi="Times New Roman"/>
          <w:sz w:val="20"/>
        </w:rPr>
      </w:pPr>
      <w:r>
        <w:rPr>
          <w:rFonts w:ascii="Times New Roman" w:hAnsi="Times New Roman"/>
          <w:sz w:val="20"/>
        </w:rPr>
        <w:t xml:space="preserve">Our business has incurred operating losses due to costs incurred in connection with our research and development activities and general and administrative expenses associated with our operations. Our net losses for the three months ended March 31, 2026 was $3.2 million, and our net losses for the years ended December 31, 2025 and 2024 were $3.5 million and $3.1 million, respectively. We expect to incur significant losses for at least the next several years, and for these losses to significantly increase, if we continue our research activities and conduct development of, and seek regulatory approvals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from our current and any potential future product candidates and achieve profitability depends on our ability, alone or with strategic partners, to complete the development of, and obtain the necessary regulatory and essential pricing and reimbursement approvals to commercialize, our product candidates. If we continue to progress the development of our product candidates, we do not know when, if ever, we will generate revenues from sales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expenses would increase beyond expectations if we are required by the FDA,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 </w:t>
      </w:r>
    </w:p>
    <w:p>
      <w:pPr>
        <w:pStyle w:val="TextBody"/>
        <w:bidi w:val="0"/>
        <w:spacing w:before="360" w:after="0"/>
        <w:jc w:val="left"/>
        <w:rPr>
          <w:rFonts w:ascii="Times New Roman" w:hAnsi="Times New Roman"/>
          <w:sz w:val="20"/>
        </w:rPr>
      </w:pPr>
      <w:r>
        <w:rPr>
          <w:rFonts w:ascii="Times New Roman" w:hAnsi="Times New Roman"/>
          <w:b/>
          <w:i/>
          <w:sz w:val="20"/>
        </w:rPr>
        <w:t>There is substantial doubt about our ability to continue as a going concern. If we are not able to complete the proposed Merger</w:t>
      </w:r>
      <w:r>
        <w:rPr>
          <w:rFonts w:ascii="Times New Roman" w:hAnsi="Times New Roman"/>
          <w:sz w:val="20"/>
        </w:rPr>
        <w:t xml:space="preserve"> </w:t>
      </w:r>
      <w:r>
        <w:rPr>
          <w:rFonts w:ascii="Times New Roman" w:hAnsi="Times New Roman"/>
          <w:b/>
          <w:i/>
          <w:sz w:val="20"/>
        </w:rPr>
        <w:t>and we continue to progress the development of our product candidates, we will need to raise additional funding in the near term, which may not be available on acceptable terms, if at all,</w:t>
      </w:r>
      <w:r>
        <w:rPr>
          <w:rFonts w:ascii="Times New Roman" w:hAnsi="Times New Roman"/>
          <w:sz w:val="20"/>
        </w:rPr>
        <w:t xml:space="preserve"> </w:t>
      </w:r>
      <w:r>
        <w:rPr>
          <w:rFonts w:ascii="Times New Roman" w:hAnsi="Times New Roman"/>
          <w:b/>
          <w:i/>
          <w:sz w:val="20"/>
        </w:rPr>
        <w:t>to continue as a going concern and advance our product candidates. Failure to obtain capital when needed may force us to delay, limit or terminate our product development efforts or operations altogether. Raising additional capital would dilute our existing shareholders, restrict our operations or cause us to relinquish valuable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doubt regarding our ability to continue as a going concern. As of December 31, 2025 and March 31, 2026, we had unrestricted cash and cash equivalents of approximately $3.2 million and $2.8 million, respectively. Our management believes that such cash and cash equivalents will not be sufficient to fund our operating expenses and capital requirements until the completion of the Merger. If we are not able to complete the proposed Merger and we continue to progress the development of our product candidates, we will require significant additional funding to advance any of our product candidates beyond the short term and to sustain our operations. In the event that we are unable to raise the capital necessary, we may need to curtail our operations or cease operations altogether. Because there is substantial doubt about our ability to continue as a going concern for a reasonable period of time, an investment in our common stock is highly speculative and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We may also seek to raise such capital through public or private financing of our securities, royalty financing or debt financing. Raising funds in the current economic environment is, and may in the future, continue to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would dilute the ownership of existing shareholders.</w:t>
      </w:r>
    </w:p>
    <w:p>
      <w:pPr>
        <w:pStyle w:val="TextBody"/>
        <w:bidi w:val="0"/>
        <w:spacing w:before="240" w:after="0"/>
        <w:jc w:val="left"/>
        <w:rPr>
          <w:rFonts w:ascii="Times New Roman" w:hAnsi="Times New Roman"/>
          <w:sz w:val="20"/>
        </w:rPr>
      </w:pPr>
      <w:r>
        <w:rPr>
          <w:rFonts w:ascii="Times New Roman" w:hAnsi="Times New Roman"/>
          <w:sz w:val="20"/>
        </w:rPr>
        <w:t xml:space="preserve">If we sell shares or other equity securities in one or more other transactions, or issue stock, stock options or other securities pursuant to our current equity plans, investors may be materially diluted by such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issuances. We will need significant additional capital in the near term to continue our current plans. No assurance can be given that we will be able to obtain such funds upon favorable terms and conditions, if at all. Failure to do so could have a material adverse effect on our business. To the extent we raise additional capital by issuing equity securities, our stockholders would likely experience substantial dilution. We may sell common stock, preferred stock, convertible securities or other equity or convertible securities in one or more transactions that may include voting rights (including the right to vote as a series on particular matters), preferences as to dividends and liquidation, antidilution, and conversion and redemption rights, subject to applicable law, and at prices and in a manner we determine from time to time. Such issuances and the exercise of any convertible securities will dilute the percentage ownership of our stockholders and may affect the value of our capital stock and could adversely affect the rights of the holders of such stock, thereby reducing the value of such stock. Moreover, any exercise of convertible securities may adversely affect the terms upon which we will be able to obtain additional equity capital, since the holders of such convertible securities can be expected to exercise them at a time when we would, in all likelihood, not be able to obtain any needed capital on terms more favorable to us than those provided in such convertible securities.</w:t>
      </w:r>
    </w:p>
    <w:p>
      <w:pPr>
        <w:pStyle w:val="TextBody"/>
        <w:bidi w:val="0"/>
        <w:spacing w:before="240" w:after="0"/>
        <w:jc w:val="left"/>
        <w:rPr>
          <w:rFonts w:ascii="Times New Roman" w:hAnsi="Times New Roman"/>
          <w:sz w:val="20"/>
        </w:rPr>
      </w:pPr>
      <w:r>
        <w:rPr>
          <w:rFonts w:ascii="Times New Roman" w:hAnsi="Times New Roman"/>
          <w:sz w:val="20"/>
        </w:rPr>
        <w:t xml:space="preserve">Incurring debt, if available,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In the event we are unable to raise financing, we may need to reduce or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we also intend to seek funds through collaborations, strategic alliances, or licensing arrangements with third parties. Such agreements may adversely impact retained rights to our assets, technologies, future revenue streams and programs, especially those that receive regulatory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Clinical Testing of Our Products and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approach to the discovery and development of product candidates for the treatment of serious diseases may never lead to marketable products.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of drug therapies presents unique challenges, including an imperfect understanding of the biology, a frequent lack of translatability of nonclinical study results in subsequent clinical trials and dose selection, and the product candidate having an effect that may be too small to be detected using the outcome measures selected in clinical trials or if the outcomes measured do not reach statistical significance. If we are unable to complete the proposed Merger and continue to progress the development of our product candidates, our future success would be highly dependent on the successful development of our technology and our current and any potential future product candidates. The scientific evidence to support the feasibility of developing our current product candidates is both preliminary and limited. If we continue to progress the development of our product candidates but do not successfully develop and commercialize product candidates, we will not become profitable and the value of our common stock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of biopharmaceutical products is inherently risky. If we continue to progress development of our product candidates, we may encounter substantial delays in our activities, including our planned clinical studies, or we may fail to demonstrate safety and efficacy to the satisfaction of applicable regulatory authorities in the development of products to treat patients with serious diseases. </w:t>
      </w:r>
    </w:p>
    <w:p>
      <w:pPr>
        <w:pStyle w:val="TextBody"/>
        <w:bidi w:val="0"/>
        <w:spacing w:before="120" w:after="0"/>
        <w:jc w:val="left"/>
        <w:rPr>
          <w:rFonts w:ascii="Times New Roman" w:hAnsi="Times New Roman"/>
          <w:sz w:val="20"/>
        </w:rPr>
      </w:pPr>
      <w:r>
        <w:rPr>
          <w:rFonts w:ascii="Times New Roman" w:hAnsi="Times New Roman"/>
          <w:sz w:val="20"/>
        </w:rPr>
        <w:t>If we continue to progress development of our product candidates, our business will depend heavily on the successful development, clinical testing, regulatory approvals and commercialization of our lead product candidate for treatment resistant depression, praliciguat (out-licensed to Akebia), any potential future out-licensing of olinciguat, and any future potential product candidates we may acquire or license as well as both the product candidates we have sold to Tisento (the “Transferred Assets”). Any of our current or potential product candidates will require regulatory approval.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obtaining regulatory approvals for the commercial sale of any of our product candidates, we must demonstrate through lengthy, complex and expensive nonclinical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nonclinical testing and early clinical studies. Companies in the biopharmaceutical industry often suffer significant setbacks in both early and later-stage clinical studies as most product candidates that begin clinical studies are never approved for commercialization by regulatory authorities. Favorable results in earlier stage trials may not be replicated in later stage trials. If we continue to progress the development of our product candidates and fail to produce positive results in our clinical trials, the development timeline, regulatory approval and commercialization prospects of our assets and, correspondingly, our business and financial prospects, would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difficulties in enrolling participants in any clinical studies conducted on our product candidates, those clinical trials could be delayed or prevented from proceeding.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participants to participate in any clinical studies of our product candidates would be critical to the success of those clinical trials. The timing of any clinical studies will depend in part on the speed at which participants can be recruited to participate in testing these product candidates. Estimates of the prevalence of target indications may vary considerably. Determining the incidence of these conditions, including in specific geographies or demographic groups, would be challenging. The lower the actual prevalence of these conditions, the more challenges would be encountered enrolling participants in those clinical studies, which could delay development of those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the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(“IRB”), or ethics committee (“EC”) approvals and participant consents all could have a substantial impact on the timing of clinical trial enrollment. If sufficient participants cannot be enrolled in clinical studies in a timely way, obtaining study results would be delayed, which may harm our business, prospects,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The regulatory approval processes of the FDA and comparable foreign regulatory authorities are lengthy, time-consuming and inherently unpredictable. If we, assuming we continue to progress the development of our product candidates, or Tisento, Akebia</w:t>
      </w:r>
      <w:r>
        <w:rPr>
          <w:rFonts w:ascii="Times New Roman" w:hAnsi="Times New Roman"/>
          <w:sz w:val="20"/>
        </w:rPr>
        <w:t xml:space="preserve"> </w:t>
      </w:r>
      <w:r>
        <w:rPr>
          <w:rFonts w:ascii="Times New Roman" w:hAnsi="Times New Roman"/>
          <w:b/>
          <w:i/>
          <w:sz w:val="20"/>
        </w:rPr>
        <w:t>or</w:t>
      </w:r>
      <w:r>
        <w:rPr>
          <w:rFonts w:ascii="Times New Roman" w:hAnsi="Times New Roman"/>
          <w:sz w:val="20"/>
        </w:rPr>
        <w:t xml:space="preserve"> </w:t>
      </w:r>
      <w:r>
        <w:rPr>
          <w:rFonts w:ascii="Times New Roman" w:hAnsi="Times New Roman"/>
          <w:b/>
          <w:i/>
          <w:sz w:val="20"/>
        </w:rPr>
        <w:t>any other future licensees, as applicable, are ultimately unable to obtain regulatory approval for</w:t>
      </w:r>
      <w:r>
        <w:rPr>
          <w:rFonts w:ascii="Times New Roman" w:hAnsi="Times New Roman"/>
          <w:sz w:val="20"/>
        </w:rPr>
        <w:t xml:space="preserve"> </w:t>
      </w:r>
      <w:r>
        <w:rPr>
          <w:rFonts w:ascii="Times New Roman" w:hAnsi="Times New Roman"/>
          <w:b/>
          <w:i/>
          <w:sz w:val="20"/>
        </w:rPr>
        <w:t>the product candidates, we will be unable to generate product revenue and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product candidate cannot be commercialized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data are insufficient for approval and require additional nonclinical, clinical, or other information (e.g., product quality data or manufacturing controls). No regulatory approval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our product candidates we own, licensed to Akebia or sold to Tisento has been requested or obtained, and it is possible that none of these existing product candidates or any product candidates we, if we continue to progress the development of our product candidates, or our licensees or Tisento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Any ongoing clinical studies may not be completed on schedule, and any planned clinical studies may not begin on schedule, if at all. The completion or commencement of clinical studies can be delayed or prevented for a number of reasons,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not authorize us or our investigators to commence planned clinical studies, or require that ongoing clinical studies be suspended through imposition of clinical 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results from ongoing studies or other industry studies involving product candidates modulating the same or similar mechanism of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or failing to reach agreement on acceptable terms with prospective contract research organizations, or contract research organizations (“CRO”), and clinical study sites, the terms of which can be subject to considerable negotiation and may vary significantly among different CROs and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inadequate quantity or quality of a product candidate or other materials necessary to conduct clinical studies, for example delays in the manufacturing of sufficient supply of finished drug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obtaining EC or IRB approval(s) to conduct a clinical study at a prospective site or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recruiting and enrolling participants in clinical studies, the proximity of participants to study sites, eligibility criteria for the clinical study, the nature of the clinical study protocol, the availability of approved effective treatments for the relevant disease and competition from other clinical study programs for similar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or unexpected drug-related side effects experienced by participants in a clinical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of unanticipated metabolites in participants in a clinical study may require considerable nonclinical and clinical assessment;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our licensees or Tisento may decide, or regulatory authorities may require the conduct of additional clinical studies or abandonment of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validating, or inability to validate, any endpoints utilized in a clinical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disagree with a clinical study’s design and the interpretation of data from clinical studies, or may change the requirements for approval even after it has reviewed and commented on the design for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from nonclinical or clinical testing of other competing candidates that raise safety or efficacy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cutbacks in funding for the FDA may result in delays in reviewing and approving applications;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retaining participants who have enrolled in a clinical study but may be prone to withdraw due to rigors of the clinical studies, lack of efficacy, side effects, personal issues, or loss of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Clinical studies may also be delayed or terminated as a result of ambiguous or negative interim results. In addition, a clinical study may be suspended or terminated by us, our licensees, Tisento, the FDA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comparable authorities, the IRBs or ECs overseeing a clinical study, a data and safety monitoring board overseeing the clinical study, or other regulatory authorities due to a number of factors,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conduct the clinical study in accordance with regulatory requirements or clinical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inspection of the clinical study operations or study sites by the FDA or other regulatory authorities that reveals deficiencies or violations that require undertaking corrective action, including in response to the imposition of a clinical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safety issues, including any that could be identified in ongoing studies, adverse side effects or lack of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or administrative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problems with clinical supply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clinical studies.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product candidates may cause side effects or adverse events that are presented in the product labeling approved by regulatory authorities. Some may result in label restrictions.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current and any potential future product candidates may cause serious side effects which could cause us, our licensees, Tisento, or regulatory authorities to interrupt, delay or halt clinical studies and could result in restrictive label language or delay or denial of regulatory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regulatory requirements, FDA guidance or unanticipated events during nonclinical studies and clinical studies of our product candidates, which may result in changes to nonclinical or clinical study protocols or additional nonclinical or clinical study requirements, which could result in increased costs and could delay development timelines.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changes in regulatory requirements, FDA guidance or unanticipated events during nonclinical studies and clinical studies may force amendment to nonclinical studies and clinical study protocols or the FDA may impose additional nonclinical studies and clinical study requirements. Amendments or changes to clinical study protocols would require resubmission to the FDA and IRBs for review and approval, which may increase the cost or delay the timing or successful completion of clinical studies. Similarly, amendments to nonclinical studies may increase the cost or delay the timing or successful completion of those nonclinical studies. In the event of delays in completing, or the termination of, any of nonclinical or clinical studies, or if it is required that additional nonclinical or clinical studies be conducted, the commercial prospects for product candidates may be harmed and our ability to generate product revenue will be delayed for those product candidates we retain our out-license or to realize value in our equity position in Tisento.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obtaining and maintaining regulatory approval of product candidates in one jurisdiction does not mean that there will be success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 outside of the United States, compliance with the numerous and varying safety, efficacy and other regulatory requirements of other countries is required. If we continue to progress the development of our product candidates, obtaining and maintaining regulatory approval of product candidates in one jurisdiction does not guarantee that obtaining or maintaining regulatory approval in any other jurisdiction will be possible,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intended to be charged for a product candidate is also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compliance with foreign regulatory requirements could result in significant delays, difficulties and costs and could delay or prevent the introduction of product candidates in certain countries. Failure to obtain marketing approval in other countries or any delay or other setback in obtaining such approval would impair the ability to market product candidates in such countries. Any such impairment would reduce the size of the potential market, which could have a material adverse impact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data/market exclusivity may be more limited than we expect based upon the competitive landscape and other factors outside of our control that may occur during development or after approval.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there are many types of data/market exclusivity mechanisms that we or our licensees may seek to secure for our product candidates. Many of these have risk of loss of exclusivity if the competitive landscape changes or regulations are revised. If we, our licensees or Tisento seek and are awarded orphan drug designation in the US and/or the EU based upon criteria in effect at the time, this designation may be rescinded if a similar drug or another therapy that confers a significant benefit over these product candidates is subsequently approved. If these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data/market exclusivity rights granted after approval that may not confer exclusivity anticipated if the competitive landscape changes and our business, prospects, financial condition and results of operations could be materially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Reliance on Licensees, Tisento and Other Third Parties </w:t>
      </w:r>
    </w:p>
    <w:p>
      <w:pPr>
        <w:pStyle w:val="TextBody"/>
        <w:bidi w:val="0"/>
        <w:spacing w:before="120" w:after="0"/>
        <w:jc w:val="left"/>
        <w:rPr>
          <w:rFonts w:ascii="Times New Roman" w:hAnsi="Times New Roman"/>
          <w:sz w:val="20"/>
        </w:rPr>
      </w:pPr>
      <w:r>
        <w:rPr>
          <w:rFonts w:ascii="Times New Roman" w:hAnsi="Times New Roman"/>
          <w:b/>
          <w:i/>
          <w:sz w:val="20"/>
        </w:rPr>
        <w:t>If we continue to progress the development of our product candidates, we may not succeed in our pursuit of capital, capabilities, and transactions for</w:t>
      </w:r>
      <w:r>
        <w:rPr>
          <w:rFonts w:ascii="Times New Roman" w:hAnsi="Times New Roman"/>
          <w:sz w:val="20"/>
        </w:rPr>
        <w:t xml:space="preserve"> </w:t>
      </w:r>
      <w:r>
        <w:rPr>
          <w:rFonts w:ascii="Times New Roman" w:hAnsi="Times New Roman"/>
          <w:b/>
          <w:i/>
          <w:sz w:val="20"/>
        </w:rPr>
        <w:t>the development and commercialization of our future clinical stage assets, which would affect our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we continue to progress the development of our product candidates, we will seek capital, capabilities, and transactions to advance the development of our product candidate for treatment resistant depression and other product candidates we may acquire rights to in the future. There can be no assurance that this process will result in any effective negotiations toward, reaching terms of, executing agreements relating to, or completing any transaction or that any such transaction will be successful. Failure to complete any of the foregoing efforts would materially adversely affect our business, prospects, financial condition and results of operations.</w:t>
      </w:r>
    </w:p>
    <w:p>
      <w:pPr>
        <w:pStyle w:val="TextBody"/>
        <w:bidi w:val="0"/>
        <w:spacing w:before="360" w:after="0"/>
        <w:jc w:val="left"/>
        <w:rPr>
          <w:rFonts w:ascii="Times New Roman" w:hAnsi="Times New Roman"/>
          <w:b/>
          <w:i/>
          <w:sz w:val="20"/>
        </w:rPr>
      </w:pPr>
      <w:r>
        <w:rPr>
          <w:rFonts w:ascii="Times New Roman" w:hAnsi="Times New Roman"/>
          <w:b/>
          <w:i/>
          <w:sz w:val="20"/>
        </w:rPr>
        <w:t>Akebia may not be successful in developing any therapies through the praliciguat out-license and we may not realize any future revenue from the out-license.</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the Akebia License Agreement relating to the exclusive worldwide license to Akebia of our rights to the development, manufacture, medical affairs and commercialization of pharmaceutical products containing the pharmaceutical compound praliciguat and other related products and forms thereof enumerated in such agreement. Under the agreement, Akebia is responsible for all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regulatory, and commercialization activities for certain products. On December 13, 2024, we and Akebia entered into Amendment #1 to License Agreement (the “2024 Amendment”) to the original Akebia License Agreement. Under the terms of the 2024 Amendment, Akebia paid the Company (i) $1.25 million in December 2024 and an additional $0.5 million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Pursuant to the terms of the Akebia License Agreement, as amended, Akebia will pay Cyclerion tiered royalties ranging from mid-single digit to twenty percent of net sales. Cyclerion’s obligations to deliver certain drug products have also ceased. The agreement may be terminated by either party in the event of a material breach by the other party or by us in the event of certain patent disputes. There can be no assurances that the agreement will result in any therapies or that it will not be terminated prior to the realization by us of any remaining eligible revenues or that Akebia will be able to successfully bring any of the licensed product candidates to market due to financial limitations or other business factors in the future or if Akebia is unable to raise additional capital on favorable terms, if at all. Akebia may at any time terminate the Akebia License Agreement upon 180 days written notice, subject to Akebia’s obligation to grant Cyclerion a non-exclusive, royalty-free license, with the right to grant multiple tiers of sublicenses, to certain licensed compounds or products as defined in the Akebia License Agreement as well as certain rights to regulatory submissions, product trademarks, contracts with third party suppliers and certain other rights. </w:t>
      </w:r>
    </w:p>
    <w:p>
      <w:pPr>
        <w:pStyle w:val="TextBody"/>
        <w:bidi w:val="0"/>
        <w:spacing w:before="360" w:after="0"/>
        <w:jc w:val="left"/>
        <w:rPr>
          <w:rFonts w:ascii="Times New Roman" w:hAnsi="Times New Roman"/>
          <w:b/>
          <w:i/>
          <w:sz w:val="20"/>
        </w:rPr>
      </w:pPr>
      <w:r>
        <w:rPr>
          <w:rFonts w:ascii="Times New Roman" w:hAnsi="Times New Roman"/>
          <w:b/>
          <w:i/>
          <w:sz w:val="20"/>
        </w:rPr>
        <w:t>Tisento may not be successful in developing any therapies and we may not realize any future value from the Tisento common stock we received under the Asset Purchase Agreement with Tisento.</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is subject to all of the risks associated with an earlier stage biotechnology company. The pharmaceutical and biotechnology industries are characterized by rapidly advancing technologies, intense competition and a strong emphasis on proprietary products. While we believe that Tisento’s technology, development experience and scientific knowledge provide it with competitive advantages, it may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similar products. Any investigational products that Tisento may successfully develop and commercialize will compete with new immunotherapies that may become available in the future. As a result, our investment in Tisento is risky and our equity interest in Tisento could be significantly diluted in the future if Tisento seeks to raise additional capital or is unable to raise additional capital on favorable terms, if at all. If Tisento suffers adverse effects, it may not be able to continue as a going business concern, and we may lose our entire investment. Tisento is a privately-held company and there is no public market for its securities. As a result, it may be difficult to sell any of our securities position in Tisento in the near term,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lack operational control over Tisento. </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represents a minority or passive stake and we may have little to no participation, input or control over the management, policies, and operations of Tisento. Further, we may lack sufficient ownership of voting securities to impact, without the vote of additional equity holders, any matters submitted to stockholders or members of such business for a vote. There is inherent risk in making minority equity investments in companies over which we have little to no control. Without control of the management and decision-making of these businesses, we cannot control their direction, strategy, policies and business plans, and we may be powerless to improve any declines in their performance,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any collaboration or license arrangements that we enter into in the future may not be successful, which could impede our ability to develop and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we may seek additional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We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any future collaboration or license arrangements that we enter into may not be successful. The success of such arrangements will depend heavily on the efforts and activities of our partners. Collaboration and license arrangements are subject to numerous risks, including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 have significant discretion in determining the efforts and resources that they will apply to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 with marketing, manufacturing and distribution rights to one or more products may not commit sufficient resources to or otherwise not perform satisfactorily in carrying out these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and license arrangements may be terminated, and, if terminated, this may result in a need for additional capital to pursue further development or commercialization of the applicable current or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 may own or co-own intellectual property covering products that results from our collaborating with them, and in such cases, we would not have the exclusive right to develop or commercialize such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any intellectual property developed pursuant to our collaboration or license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 sales and marketing activities or other operations may not be in compliance with applicable laws resulting in civil or criminal proceedings.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we expect in the future to rely on third parties to conduct any nonclinical or clinical studies for any existing or potential future product candidates. If these third parties do not successfully carry out their contractual duties or meet expected deadlines, necessary regulatory approvals for or commercialization of any potential future product candidates may not be obtainable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the infrastructure or internal resources and capabilities to independently conduct nonclinical or clinical studies. If we continue to progress the development of our product candidates, we expect to rely on contract laboratories, medical institutions, clinical investigators, licensees and other third parties, such as CROs, to conduct nonclinical studies on any future discovery compounds and product candidates and clinical studies on product candidates. We expect to rely heavily on such parties for execution of nonclinical and clinical studies and as a result that we will only be able to control certain aspects of their activities. As a result, if we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progress the development of our product candidates, we expect we will have limited direct control over the conduct, timing and completion of our nonclinical and clinical studies and the management of data developed through these studies.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t>
      </w:r>
    </w:p>
    <w:p>
      <w:pPr>
        <w:pStyle w:val="TextBody"/>
        <w:bidi w:val="0"/>
        <w:spacing w:before="240" w:after="0"/>
        <w:jc w:val="left"/>
        <w:rPr>
          <w:rFonts w:ascii="Times New Roman" w:hAnsi="Times New Roman"/>
          <w:sz w:val="20"/>
        </w:rPr>
      </w:pPr>
      <w:r>
        <w:rPr>
          <w:rFonts w:ascii="Times New Roman" w:hAnsi="Times New Roman"/>
          <w:sz w:val="20"/>
        </w:rPr>
        <w:t xml:space="preserve">These factors may materially impede the willingness or ability of third parties to complete quality nonclinical and clinical studies and may subject us to unexpected cost increases that are beyond our control. Nevertheless, we may be responsible for ensuring that each of any future nonclinical and clinical studies is conducted in accordance with any applicable protocol, legal, regulatory and scientific requirements and standards, and our reliance on CROs and other third parties does not necessarily relieve us of our regulatory responsibilities. We, and any future CROs and other third parties are required to comply with regulations and guidelines, such as GLPs, good clinical practices ("GCPs"), and current Good Manufacturing Practices. These regulations are enforced by the FDA and comparable foreign regulatory authorities for any products in clinical development. The FDA enforces compliance to regulations through periodic inspections of clinical study sponsors, principal investigators, and third parties. If the FDA determines there was a failure to comply with the regulations, the clinical data generated in any clinical studies may be deemed unreliable and the FDA or comparable foreign regulatory authorities may require the performance of additional clinical studies before approving any marketing applications. We cannot assure you that, upon inspection, the FDA will determine that any potential future nonclinical studies, clinical studies or product manufacturing will comply with these regulations. Our failure or the failure of our CROs or other third parties to comply with these regulations may require the repeat of those clinical studies, which would delay the regulatory approval process and could also result in enforcement action up to and including civil and criminal penalties. </w:t>
      </w:r>
    </w:p>
    <w:p>
      <w:pPr>
        <w:pStyle w:val="TextBody"/>
        <w:bidi w:val="0"/>
        <w:spacing w:before="240" w:after="0"/>
        <w:jc w:val="left"/>
        <w:rPr>
          <w:rFonts w:ascii="Times New Roman" w:hAnsi="Times New Roman"/>
          <w:sz w:val="20"/>
        </w:rPr>
      </w:pPr>
      <w:r>
        <w:rPr>
          <w:rFonts w:ascii="Times New Roman" w:hAnsi="Times New Roman"/>
          <w:sz w:val="20"/>
        </w:rPr>
        <w:t>Although we or our current licensee or any future licensees may design or approve the designs of our product candidate clinical studies, CROs and other third parties conduct those clinical studies. As a result, if we continue to progress the development of our product candidates many important aspects of the execution of the development programs for our product candidates may be outside of our direct control. In addition, the CROs, or other third parties, may not perform all of their obligations under arrangements with us or our licensees or in compliance with regulatory requirements, but we may remain responsible and are subject to enforcement action that may include civil penalties and criminal prosecution for any violations of FDA laws and regulations during the conduct of clinical studies. If we continue to progress the development of our product candidates and the CROs, or our licensees,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not be able to control the amount and timing of resources these CROs or our licensees devote to our clinical products.</w:t>
      </w:r>
    </w:p>
    <w:p>
      <w:pPr>
        <w:pStyle w:val="TextBody"/>
        <w:bidi w:val="0"/>
        <w:spacing w:before="240" w:after="0"/>
        <w:jc w:val="left"/>
        <w:rPr>
          <w:rFonts w:ascii="Times New Roman" w:hAnsi="Times New Roman"/>
          <w:sz w:val="20"/>
        </w:rPr>
      </w:pPr>
      <w:r>
        <w:rPr>
          <w:rFonts w:ascii="Times New Roman" w:hAnsi="Times New Roman"/>
          <w:sz w:val="20"/>
        </w:rPr>
        <w:t xml:space="preserve">If any relationships with these third-party CROs terminate, arrangements with alternative CROs may not be achievable. If CROs do not successfully carry out their contractual duties or obligations or meet expected deadlines, if they need to be replaced, or if the quality or accuracy of the clinical data they obtain is compromised due to the failure to adhere to required clinical protocols, regulatory requirements or for other reasons, any clinical studies such CROs are associated with may be extended, delayed or terminated, and required regulatory approval for or successful commercialization of our product candidates may not be obtainable. As a result, we believe that our financial results and the commercial prospects for our product candidates in the approved indication would be harmed, our costs could increase and our ability to generate revenue could be delayed or lost.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then except as out-licensed, we must rely completely on third-party suppliers to manufacture any nonclinical and clinical drug supplies for our product candidates, and we intend to rely on third parties to produce commercial supplies of any product candidates that are approved. </w:t>
      </w:r>
    </w:p>
    <w:p>
      <w:pPr>
        <w:pStyle w:val="TextBody"/>
        <w:bidi w:val="0"/>
        <w:spacing w:before="120" w:after="0"/>
        <w:jc w:val="left"/>
        <w:rPr>
          <w:rFonts w:ascii="Times New Roman" w:hAnsi="Times New Roman"/>
          <w:sz w:val="20"/>
        </w:rPr>
      </w:pPr>
      <w:r>
        <w:rPr>
          <w:rFonts w:ascii="Times New Roman" w:hAnsi="Times New Roman"/>
          <w:sz w:val="20"/>
        </w:rPr>
        <w:t>We do not currently have, nor do we plan to acquire, the infrastructure or capability to internally manufacture the drug supply of our current or any potential future product candidates, for use in the conduct of our nonclinical and clinical studies. We lack the internal resources and the capability to manufacture any product candidates on any scale. If we continue to progress the development of our product candidates, we expect to depend on third-party contract manufacturing organizations, or CMOs, for all our requirements of raw materials, drug substances and drug product for any future nonclinical studies and clinical trials. We do not have long-term supply agreements in place with any CMO and we expect that any potential future product candidates will be individually contracted under a services agreement on a purchase order basis. If we continue to progress the development of our product candidates, we expect to rely on CMOs for the supply of later-stage development and commercialization, as well as for the supply of any other discovery compounds or product candidates that we may identify, and we may not be able to enter into long-term supply agreements with such CMOs on favorable terms. As a further result, we are subject to price fluctuations for any clinical drug supplies. If the prices charged by these CMOs increase, our business, prospects, financial condition and results of operations could be materially harmed. We expect in the future to apply industry risk management practices to minimize the impact to nonclinical and clinical timelines associated with delays to our clinical supplies. However, these delays could still lead to clinical trials delays that could adversely impact our business.</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facilities which may be used by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reliance on third parties if we continue to progress the development of our product candidates requires us to share our confidential information, including trade secrets and know-how, which increases the possibility that our confidential information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will seek to involve third party licensees and collaborators on potential future product candidates if we continue to progress the development of our product candidates, we expect we will rely on third parties to manufacture our product candidates, and because we expect to collaborate with various CROs and other third parties to conduct our nonclinical studies and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Intellectual Property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or our licensors, licensees or Tisento are unable to adequately protect proprietary technologies, or obtain and maintain issued patents that are sufficient to protect their respective product candidates, others could compete against us, our licensees and Tisento more directly, which would have a material adverse impact on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licensors, licensees and Tisento’s ability to obtain and maintain patent and other proprietary protection in the United States and other countries for commercially important technology, inventions and know-how related to our business, defend and enforce patents, should they issue, preserve the confidentiality of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 candidates and compositions, their methods of use and any other inventions that are important to the development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We also rely on patents issued to licensors providing patent licenses for our treatment resistant depression candidate.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Cyclerion</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 </w:t>
      </w:r>
      <w:r>
        <w:rPr>
          <w:rFonts w:ascii="Times New Roman" w:hAnsi="Times New Roman"/>
          <w:i/>
          <w:sz w:val="20"/>
        </w:rPr>
        <w:t>Intellectual Property</w:t>
      </w:r>
      <w:r>
        <w:rPr>
          <w:rFonts w:ascii="Times New Roman" w:hAnsi="Times New Roman"/>
          <w:sz w:val="20"/>
        </w:rPr>
        <w:t xml:space="preserve">.” We also rely on trade secrets to protect aspects of our business that are not amenable to, or that we do not consider appropriate for,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certainty. Patent applications may not be granted as issued patents in any particular jurisdiction and, even if they do, these patents may not include claims with a sufficient scope to protect our product candidates or otherwise provide any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Even if patent applications are issued, competitors and other third parties may infringe, misappropriate or otherwise violate patents and other intellectual property rights. We may not be able to prevent infringement, misappropriation or other violations of intellectual property rights, particularly in countries where the laws may not protect those rights as fully as in the United States. To counter infringement or unauthorized use, filing infringement claims may be required, which can be expensive and time-consuming and divert the attention of management and key personnel from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or other courts. Interference proceedings provoked by third parties or brought by us or our licensees may be necessary to determine the priority of inventions with respect to patents or patent applications. An unfavorable outcome could require ceasing the use of the related technology or to attempt to license rights to it from the prevailing party. Our business could be harmed if the prevailing party does not offer a license on commercially reasonable terms. Involvement in litigation or interference proceedings may fail and, even if successful, may result in substantial costs, and distract management and other employees. Furthermore, an adverse decision in an interference or derivation proceeding can result in a third party receiving the sought-out patent right, which in turn could affect the ability to develop, market or otherwise commercialize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may also be subjected to opposition, post-grant review or comparable proceedings lodged in various foreign, both national and regional, patent offices or courts. Such proceedings could result in revocation or amendment of patents in such a way that they no longer cover our product candidates or competitive products. In addition, such proceedings may be costly. Thus, any patents, should they issue, may not provide any protection against competitors.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though a patent, if it were to issue, is presumed valid and enforceable, its issuance is not conclusive as to its validity or its enforceability and it may not provide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to enforce or defend patent rights, even if successful, would be costly and time-consuming and would divert the attention of management and key personnel from business operations. We may not prevail in any lawsuits that we initiate, and the damages or other remedies awarded if we were to prevail may not be commercially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proceedings to enforce or defend any patents, if and when issued, put those patents at risk of being invalidated, held unenforceable or not infringed, or interpreted narrowly. Such proceedings could also provoke third parties to assert counterclaims, including that some or all of the claims in one or more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allegations and refuse to stop the other party from using the technology at issue on the grounds that patents do not cover the technology in question or may decide that a patent is invalid or unenforceable. An adverse result in any litigation, defense or post-grant proceedings could result in one or more patents being invalidated or interpreted narrowly. Furthermore, because of the substantial amount of discovery required in connection with intellectual property litigation, there is a risk that some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would have a material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outcome following legal assertions of invalidity and unenforceability is unpredictable. With respect to validity, for example, there cannot be certainty that there is no invalidating prior art, of which we, our licensees and the patent examiner were unaware during prosecution. If a defendant were to prevail on a legal assertion of invalidity and/or unenforceability, at least part, and perhaps all, of the patent protection on our product candidates could be lost. </w:t>
      </w:r>
    </w:p>
    <w:p>
      <w:pPr>
        <w:pStyle w:val="TextBody"/>
        <w:bidi w:val="0"/>
        <w:spacing w:before="240" w:after="0"/>
        <w:jc w:val="left"/>
        <w:rPr>
          <w:rFonts w:ascii="Times New Roman" w:hAnsi="Times New Roman"/>
          <w:sz w:val="20"/>
        </w:rPr>
      </w:pPr>
      <w:r>
        <w:rPr>
          <w:rFonts w:ascii="Times New Roman" w:hAnsi="Times New Roman"/>
          <w:sz w:val="20"/>
        </w:rPr>
        <w:t xml:space="preserve">If any patents, if and when issued, covering our product candidates are invalidated or found not infringed or unenforceable, our business, prospects, financial condition and results of operations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which may prevent or delay our product development efforts and stop us from commercializing or increase the costs of commercializing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ability to operate without infringing, misappropriating or otherwise violating the intellectual property and proprietary rights of third parties. Other parties may allege that our product candidates or the use of our technologies or technologies licensed by us infringe or otherwise violate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avoid infringing the patent rights of others, we may be required to seek a license, defend an infringement action or challenge the validity of the patents in court, or redesign our product candidates.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w:t>
      </w:r>
    </w:p>
    <w:p>
      <w:pPr>
        <w:pStyle w:val="TextBody"/>
        <w:bidi w:val="0"/>
        <w:spacing w:before="240" w:after="0"/>
        <w:jc w:val="left"/>
        <w:rPr>
          <w:rFonts w:ascii="Times New Roman" w:hAnsi="Times New Roman"/>
          <w:sz w:val="20"/>
        </w:rPr>
      </w:pPr>
      <w:r>
        <w:rPr>
          <w:rFonts w:ascii="Times New Roman" w:hAnsi="Times New Roman"/>
          <w:sz w:val="20"/>
        </w:rPr>
        <w:t xml:space="preserve">Any of these risks coming to fruition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we own or license from third parties. </w:t>
      </w:r>
    </w:p>
    <w:p>
      <w:pPr>
        <w:pStyle w:val="TextBody"/>
        <w:bidi w:val="0"/>
        <w:spacing w:before="120" w:after="0"/>
        <w:jc w:val="left"/>
        <w:rPr>
          <w:rFonts w:ascii="Times New Roman" w:hAnsi="Times New Roman"/>
          <w:sz w:val="20"/>
        </w:rPr>
      </w:pPr>
      <w:r>
        <w:rPr>
          <w:rFonts w:ascii="Times New Roman" w:hAnsi="Times New Roman"/>
          <w:sz w:val="20"/>
        </w:rPr>
        <w:t xml:space="preserve">Our employee, consultants, non-academic outside scientific collaborators and other advisors enter into confidentiality and intellectual property assignment agreements with us or have entered into confidentiality and intellectual property assignment agreements with Ironwood or third parties licensing intellectual property to us. We seek to have inventions assigned to us by the parties rendering services whenever possible. Our in-bound licenses seek to insure that all of the intellectual property licensed to us is owned by the licensor. However, we may not be able to enter into these agreements with all parties (for example with academic collaborators) or these agreements may not be honored and may not effectively assign intellectual property rights to us.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or we may have to in-license intellectual property owned by another party.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foreign governmental patent agencies require compliance with a number of procedural, documentary, fee payment and other similar provisions over the lifetime of owned patents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applications For in-bound licensed intellectual property rights, failure to maintain compliance with such requirements would adversely impact our rights as regards those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licensees and Tisento may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statutory deadlines for pursuing patent protection in individual foreign jurisdictions are based on the priority date of each of our patent applications and we may not timely file foreign patent applications. Thus, for each of the patent families that are believed to provide coverage for our product candidates, we, and our licensees, will need to decide whether and where to pursue protection outside the United States. Filing and prosecuting patent applications and defending patents on product candidates in all countries and jurisdictions throughout the world would be prohibitively expensive, and so it is unlikely to pursue and maintain patents in all countries worldwide. As such, competitors may use technologies in jurisdictions where patent protection is not pursued and obtained to develop their own products.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foreign countries may not protect intellectual property rights to the same extent as the laws of the United States. Consequently, it may not be possible to prevent third parties from practicing our inventions in all countries outside the United States even if there is a patent in that jurisdiction. Further, a competitor may export otherwise infringing products to territories where patent protection exists, but enforcement is not as strong as that in the United States. These products may compete with our product candidates and patents or other intellectual property rights may not be effective or sufficient to prevent them from competing. Even pursuing and obtaining issued patents in particular jurisdictions, patent claims or other intellectual property rights may not be effective or sufficient to prevent third parties from so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to stop the infringement of patents, if obtained, or the misappropriation of or marketing of competing products in violation of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patent protection might not be sought in certain countries, and there will not be a benefit of patent protection in such countries.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patent rights in foreign jurisdictions could result in substantial costs and divert efforts and attention from other aspects of our business, could put patents at risk of being invalidated or interpreted narrowly, could put patent applications at risk of not issuing, and could provoke third parties to assert claims. We, or our licensees, may not prevail in any lawsuits that we initiate, and the damages or other remedies awarded, if any, may not be commercially meaningful. Accordingly, efforts to enforce intellectual property rights around the world may be inadequate to obtain a significant commercial advantage from the intellectual property that developed or licensed.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or our licensees,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FDA marketing approval of our product candidates, one or more of the U.S. patents owned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an extension might not be granted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unable to obtain a patent term extension or the term of any such extension is less than we request, the duration of patent protection obtained for our product candidates may not provide any meaningful commercial or competitive advantage, competitors may obtain approval of competing products earlier than they would otherwise be able to do so, and our ability to generate revenues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U.S. patent law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if we continue to progress the development of our product candidates, our success will be heavily dependent on intellectual property, particularly patents. Obtaining and enforcing patents in the biotechnology industry involves both technological and legal complexity, and is therefore costly, time-consuming and inherently uncertain. In addition, the United States has enacted and implemented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certain elements of our product candidates.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damages resulting from claims that we or our employees, consultants or advisors have wrongfully used or disclosed alleged trade secrets of their current or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Our current employee and any employees we may hire in the future may have been previously employed at other biotechnology or pharmaceutical companies, including our competitors or potential competitors. We also engage and, in the future, intend to engage advisors and consultants who are concurrently employed at universities or who perform services for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claims that we or our employees, advisors or consultants or third parties from whom we license certain technologies have inadvertently or otherwise used or disclosed intellectual property, including trade secrets or other proprietary information, of a former employer or other third party. We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damages, we may lose valuable intellectual property rights or personnel. A loss of key personnel or their work product could hamper or prevent our ability to commercialize our product candidates, which would materially harm our commercial development efforts.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Future Commercialization of Our Current or Potential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incidence and prevalence for target patient populations of our current and any potential future product candidates we may acquire have not been established with precision. If we continue to progress the development of our product candidates and the market opportunities for our current and potential future product candidates are smaller than we estimate, or if any approval that we obtain is based on a narrower definition of the patient population, our revenue and ability to achieve profitability may be harmed. </w:t>
      </w:r>
    </w:p>
    <w:p>
      <w:pPr>
        <w:pStyle w:val="TextBody"/>
        <w:bidi w:val="0"/>
        <w:spacing w:before="120" w:after="0"/>
        <w:jc w:val="left"/>
        <w:rPr>
          <w:rFonts w:ascii="Times New Roman" w:hAnsi="Times New Roman"/>
          <w:sz w:val="20"/>
        </w:rPr>
      </w:pPr>
      <w:r>
        <w:rPr>
          <w:rFonts w:ascii="Times New Roman" w:hAnsi="Times New Roman"/>
          <w:sz w:val="20"/>
        </w:rPr>
        <w:t xml:space="preserve">The incidence and prevalence for all the conditions we aim to address with our current and any potential future programs vary considerably.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scientific literature, surveys of clinics, patient foundations or market research, and may prove to be incorrect. Further, new trials may change the estimated incidence or prevalence of these diseases. If we continue to progress the development of our product candidates,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harm our results of operations and our business. Further, even if significant market share for our product candidates is obtained, because the potential target populations are very small, we may never achieve profitability despite obtaining such significant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are unable to establish sales and marketing capabilities or enter into agreements with third parties to sell and market any product candidates, if approved, we may not be successful in commercializing those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we continue to progress the development of our product candidates and commercialization is delayed or does not occur, we would have prematurely or unnecessarily incurred such expenses. This may be costly, and our investment would be lost if we cannot retain or reposition our commercialization personnel. </w:t>
      </w:r>
    </w:p>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any product candidate revenue or the profitability of that revenue may be lower than if we were to market and sell any products we may develop ourselves. In addition, we may fail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continue to progress the development of our product candidates and ultimately obtain regulatory approval for our product candidates, our product candidates may not achieve broad market acceptance by patients, physicians, healthcare payors or others in the medical community, which would limit the revenue that we generate from their sales.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we continue to progress the development of our product candidates and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our approved product candidates as demonstrated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and labeling claims for our product candidates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for our product candidates by the FDA or other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 candidates together with other medications or restrictions on the use of our products in certain types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effects associated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target patient population, and 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safety, efficacy, cost and other potential advantages of our approved product candidates compared to other available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cost effectiveness data that supports a profitable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reimbursement and pricing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sufficient payor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strategies;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our product candidates or competing products and treatments.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and our product candidates are ultimately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Efforts to educate the medical community and third-party payors about the benefits of our product candidates may require significant resources and may never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Reimbursement may be limited or unavailable in certain market segments for our product candidates, which could make it difficult for us to sell our product candidates profitably, if we continue to progress the development of our product candidates. Price controls may be imposed in certain markets, which may harm our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market acceptance and sales of any approved product candidates will depend significantly on the availability of adequate coverage and reimbursement from third-party payors and government authorities and may be affected by existing and future health care reform measures and cost-cutting measures at the federal and state level currently proposed for Medicaid and other programs.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w:t>
      </w:r>
    </w:p>
    <w:p>
      <w:pPr>
        <w:pStyle w:val="TextBody"/>
        <w:bidi w:val="0"/>
        <w:spacing w:before="240" w:after="0"/>
        <w:jc w:val="left"/>
        <w:rPr>
          <w:rFonts w:ascii="Times New Roman" w:hAnsi="Times New Roman"/>
          <w:sz w:val="20"/>
        </w:rPr>
      </w:pPr>
      <w:r>
        <w:rPr>
          <w:rFonts w:ascii="Times New Roman" w:hAnsi="Times New Roman"/>
          <w:sz w:val="20"/>
        </w:rPr>
        <w:t xml:space="preserve">Obtaining coverage and reimbursement approval for a product from a government or other third-party payor is a time consuming and costly process that could require the provision of supporting scientific, clinical and cost-effectiveness data for the use of our product candidates to the payor. We or our partners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In addition, in the United States, third-party payors are increasingly attempting to contain health care costs by limiting both coverage and the level of reimbursement of new drugs. As a result, if we continue to progress the development of our product candidates significant uncertainty exists as to whether and how much third-party payors will reimburse patients for their use of newly approved drugs, which in turn will put pressure on the pricing of drugs. </w:t>
      </w:r>
    </w:p>
    <w:p>
      <w:pPr>
        <w:pStyle w:val="TextBody"/>
        <w:bidi w:val="0"/>
        <w:spacing w:before="240" w:after="0"/>
        <w:jc w:val="left"/>
        <w:rPr>
          <w:rFonts w:ascii="Times New Roman" w:hAnsi="Times New Roman"/>
          <w:sz w:val="20"/>
        </w:rPr>
      </w:pPr>
      <w:r>
        <w:rPr>
          <w:rFonts w:ascii="Times New Roman" w:hAnsi="Times New Roman"/>
          <w:sz w:val="20"/>
        </w:rPr>
        <w:t xml:space="preserve">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 candidates is unavailable or limited in scope or amount, or if pricing is set at unsatisfactory levels, our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healthcare and other regulations, we could face substantial penalties and our business, prospects,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candidates that we may evaluate in clinical studies are subject to certain federal and state healthcare laws and regulations that may affect our business. These laws and regulations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Food, Drug, and Cosmetic Act, which among other things, strictly regulates drug product and medical device research, development, and marketing, prohibits manufacturers from marketing or promoting such products prior to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imposed by the GDPR may increase our cost of doing business. In addition, the GDPR imposes substantial fines for breaches of data protection requirements, and it confers a private right of action on data subjects for breaches of data protection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in an environment of rapid technological and scientific change, and our competitors may achieve regulatory approval before us or develop therapies that are safer, more advanced or more effective than ours, which may harm our ability, or a licensee’s ability, to successfully market or commercialize any product candidates we may develop and ultimately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on our ability, or a licensee’s ability, to demonstrate and maintain a competitive advantage with respect to the design, development and commercialization of our product candidates. In many cases, our product candidates that may be commercialized will compete with existing, market-leading products. The development and commercialization of new drug products is highly competitive. We may face competition with respect to any product candidates that are developed or commercialized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product candidates do not obtain regulatory approvals in target indications prior to these or any other competing product candidates, or if our product candidates do not demonstrate superior efficacy, safety or tolerability compared to these and any other approved therapeutics for our target indications, then those product candidates may not be able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Many of our current or potential competitors, either alone or with their strategic partners, have significantly greater financial resources and expertise in research and development, manufacturing, nonclinical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w:t>
      </w:r>
    </w:p>
    <w:p>
      <w:pPr>
        <w:pStyle w:val="TextBody"/>
        <w:bidi w:val="0"/>
        <w:spacing w:before="240" w:after="0"/>
        <w:jc w:val="left"/>
        <w:rPr>
          <w:rFonts w:ascii="Times New Roman" w:hAnsi="Times New Roman"/>
          <w:sz w:val="20"/>
        </w:rPr>
      </w:pPr>
      <w:r>
        <w:rPr>
          <w:rFonts w:ascii="Times New Roman" w:hAnsi="Times New Roman"/>
          <w:sz w:val="20"/>
        </w:rPr>
        <w:t>In addition, we or our licensees could face litigation or other proceedings with respect to the scope, ownership, validity and/or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that could be charged, for any of our product candidates that may be developed and commercialized. See “</w:t>
      </w:r>
      <w:r>
        <w:rPr>
          <w:rFonts w:ascii="Times New Roman" w:hAnsi="Times New Roman"/>
          <w:i/>
          <w:sz w:val="20"/>
        </w:rPr>
        <w:t>-Risks Related to Our Intellectual Property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healthcare reform and other governmental and private payor initiatives, as well as the Inflation Reduction Act of 2022, may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and in reducing the costs of certain prescription drugs as evidenced by the Inflation Reduction Act of 2022.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 candidates; our ability to obtain coverage and reimbursement approval for a product; our ability to generate revenues and achieve or maintain profitability; and the level of taxes that we are required to pay.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future growth may depend, in part, on our, or a licensee’s, ability to commercialize any current and potential future product candidates outside the United States, where we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future profitability may depend, in part, on our or a licensee’s ability to commercialize our current and any potential future product candidates outside the United States for which we may rely on partnerships with third parties. If we commercialize our product candidates outside the United States, we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ability to obtain reimbursement for our product candidates outside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gain reimbursement in foreign markets at a price that is profitable;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directly control commercial activities because we are relying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 or export licensing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potentially relevant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sales of our product candidates could also be harmed by the imposition of governmental controls, political and economic instability, trade restrictions and changes in tariffs.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generate meaningful revenues in jurisdictions outside of the United States may be limited due to the strict price controls and reimbursement limitations imposed by governments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or our licensees may be required to conduct a clinical trial that compares the cost-effectiveness of our product candidate to other available therapies, or to meet other criteria for pricing approval. If reimbursement of a product candidate, if approved, is unavailable or limited in scope or amount, or if pricing is set at unsatisfactory levels, our business, prospects, financial condition and results of operations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any of our product candidates obtain regulatory approval, additional competitors could enter the market with generic versions of such drugs, which may result in a material decline in sales of affected products. </w:t>
      </w:r>
    </w:p>
    <w:p>
      <w:pPr>
        <w:pStyle w:val="TextBody"/>
        <w:bidi w:val="0"/>
        <w:spacing w:before="120" w:after="0"/>
        <w:jc w:val="left"/>
        <w:rPr>
          <w:rFonts w:ascii="Times New Roman" w:hAnsi="Times New Roman"/>
          <w:sz w:val="20"/>
        </w:rPr>
      </w:pPr>
      <w:r>
        <w:rPr>
          <w:rFonts w:ascii="Times New Roman" w:hAnsi="Times New Roman"/>
          <w:sz w:val="20"/>
        </w:rPr>
        <w:t xml:space="preserve">Under the Hatch-Waxman Act, a pharmaceutical manufacturer may file an abbreviated new drug application, or (an “ANDA”), seeking approval of a generic copy of an approved, small-molecule innovator product. Under the Hatch-Waxman Act, a manufacturer may also submit a new drug application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if we continue to progress the development of our product candidates and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240" w:after="0"/>
        <w:jc w:val="left"/>
        <w:rPr>
          <w:rFonts w:ascii="Times New Roman" w:hAnsi="Times New Roman"/>
          <w:sz w:val="20"/>
        </w:rPr>
      </w:pPr>
      <w:r>
        <w:rPr>
          <w:rFonts w:ascii="Times New Roman" w:hAnsi="Times New Roman"/>
          <w:sz w:val="20"/>
        </w:rPr>
        <w:t xml:space="preserve">We may not be successful in securing or maintaining proprietary patent protection for products and technologies we or our licensees may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w:t>
      </w:r>
    </w:p>
    <w:p>
      <w:pPr>
        <w:pStyle w:val="TextBody"/>
        <w:bidi w:val="0"/>
        <w:spacing w:before="120" w:after="0"/>
        <w:jc w:val="left"/>
        <w:rPr>
          <w:rFonts w:ascii="Times New Roman" w:hAnsi="Times New Roman"/>
          <w:sz w:val="20"/>
        </w:rPr>
      </w:pPr>
      <w:r>
        <w:rPr>
          <w:rFonts w:ascii="Times New Roman" w:hAnsi="Times New Roman"/>
          <w:b/>
          <w:i/>
          <w:sz w:val="20"/>
        </w:rPr>
        <w:t>Our prospects for</w:t>
      </w:r>
      <w:r>
        <w:rPr>
          <w:rFonts w:ascii="Times New Roman" w:hAnsi="Times New Roman"/>
          <w:sz w:val="20"/>
        </w:rPr>
        <w:t xml:space="preserve"> </w:t>
      </w:r>
      <w:r>
        <w:rPr>
          <w:rFonts w:ascii="Times New Roman" w:hAnsi="Times New Roman"/>
          <w:b/>
          <w:i/>
          <w:sz w:val="20"/>
        </w:rPr>
        <w:t>success depend on our ability to retain Regina Graul, our President and Chief Executive Officer and in the future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Regina Graul, Ph.D. who is currently our sole employee. Despite our efforts to retain valuable employees, members of our management, scientific and development teams may terminate their employment with us on short notice. Our success also depends on our ability in the future to attract, retain and motivate highly skilled junior, mid-level and senior managers as well as junior, mid-level and senior scientific and medical personnel.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may be able to offer. The failure to succeed in nonclinical 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attract and retain high quality personnel, the rate and success at which we can develop and commercialize product candidates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potential product liability exposure, and, if claims are brought against us, we may incur substantial liability. </w:t>
      </w:r>
    </w:p>
    <w:p>
      <w:pPr>
        <w:pStyle w:val="TextBody"/>
        <w:bidi w:val="0"/>
        <w:spacing w:before="120" w:after="0"/>
        <w:jc w:val="left"/>
        <w:rPr>
          <w:rFonts w:ascii="Times New Roman" w:hAnsi="Times New Roman"/>
          <w:sz w:val="20"/>
        </w:rPr>
      </w:pPr>
      <w:r>
        <w:rPr>
          <w:rFonts w:ascii="Times New Roman" w:hAnsi="Times New Roman"/>
          <w:sz w:val="20"/>
        </w:rPr>
        <w:t xml:space="preserve">The use of our current and any potential future product candidates in clinical studies and any sale thereof, if approved, exposes us to the risk of product liability claims. Product liability claims might be brought against us by patients, healthcare providers or others selling or otherwise coming into contact with our product candidates. For example, we may be sued if any such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potential future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 candidates,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proper and effective internal controls, our ability to produce accurate and timely financial statements could be impaired, which could result in sanctions or other penalties that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Securities Exchange Act of 1934, or The Exchange Act, the Sarbanes-Oxley Act of 2002, or the Sarbanes-Oxley Act, and the rules and regulations of the Nasdaq Capital Market. We are a “smaller reporting company.” For so long as we remain a smaller reporting company, we will be exempt from Section 404(b) of the Sarbanes-Oxley Act, which requires auditor attestation to the effectiveness of internal control over financial reporting. As a smaller reporting company, we are exempt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 smaller reporting company. If some investors 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are, however, subject to Section 404(a) of the Sarbanes-Oxley Act. Beginning with our annual report on Form 10-K for the fiscal year ended December 31, 2024, we must include a management assessment of the effectiveness of our internal control over financial reporting. As of the expiration of our smaller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status, we will be broadly subject to enhanced reporting and other requirements under the Exchange Act and Sarbanes-Oxley Act.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There can be no assurances that in future periods we will be able to timely conclude that our internal control over financial reporting is effective as required by Section 404(a). </w:t>
      </w:r>
    </w:p>
    <w:p>
      <w:pPr>
        <w:pStyle w:val="TextBody"/>
        <w:bidi w:val="0"/>
        <w:spacing w:before="240" w:after="0"/>
        <w:jc w:val="left"/>
        <w:rPr>
          <w:rFonts w:ascii="Times New Roman" w:hAnsi="Times New Roman"/>
          <w:sz w:val="20"/>
        </w:rPr>
      </w:pPr>
      <w:r>
        <w:rPr>
          <w:rFonts w:ascii="Times New Roman" w:hAnsi="Times New Roman"/>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business, prospects, financial condition and results of operations could be harmed, our investors could lose confidence in our reported financial information, the market price of our stock could decline, and we could be subject to sanctions or investigations by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and political conditions could harm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harmed by general conditions in the global economy and in the global financial markets as well as adverse economic conditions caused by political unrest or loss of government funding for product candidates. A severe or prolonged economic downturn and severe political disruption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CRO and other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our third-party service providers may process proprietary, confidential, and sensitive data, including personal data (such as health-related data and data related to our clinical trials), intellectual property,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“hacktivists”,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 We and the third parties upon which we rely may be subject to a variety of other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ability to provide our products,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prohibit such payments). Additionally, hybrid and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upon third parties and technologies to operate critical business systems to process sensitive information in a variety of contexts, including, without limitation, third-party providers of cloud-based infrastructure, encryption and authentication technology, employee email, and other functions. We also rely on third parties to provide certain products, including active pharmaceutical ingredients, to operate our business. Our ability to monitor these third parties’ information security practices is limited, and these third parties may not have adequate information security measures in place. While we may be entitled to damages if the third parties upon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require us to implement and maintain specific security measures, industry-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 or reasonable security measures to protect our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security and public company disclosure obligations may require us to notify relevant stakeholders of certain security incidents, including affected individuals, customers, regulators and investors.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the loss of clinical trial data from completed or ongoing clinical trials for any of our product candidates could result in delays in our regulatory approval efforts and significantly increase our costs to recover or reproduce the data. </w:t>
      </w:r>
    </w:p>
    <w:p>
      <w:pPr>
        <w:pStyle w:val="TextBody"/>
        <w:bidi w:val="0"/>
        <w:spacing w:before="240" w:after="0"/>
        <w:jc w:val="left"/>
        <w:rPr>
          <w:rFonts w:ascii="Times New Roman" w:hAnsi="Times New Roman"/>
          <w:sz w:val="20"/>
        </w:rPr>
      </w:pPr>
      <w:r>
        <w:rPr>
          <w:rFonts w:ascii="Times New Roman" w:hAnsi="Times New Roman"/>
          <w:sz w:val="20"/>
        </w:rPr>
        <w:t xml:space="preserve">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customer, investor or partner confidence in the effectiveness of our cybersecurity measures, diversion of management’s attention, governmental investigations, lawsuits, and the expenditure of significant capital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our insurance coverage may not be adequate or sufficient to protect us from or to mitigate liabilities arising out of our privacy and security practices or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us or our customers could also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 or future employees may engage in misconduct or other improper activities, including violating applicable regulatory standards and requirements or engaging in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possible exclusions from participation in Medicare, Medicaid and other U.S. federal healthcare programs, contractual damages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contract manufacturers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violations of the U.S. Foreign Corrupt Practices Act, or the FCPA, and other worldwide anti-bribery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be delisted from Nasdaq, which would seriously harm the liquidity of our stock and ability to raise capital. </w:t>
      </w:r>
    </w:p>
    <w:p>
      <w:pPr>
        <w:pStyle w:val="TextBody"/>
        <w:bidi w:val="0"/>
        <w:spacing w:before="120" w:after="0"/>
        <w:jc w:val="left"/>
        <w:rPr>
          <w:rFonts w:ascii="Times New Roman" w:hAnsi="Times New Roman"/>
          <w:sz w:val="20"/>
        </w:rPr>
      </w:pPr>
      <w:r>
        <w:rPr>
          <w:rFonts w:ascii="Times New Roman" w:hAnsi="Times New Roman"/>
          <w:sz w:val="20"/>
        </w:rPr>
        <w:t>On June 1, 2022, the Company received a notice from the Nasdaq Stock Market (“Nasdaq”) notifying the Company that the closing bid price for the Company’s common stock listed on Nasdaq has been below the minimum $1.00 per share required for continued listing on the Nasdaq Global Select Market pursuant to Nasdaq Listing Rule 5450(a)(1) (the “Bid Price Requirement”).</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Nasdaq Listing Rule 5810(c)(3)(A), the Company was provided a period of 180 calendar days, or until November 28, 2022, to regain compliance with the Bid Price Requirement. The Company did not regain compliance with the Bid Price Requirement by the initial compliance date. On November 29, 2022, however, Nasdaq notified the Company of its eligibility for an additional 180 calendar day period, or until May 29, 2023 (the “Extended Compliance Date”), to regain compliance with the Bid Price Requirement. Nasdaq’s determination was based on the Company meeting the continued listing requirement for market value of publicly held shares and all other applicable requirements for initial listing on the Nasdaq Capital Market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exception of the Bid Price Requirement, and the Company’s written notice of its intention to cure the deficiency during the second compliance period by effecting a reverse stock split, if necessary. Effective November 25, 2022, the Company transferred its listing of the Company’s common stock from the Nasdaq Global Market to the Nasdaq Capital Market, a continuous trading market that operates in substantially the same manner as the Nasdaq Global Market. The Company’s common stock continues to trade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We effected a 20:1 reverse stock split in May 2023. As a result, we have regained compliance with the Bid Price Requirement. If the Company does not regain compliance with the Bid Price Requirement in the future, the Company’s stock will again be subject to delisting. As a result of amendments in October 2024 to the Nasdaq delisting procedures, NASDAQ now may automatically delist companies which conduct multiple reverse stock splits in any 12-month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monitor the closing bid price of its common stock and may, if appropriate, consider available options to regain compliance with the Bid Price Requirement, including initiating a reverse stock split. However, there can be no assurance that the Company will be able to maintain compliance with the Bid Price Requirement, would receive sufficient shareholder support for a reverse stock split, or will otherwise be in compliance with other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Nasdaq refiled with the SEC an application to allow Nasdaq to delist certain companies from the Nasdaq Capital Market and Nasdaq Global Market where companies with a market value of listed securities below $5 million for 30 consecutive business days face immediate suspension and delisting, without the usual compliance period or automatic stay (the “Proposed Market Value Rule”). The SEC has requested comments on the proposed application. The comment period for public comments ended on February 19, 2026, after which time the SEC may elect to accept the Nasdaq proposal. If approved by the SEC, the rule will become effective within 45 days of publication in the Federal Register, or within up to 90 days if extended by the SEC pursuant to Section 19(b)(2) of the Exchange Act. Currently, the Company would not meet the requirements of the Proposed Market Value Rule and if the Proposed Market Value Rule is approved, the Company may not meet the requirements under the Proposed Market Value Rule to maintain its current listing on the Nasdaq Capital Market. The loss of the Company’s listing on the Nasdaq Capital Market would result in the Company’s common stock trading on the OTC Market, which could adversely affect the market price of the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fluctuate widely and you could lose all or part of your investment in our common stock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has fluctuated widely, and may in the future fluctuate widely, depending upon many factors, some of which are beyond our control,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raise additional capital on a timely basis and the terms on which we raise any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relatively low public float for our shares of common stock, which could cause trades of small blocks of shares to have a significant impact on the price of our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and timing of nonclinical studies and clinical studies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performance of our product candidates, those out-licensed to third parties and the Transferred Assets sold to Tisento, if approved, as well as the costs associated with such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studies of our competitors’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protect our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or termination of any strategic partnership or licensing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with respect to our product candidates or our competitors’ products, including any developments, litigation or public concern about the safety of such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product development results, including clinical trial results, the introduction of new products or intellectual property rights of us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financial condition and our quarterly and annual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deviations in our operating results from any guidance we may provide or the estimates of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passage of legislation or other regulatory developments affecting us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our insiders or our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or our industry and speculation regarding our company or our stock price in the financial or scientific press or in online investor communities;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conditions in the pharmaceutical and biotechnology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Nasdaq’s rules, which impose certain continued listing requirements, including a minimum $1 bid price, and the Proposed Market Value Rule, such that a failure to meet these requirements would lead Nasdaq to take further steps to delist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and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our common stock is particularly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As a consequence of this risk, more risk-averse investors may, under the fear of losing all or most of their investment in the event of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We run the risk of inadvertently being deemed an investment company required to register under the Investment Company Act of 1940.</w:t>
      </w:r>
    </w:p>
    <w:p>
      <w:pPr>
        <w:pStyle w:val="TextBody"/>
        <w:bidi w:val="0"/>
        <w:spacing w:before="120" w:after="0"/>
        <w:jc w:val="left"/>
        <w:rPr>
          <w:rFonts w:ascii="Times New Roman" w:hAnsi="Times New Roman"/>
          <w:sz w:val="20"/>
        </w:rPr>
      </w:pPr>
      <w:r>
        <w:rPr>
          <w:rFonts w:ascii="Times New Roman" w:hAnsi="Times New Roman"/>
          <w:sz w:val="20"/>
        </w:rPr>
        <w:t xml:space="preserve">We run the risk of inadvertently being deemed an investment company required to register under the Investment Company Act of 1940 (the “Investment Company Act”) because a significant portion of our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consists of investments in companies in which we own less than a majority interest. The risk varies depending on events beyond our control, such as significant appreciation or depreciation in the market value of certain of our publicly traded holdings, adverse developments with respect to our ownership of certain of our subsidiaries, transactions involving the sale of certain assets and our participation in any partnership or other fund established to finance future broadband and real estate projects in which we may engage. If we are deemed to be an inadvertent investment company, we may seek to rely on a safe harbor under the Investment Company Act that would provide us a one-year grace period to take steps to avoid being deemed to be an investment company. In order to ensure we avoid being deemed an investment company, we have taken, and may need to continue to take, steps to reduce the percentage of our assets that constitute investment assets under the Investment Company Act. These steps have included, among others, selling marketable securities that we might otherwise hold for the long term and deploying our cash in non-investment assets. We may be forced to sell our investment assets at unattractive prices or to sell assets that we otherwise believe benefit our business in the future to remain below the requisite threshold. We may also seek to acquire additional non-investment assets to maintain compliance with the Investment Company Act, and we may need to incur debt, issue additional equity or enter into other financing arrangements that are not otherwise attractive to our business. Any of these actions could have a material adverse effect on our results of operations and financial condition.</w:t>
      </w:r>
    </w:p>
    <w:p>
      <w:pPr>
        <w:pStyle w:val="TextBody"/>
        <w:bidi w:val="0"/>
        <w:spacing w:before="240" w:after="0"/>
        <w:jc w:val="left"/>
        <w:rPr>
          <w:rFonts w:ascii="Times New Roman" w:hAnsi="Times New Roman"/>
          <w:sz w:val="20"/>
        </w:rPr>
      </w:pPr>
      <w:r>
        <w:rPr>
          <w:rFonts w:ascii="Times New Roman" w:hAnsi="Times New Roman"/>
          <w:sz w:val="20"/>
        </w:rPr>
        <w:t xml:space="preserve">Moreover, we can make no assurance that we would successfully be able to take the necessary steps to avoid being deemed to be an investment company in accordance with the safe harbor. If we were unsuccessful, then we would have to register as an investment company, and we would be unable to operate our business in its current form. We would be subject to extensive, restrictive, and potentially adverse statutory provisions and regulations relating to, among other things, operating methods, management, capital structure, indebtedness, dividends, and transactions with affiliates. If we were deemed to be an investment company and did not register as an investment company when required to do so, there would be a risk, among other material adverse consequences, that we could become subject to monetary penalties or injunctive relief, or both, that we would be unable to enforce contracts with third parties, and/or that third parties could seek to obtain rescission of transactions with us undertaken during the period in which we were an unregistered investment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in the interpretation and application of existing, new and proposed tax laws and regulations could materially affect our tax obligations and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of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in future years we may experience a material decrease in our cash flows from operations and an offsetting similarly sized increase in our net deferred tax assets over these amortization periods. The actual impact of this provision will depend on multiple factors, including the amount of research and development expenses we will incur and whether we conduct our research and development activities inside or outside the United States and our overall net operating loss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net operating loss carryforwards and certain other tax attributes to offset future taxable income and taxes may be subject to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our federal net operating losses (“NOLs”) generated in tax years beginning after December 31, 2017, may be carried forward indefinitely, but the deductibility of such federal NOLs is limited to 80% of taxable income. As of December 31, 2025, we had federal NOLs of $211 million. It is uncertain if and to what extent various states will conform to federal tax laws.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possible that we have experienced an ownership change in the past. In addition, we may experience ownership changes in the future as a result of subsequent shifts in our stock ownership, some of which may be outside of our control, as well as the issuance of additional securities if we are successful in raising equity capital.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federal NOL carryforwards may be subject to a percentage limitation if used to offset income in tax years following an ownership change. In addition, it is possible that we have in the past undergone, and in the future may undergo, additional ownership changes that could limit our ability to use all of our pre-change NOL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state taxes owed. As a result, we may be unable to use all or a material portion of our NOL carryforwards and other tax attributes, which would harm our future operating results by effectively increasing our future tax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maintain our cash at financial institutions, often in balances that exceed federally insured limits. </w:t>
      </w:r>
    </w:p>
    <w:p>
      <w:pPr>
        <w:pStyle w:val="TextBody"/>
        <w:bidi w:val="0"/>
        <w:spacing w:before="120" w:after="0"/>
        <w:jc w:val="left"/>
        <w:rPr>
          <w:rFonts w:ascii="Times New Roman" w:hAnsi="Times New Roman"/>
          <w:sz w:val="20"/>
        </w:rPr>
      </w:pPr>
      <w:r>
        <w:rPr>
          <w:rFonts w:ascii="Times New Roman" w:hAnsi="Times New Roman"/>
          <w:sz w:val="20"/>
        </w:rPr>
        <w:t xml:space="preserve">We maintain the majority of our cash and cash equivalents in accounts at banking institutions in the United States that we believe are of high quality. Cash held in these accounts often exceeds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fail to initiate or maintain coverage of our stock, publish a negative report or change their recommendations regarding our stock adversely,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our business, our market or our competitors. Currently, no industry analysts cover our stock.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paid cash dividends and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Korsana’s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is a preclinical stage biotechnology company with a limited operating history on which to assess its business; Korsana has not completed any clinical trials, and it has no products approved for commercial sale, which may make it difficult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Korsana is a preclinical stage biotechnology company with a limited operating history. Since its inception, Korsana has incurred operating losses with no corresponding revenue and has utilized substantially all of its resources to identify and develop its product candidates, organize and staff its company, and provide other general and administrative support for its operations. Korsana has no significant experience as a company in initiating, conducting, or completing preclinical studies or clinical trials. In part because of this lack of experience, Korsana cannot be certain that its preclinical studies or clinical trials will begin or be completed on time, if at all. In addition, Korsana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Korsana’s future success or viability may not be as accurate as they could be if Korsana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Korsana’s business grows, Korsana may encounter unforeseen expenses, restrictions, difficulties, complications, delays, and other known and unknown factors. Korsana will need to transition at some point from a company with an early research and development focus to a company capable of supporting larger scale clinical trials and eventually commercial activities. Korsana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the Korsana Pre-Closing Financing are successful, Korsana will require substantial additional capital to finance its operations in the future. If Korsana is unable to raise such capital when needed, or on acceptable terms, Korsana may be forced to delay, reduce, and/or eliminate one or more of its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Korsana expects its expenses to increase in connection with its ongoing activities, particularly as Korsana conducts preclinical studies and clinical trials of, and seeks regulatory approval for, its product candidates, and advances discovery efforts with respect to its research and development programs, and advances any future programs and product candidates that Korsana may license. Even if one or more of the programs that Korsana develops is approved for commercial sale, Korsana anticipates incurring significant costs associated with sales, marketing, manufacturing, and distribution activities to launch any such product. Korsana’s expenses could increase beyond expectations if Korsana is required by the FDA or other regulatory agencies to perform preclinical studies or clinical trials in addition to or more expansive than those that Korsana currently anticipates. Because the design and outcome of Korsana’s planned and anticipated clinical trials are highly uncertain, Korsana cannot reasonably estimate the actual amount of funding that will be necessary to successfully complete the development and commercialization of any program Korsana develops. Korsana’s future capital requirements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design, progress, results, and costs of discovery and preclinical and clinical development for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completing clinical and commercial-scale manufacturing activities;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defending, and enforcing Korsana’s intellectual property and proprietary rights, and defending intellectual property-related claims, including claims of infringement, misappropriation, or other violations of third-party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the regulatory review of Korsana’s product candidates and obtaining the requisite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Korsana’s future commercialization activities, either on its own or in collaboration with others, including product sales, marketing, manufacturing, and distribution for any product candidate for which Korsana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product candidates for which Korsana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Korsana’s current or future collaborations, including its collaboration with Paragon and Paragon Laboratories pursuant to the Paragon ADOA and Paragon Research Letter Agreement, respectively, and the success of the Paragon License Agreement and any future license agreements Korsana enters into with Paragon;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establish and maintain additional collaborations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in-licenses products,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operational, financial and management information systems and associated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Korsana will require substantial additional funding to continue its operations. As of December 31, 2025 and March 31, 2026, Korsana had $154.1 million and $134.1 million in cash and cash equivalents, respectively. Korsana expects that its existing cash and cash equivalents, and investments, combined with the gross proceeds of approximately $380.0 million from the Korsana Pre-Closing Financing, will be sufficient to fund the Combined Company’s operating expenses and capital expenditure requirements into 2029. Even if the Merger and the Korsana Pre-Closing Financing are successful, Korsana will still need to raise additional capital to continue to fund its operations in the future. If Korsana is unable to raise additional capital when needed, that could raise substantial doubt about Korsana’s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Korsana may be required to seek additional funds sooner than planned through public or private equity offerings, debt financings, collaborations and licensing arrangements, or other sources, and adequate additional financing may not be available to Korsana on acceptable terms, or at all. Such financing may dilute Korsana’s stockholders or the failure to obtain such financing may restrict Korsana’s operating activities. Any additional fundraising efforts may divert Korsana’s management from their day-to-day activities, which may adversely affect Korsana’s business. To the extent that Korsana raises additional capital through the sale of equity or convertible debt securities, the ownership interest of Korsana’s stockholders will be diluted, and the terms may include liquidation or other preferences and anti-dilution protections that adversely affect the rights of Korsana’s stockholders. Debt financing may result in the imposition of debt covenants, increased fixed payment obligations or other restrictions that may affect Korsana’s business. If Korsana raises additional funds through upfront payments or milestone payments pursuant to future collaborations with third parties, Korsana may have to relinquish valuable rights to Korsana’s product candidates, or grant licenses on terms that are not favorable to Korsana. Korsana’s ability to raise additional capital may be adversely impacted by global macroeconomic conditions and volatility in the credit and financial markets in the United States and worldwide. Korsana’s failure to raise capital as and when needed or on acceptable terms would have a negative impact on Korsana’s financial condition and Korsana’s ability to pursue its business strategy, and Korsana may have to delay, reduce the scope of, suspend, or eliminate one or more of its product candidates, clinical trials, or future commercialization efforts or cease Korsana’s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expects to continue to incur losses for the foreseeable future and may not be able to achieve or sustain profitability in the future. Korsana has no products approved for sale, has not generated any revenue from its product candidates, and may never generate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Korsana has no products approved for commercial sale, has not generated any revenue from product sales to date, and continues to incur significant research and development and other expenses related to Korsana’s ongoing operations. Korsana does not expect to generate product revenue unless or until Korsana successfully completes preclinical and clinical development and obtains regulatory approval for, and then successfully commercializes, at least one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may never succeed in these activities and, even if it does, may never generate revenues that are significant or large enough to achieve profitability. If Korsana is unable to raise sufficient additional capital to advance a product candidate to commercialization or generate sufficient revenue through the sale of any approved products, Korsana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Korsana incurred significant net losses in each period since it commenced operations in November 2024. Korsana generated net losses of $35.7 million for the period from November 2024 (inception) to December 31, 2025 and a net loss of $13.5 million during the three months ended March 31, 2026. As of December 31, 2025, Korsana had an accumulated deficit of $35.7 million. Korsana expects to continue to incur losses for the foreseeable future. Korsana’s operating expenses and net losses may fluctuate significantly from quarter to quarter and year to year. Korsana anticipates that its expenses will increase substantially if and as Korsana: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future product candidates through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payments to Paragon under the Paragon License Agreement and Paragon ADOA, and to Paragon Laboratories under the Paragon Research Letter Agreement, and under any additional future collaboration or license agreements that Korsana enters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drug products for which Korsana may obtain regulatory approval, either on its own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Korsana’s product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clinical and commercial-scale current good manufacturing practices (“cGMP”) capabilities through a third-party or Korsana’s own manufacturing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operates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Korsana’s expenses will increase if, among other things, it is required by the FDA or other regulatory authorities to perform clinical trials or studies in addition to, or different than, those that Korsana currently anticipates, there are any delays in completing Korsana’s clinical trials or the development of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there are any third-party challenges to Korsana’s intellectual property or Korsana needs to defend against any intellectual property-related claim. </w:t>
      </w:r>
    </w:p>
    <w:p>
      <w:pPr>
        <w:pStyle w:val="TextBody"/>
        <w:bidi w:val="0"/>
        <w:spacing w:before="240" w:after="0"/>
        <w:jc w:val="left"/>
        <w:rPr>
          <w:rFonts w:ascii="Times New Roman" w:hAnsi="Times New Roman"/>
          <w:sz w:val="20"/>
        </w:rPr>
      </w:pPr>
      <w:r>
        <w:rPr>
          <w:rFonts w:ascii="Times New Roman" w:hAnsi="Times New Roman"/>
          <w:sz w:val="20"/>
        </w:rPr>
        <w:t xml:space="preserve">Even if Korsana obtains regulatory approval for, and is successful in commercializing, one or more of Korsana’s product candidates, Korsana expects to incur substantial additional research and development and other expenditures to develop and market additional product candidates and/or to expand the approved indications of any marketed product. Korsana may encounter unforeseen expenses, difficulties, complications, delays, and other unknown factors that may adversely affect its business. The size of Korsana’s future net losses will depend, in part, on the rate of future growth of Korsana’s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Korsana’s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faces competition from entities that have developed or may develop product candidates for the diseases addressed by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drugs is highly competitive. Korsana’s product candidates, if approved, will face significant competition and Korsana’s failure to effectively compete may prevent it from achieving significant market penetration. Korsana competes with a variety of multinational biopharmaceutical companies, specialized biotechnology companies, and emerging biotechnology companies, as well as academic institutions, governmental agencies, and public and private research institutions, among others. 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Many of the companies with which Korsana is currently competing or will compete against in the future have significantly greater financial resources and expertise in research and development, manufacturing, preclinical testing, conducting clinical trials, obtaining regulatory approvals, and commercialization than Korsana does, and are further along in the clinical development and/or commercialization process. Mergers and acquisitions in the pharmaceutical and biotechnology industry may result in even more resources being concentrated among a smaller number of Korsana’s competitors. Smaller or early-stage companies may also prove to be significant competitors, particularly through collaborative arrangements with large and established companies. These competitors also compete with Korsana in recruiting and retaining qualified scientific and management personnel, establishing clinical trial sites, raising capital, enrolling patients in clinical trials, establishing and defending rights to intellectual property, as well as in acquiring technologies complementary to, or necessary for,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Korsana’s competitors have developed or are developing, and may in the future develop, product candidates or products competitive with Korsana’s product candidates. Competitive therapeutic treatments include those that have already been approved and accepted by the medical community and any potential new treatments, including those currently under clinical development. Korsana’s success will depend partially on its ability to develop and commercialize products that have a competitive safety, efficacy, dosing, and/or presentation profile. Korsana’s commercial opportunity and success will be reduced or eliminated if competing products are safer, more effective, less expensive, or have a more attractive dosing profile or presentation than the products Korsana develops, or if competitors develop products or biosimilars that enter the market more quickly than Korsana and gain market acceptance. Conversely, the lack of commercial success of other competing therapies may raise concerns about the financial viability of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the competitive landscape for Alzheimer’s disease, Korsana may also face competition for establishing clinical trial sites and enrolling patients. Patient enrollment will depend on many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factors, including if potential clinical trial patients choose to undergo treatment with approved products or enroll in competitors’ ongoing clinical trials for product candidates that are under development for the same indications as Korsana’s product candidates. An increase in the number of approved products for the indications Korsana is targeting with its product candidates will likely further exacerbate this competition. Korsana’s inability to enroll a sufficient number of patients could, among other impacts, delay Korsana’s development timeline, which may further harm Korsana’s competitive position. </w:t>
      </w:r>
    </w:p>
    <w:p>
      <w:pPr>
        <w:pStyle w:val="TextBody"/>
        <w:bidi w:val="0"/>
        <w:spacing w:before="320" w:after="0"/>
        <w:jc w:val="left"/>
        <w:rPr>
          <w:rFonts w:ascii="Times New Roman" w:hAnsi="Times New Roman"/>
          <w:b/>
          <w:i/>
          <w:sz w:val="20"/>
        </w:rPr>
      </w:pPr>
      <w:r>
        <w:rPr>
          <w:rFonts w:ascii="Times New Roman" w:hAnsi="Times New Roman"/>
          <w:b/>
          <w:i/>
          <w:sz w:val="20"/>
        </w:rPr>
        <w:t xml:space="preserve">Korsana’s programs are in the preclinical and clinical stages of development and may fail in development or suffer delays that materially and adversely affect Korsana’s viability. If Korsana or its future collaborators are unable to complete development of or commercialize Korsana’s product candidates, or experience significant delays in doing so, Korsana’s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Korsana has no commercially approved products. Korsana’s programs are in the preclinical and clinical stages of development, and Korsana has not completed any clinical trials. As a result, Korsana expects it will be many years before Korsana commercializes any product candidate, if ever. Korsana’s ability to achieve and sustain profitability depends on obtaining regulatory approvals for, and successfully commercializing, Korsana’s product candidates, either alone or with third parties, and Korsana cannot guarantee that it will ever obtain regulatory approval for any of its product candidates. Korsana has not yet demonstrated its ability to complete any clinical trials, obtain regulatory approvals, manufacture a commercial-scale product or arrange for a third party to do so on Korsana’s behalf, or conduct sales and marketing activities necessary for successful product commercialization. Before obtaining regulatory approval for the commercial distribution of any product candidate, Korsana or an existing or future collaborator must conduct extensive preclinical tests and clinical trials to demonstrate the safety and efficacy in humans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Korsana or its collaborators may experience delays in initiating or completing preclinical studies or clinical trials. Korsana or its collaborators also may experience numerous unforeseen events during, or as a result of, any future preclinical studies or clinical trials that Korsana could conduct that could delay or prevent Korsana’s ability to receive regulatory approval or commercialize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such as the FDA, institutional review boards (“IRBs”), or comparable foreign regulatory authorities may not authorize Korsana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deviate from the trial protocol, fail to conduct trials in a compliant manner, or drop out of a trial, which may require that Korsana add new clinical trial sites or investigators or otherwise negatively impact the timing or integrity of Korsana’s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candidates may fail to show safety or efficacy, or may produce negative or inconclusive results and Korsana may decide, or regulators may require Korsana, to conduct additional preclinical studies or clinical trials or Korsana may decide to abandon a product development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product candidates may be larger than Korsana can anticipate, and enrollment in these clinical trials may be slower than Korsana anticipates or subjects may drop out of these clinical trials or fail to return for post-treatment follow-up at a higher rate than Korsana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third-party contractors may fail to comply with regulatory requirements or meet their contractual obligations to Korsana in a timely manner, or at all, or may deviate from the clinical trial protocol or suffer other quality or performance issues that negatively impact the timing or integrity of Korsana’s clinical trial(s);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elect to, or regulators, IRBs or ethics committees may require that Korsana or its investigators, suspend or terminate clinical research or trials for various reasons, including noncompliance with regulatory requirements or a finding that the participants in Korsana’s clinical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Korsana’s product candidates may be greater than Korsana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Korsana’s product candidates or other materials necessary to conduct clinical trials of Korsana’s product candidates may be inadequate to initiate or successfully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be unable to manufacture sufficient quantities of its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concerns about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fail to establish an appropriate safety profile for a product candidate based on preclinical or clinical data for such product candidate as well as data emerging from other therapies in the same class as such product candidate;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Korsana to submit additional data, such as long-term toxicology studies, or impose other requirements before permitting Korsana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Korsana to complete additional preclinical studies or Korsana is required to satisfy other FDA or foreign regulatory authority requests, respectively, prior to commencing clinical trials, the start of Korsana’s first clinical trial for a product candidate may be delayed. Even after Korsana receives and incorporates guidance from these regulatory authorities, the FDA or other regulatory authorities could disagree as to whether Korsana has satisfied their requirements to commence any clinical trial or change their position on the acceptability of Korsana’s trial design or the clinical endpoints selected, which may require Korsana to complete additional preclinical studies or clinical trials, delay the enrollment of Korsana’s clinical trials or impose stricter approval conditions than Korsana currently expects. There are analogous processes and risks applicable to clinical trial applications in other countries, including but not limited to Canada, New Zealand, Australia, countries in the EU, and countries in Asia. </w:t>
      </w:r>
    </w:p>
    <w:p>
      <w:pPr>
        <w:pStyle w:val="TextBody"/>
        <w:bidi w:val="0"/>
        <w:spacing w:before="240" w:after="0"/>
        <w:jc w:val="left"/>
        <w:rPr>
          <w:rFonts w:ascii="Times New Roman" w:hAnsi="Times New Roman"/>
          <w:sz w:val="20"/>
        </w:rPr>
      </w:pPr>
      <w:r>
        <w:rPr>
          <w:rFonts w:ascii="Times New Roman" w:hAnsi="Times New Roman"/>
          <w:sz w:val="20"/>
        </w:rPr>
        <w:t xml:space="preserve">Korsana may not have the financial resources to continue development of its product candidates if Korsana experiences any issues that delay or prevent regulatory approval of, or Korsana’s ability to commercialize, its product candidates. Korsana or its future collaborators’ inability to complete development of, or commercialize Korsana’s product candidates, or significant delays in doing so, could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substantially dependent on the success of KRSA-028, and Korsana’s anticipated clinical trials for such product candidate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success is substantially dependent on its ability to timely obtain regulatory approval for, and then successfully commercialize, KRSA-028. Korsana is initially investing a majority of its efforts and financial resources into the research and development of this program. After Korsana completes GLP toxicity studies, it plans to submit a CTN in Australia or a CTA in New Zealand by the end of 2026 and an IND in the United States in the first quarter of 2027. Pharmacokinetic data in healthy volunteers is anticipated by mid-year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2027 and interim proof-of-concept data in Alzheimer’s disease patients is anticipated between year-end 2027 and the first quarter of 2028. The success of KRSA-028 depends on demonstrating one or more clinical advantages over other approved anti-A</w:t>
      </w:r>
      <w:r>
        <w:rPr>
          <w:rFonts w:ascii="SYMBOL" w:hAnsi="SYMBOL"/>
          <w:sz w:val="20"/>
        </w:rPr>
        <w:t>b</w:t>
      </w:r>
      <w:r>
        <w:rPr>
          <w:rFonts w:ascii="Times New Roman" w:hAnsi="Times New Roman"/>
          <w:sz w:val="20"/>
        </w:rPr>
        <w:t xml:space="preserve"> antibody products or product candidates in clinical development, which may include favorable data on amyloid plaque clearance, slowing of cognitive decline or disease progression, reduced rates of amyloid-related imaging abnormalities (“ARIA”), improved hematologic safety, and/or a convenient low-volume subcutaneous route of administration. Korsana’s belief that KRSA-028 will show favorable clinical data is based in part on the assumption that the increased brain penetration observed in mice and non-human primates (“NHPs”) through the use of the proprietary THETA platform, which confers binding to the transferrin receptor (“TfR1”), will translate to humans. If Korsana’s Phase 1 clinical trial of KRSA-028 or additional clinical trials do not demonstrate adequate brain delivery or improvements versus the limitations of other TfR1-based approaches, the clinical and commercial potential of KRSA-028 will be significantly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Korsana’s product candidates will require evaluation of preclinical, clinical, and manufacturing activities, preclinical and clinical development, regulatory approval in multiple jurisdictions, substantial investment, and significant marketing efforts before Korsana generates any revenues from product sales. Korsana is not permitted to market or promote its product candidates before it receives regulatory approval from the FDA and comparable foreign regulatory authorities, and Korsana may never receive such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Korsana’s product candidates will depend on a variety of factors. Korsana does not have complete control over many of these factors, including certain aspects of clinical development and the regulatory submission process, potential threats to Korsana’s intellectual property rights, potential threats from the intellectual property rights of third parties and the manufacturing, marketing, distribution, and sales efforts of any future collaborator. Accordingly, Korsana cannot assure you that it will ever be able to generate revenue through the sale of these product candidates, even if approved. If Korsana is not successful in obtaining regulatory approval for and commercializing KRSA-028 or future product candidates, or is significantly delayed in doing so, Korsana’s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are based on novel technology in fields that have seen limited success in drug development, which makes it difficult to predict the time and cost of product candidate development and subsequently obtaining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has focused its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neurodegenerative diseases, such as Alzheimer’s disease and Parkinson’s disease. Korsana’s future success is highly dependent on the successful development of its THETA platform and its product candidates for treating neurodegenerative diseases. Developing and, if approved, commercializing Korsana’s product candidates for treatment of neurodegenerative diseases subjects it to a number of challenges, including engineering product candidates to cross the blood brain barrier (“BBB”) to enable optimal concentration of the therapeutic in the brain and obtaining regulatory approval from the FDA and other regulatory authorities who have only a limited set of precedents to rely on. </w:t>
      </w:r>
    </w:p>
    <w:p>
      <w:pPr>
        <w:pStyle w:val="TextBody"/>
        <w:bidi w:val="0"/>
        <w:spacing w:before="240" w:after="0"/>
        <w:jc w:val="left"/>
        <w:rPr>
          <w:rFonts w:ascii="Times New Roman" w:hAnsi="Times New Roman"/>
          <w:sz w:val="20"/>
        </w:rPr>
      </w:pPr>
      <w:r>
        <w:rPr>
          <w:rFonts w:ascii="Times New Roman" w:hAnsi="Times New Roman"/>
          <w:sz w:val="20"/>
        </w:rPr>
        <w:t xml:space="preserve">Korsana’s approach to the treatment of neurodegenerative diseases aims to identify and select targets with a link to neurodegenerative diseases; to identify and develop molecules that engage the intended target; to, where possible, identify and develop biomarkers, which are biological molecules found in blood, other bodily fluids, or tissues that are signs of a normal or abnormal process or of a condition or disease, to select patient populations and demonstrate, where possible, target engagement, pathway engagement, and impact on disease progression of its molecules; and to engineer its molecules to cross the BBB and act directly in the brain. This strategy may not prove to be successful. Korsana may not be able to discover, develop, and utilize biomarkers to demonstrate target engagement, pathway engagement, and the impact on disease progression of its product candidates. Korsana cannot be sure that its approach will yield satisfactory therapeutic products that are safe and effective, scalable, or profitable. Moreover, public perception of drug safety issues, including adoption of new therapeutics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novel approaches to treatment, may adversely influence the willingness of subjects to participate in clinical trials, or if approved, of physicians to subscribe to novel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does not achieve its projected development objectives in the time frames Korsana announces and expects, the commercialization of its product candidates may be delayed which may harm Korsana’s reputation and prospects, increase its expenses, and cause its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estimates the timing of the anticipated accomplishment of various scientific, clinical, regulatory and other product development goals, which Korsana sometimes refers to as milestones. These milestones may include the commencement or completion of scientific studies and clinical trials, such as the expected timing for the initiation of Korsana’s Phase 1 clinical trial of KRSA-028, the timing for receipt of clinical data, and the timing for the submission of regulatory filings. From time to time, Korsana may publicly announce the expected timing of some of these milestones. All of these milestones are and will be based on numerous assumptions. The actual timing of these milestones can vary dramatically compared to Korsana’s estimates, in many cases for reasons beyond Korsana’s control. If Korsana does not meet these milestones as publicly announced, or at all, Korsana’s prospects and reputation may be adversely affected, and its stock price may decline. Additionally, delays relative to Korsana’s projected timelines are likely to cause overall expenses to increase, which may require Korsana to raise additional capital sooner than expected and prior to achieving targeted development milestones.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approach to the discovery and development of its product candidates is unproven, and Korsana may not be successful in its efforts to build a pipeline of product candidates with commercial value. </w:t>
      </w:r>
    </w:p>
    <w:p>
      <w:pPr>
        <w:pStyle w:val="TextBody"/>
        <w:bidi w:val="0"/>
        <w:spacing w:before="120" w:after="0"/>
        <w:jc w:val="left"/>
        <w:rPr>
          <w:rFonts w:ascii="Times New Roman" w:hAnsi="Times New Roman"/>
          <w:sz w:val="20"/>
        </w:rPr>
      </w:pPr>
      <w:r>
        <w:rPr>
          <w:rFonts w:ascii="Times New Roman" w:hAnsi="Times New Roman"/>
          <w:sz w:val="20"/>
        </w:rPr>
        <w:t xml:space="preserve">Korsana’s approach to the discovery and development of its product candidates leverages established mechanisms of action and incorporates advanced antibody engineering to optimize half-life and other properties designed to overcome limitations of existing therapies, including increased binding affinity, and transferrin receptor (“TfR”) shuttling for delivering large molecule drugs across the BBB, enabling higher drug concentration inside the brain. Korsana’s product candidates are purposefully designed to improve upon existing product candidates and products while maintaining the same, established mechanisms of action. However, the scientific research that forms the basis of Korsana’s efforts to develop differentiated product candidates using half-life extension technologies, effector function modification, and/or the TfR-based THETA technology to deliver large molecule drugs across the BBB, is ongoing and may not result in viable product candidates. Korsana has no clinical data on product candidates using TfR-based THETA technology in neurodegenerative diseases and demonstrating whether they are safe or effective for long-term treatment in humans. Korsana also has no clinical data to indicate whether its antibody engineering designed to optimize half-life and modify effector function enhances brain exposure or translates into improved safety, tolerability, convenience, or efficacy in humans. The long-term safety and efficacy of Korsana’s product candidates compared to currently approved products is unknown. </w:t>
      </w:r>
    </w:p>
    <w:p>
      <w:pPr>
        <w:pStyle w:val="TextBody"/>
        <w:bidi w:val="0"/>
        <w:spacing w:before="240" w:after="0"/>
        <w:jc w:val="left"/>
        <w:rPr>
          <w:rFonts w:ascii="Times New Roman" w:hAnsi="Times New Roman"/>
          <w:sz w:val="20"/>
        </w:rPr>
      </w:pPr>
      <w:r>
        <w:rPr>
          <w:rFonts w:ascii="Times New Roman" w:hAnsi="Times New Roman"/>
          <w:sz w:val="20"/>
        </w:rPr>
        <w:t>Korsana may ultimately discover that utilizing half-life extension technologies, effector function modulation, and the TfR-based THETA technology to target 3pE-A</w:t>
      </w:r>
      <w:r>
        <w:rPr>
          <w:rFonts w:ascii="SYMBOL" w:hAnsi="SYMBOL"/>
          <w:sz w:val="20"/>
        </w:rPr>
        <w:t>b</w:t>
      </w:r>
      <w:r>
        <w:rPr>
          <w:rFonts w:ascii="Times New Roman" w:hAnsi="Times New Roman"/>
          <w:sz w:val="20"/>
        </w:rPr>
        <w:t xml:space="preserve"> for Korsana’s specific indications and any product candidates resulting therefrom do not possess certain properties required for therapeutic effectiveness. Korsana currently has only preclinical data regarding the increased half-life properties, effector function modulation, and targeting mechanism of Korsana’s product candidates, and the same results may not be seen in humans. In addition, product candidates using half-life extension technologies and effector function modulation, or that are designed to bind to 3pE-A</w:t>
      </w:r>
      <w:r>
        <w:rPr>
          <w:rFonts w:ascii="SYMBOL" w:hAnsi="SYMBOL"/>
          <w:sz w:val="20"/>
        </w:rPr>
        <w:t>b</w:t>
      </w:r>
      <w:r>
        <w:rPr>
          <w:rFonts w:ascii="Times New Roman" w:hAnsi="Times New Roman"/>
          <w:sz w:val="20"/>
        </w:rPr>
        <w:t xml:space="preserve"> and clear amyloid plaques, may demonstrate different chemical, pharmacological and biological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other companies are developing drug products that target A</w:t>
      </w:r>
      <w:r>
        <w:rPr>
          <w:rFonts w:ascii="SYMBOL" w:hAnsi="SYMBOL"/>
          <w:sz w:val="20"/>
        </w:rPr>
        <w:t>b</w:t>
      </w:r>
      <w:r>
        <w:rPr>
          <w:rFonts w:ascii="Times New Roman" w:hAnsi="Times New Roman"/>
          <w:sz w:val="20"/>
        </w:rPr>
        <w:t xml:space="preserve"> or utilize TfR-mediated delivery technologies for central nervous system indications, or that utilize half-life extension technology and/or effector function modulation for other targets. The failure of those companies to demonstrate the safety and/or efficacy of their product candidates may be harmful to Korsana’s business, financial condition, results of operations, and prospects. Conversely, if those companies are successful in demonstrating safety and/or efficacy of their product candidates, these competitive products may instead gain and hold the applicable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may in the future seek to discover and develop product candidates that are based on novel targets and technologies that are unproven. If Korsana’s discovery or business development activities fail to identify novel targets or technologies for drug development, or such targets or technologies prove to be unsuitable for treating human disease, Korsana may not be able to develop viable additional product candidates. Korsana and its future collaborators may never receive approval to market and commercialize any product candidate. Even if Korsana or a future collaborator obtains regulatory approval, the approval may be for targets, disease indications or patient populations that are not as broad as Korsana intended or desired or may require labeling that includes significant use or distribution restrictions or safety warnings. If the products resulting from Korsana’s product candidates prove to be ineffective, unsafe, or commercially unviable, Korsana’s product candidates and pipeline would have little, if any, value, which would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 from regulatory authorities for the sale of any product candidate, Korsana must complete preclinical studies and then conduct extensive clinical trials to demonstrate the safety and efficacy of Korsana’s product candidate in humans. Korsana’s clinical trials may not be conducted as planned or completed on schedule, if at all, and failure can occur at any time during the preclinical study or clinical trial process. 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Korsana expects to rely on patients to provide feedback on subjective measures, including disease severity and quality of life, which are inherently difficult to evaluate. These measures can be influenced by factors outside of Korsana’s control and can vary widely from day to day for a particular patient, and from patient to patient and from site to site within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Korsana cannot be sure that the FDA or comparable foreign regulatory authorities will agree with Korsana’s clinical development plans. Korsana plans to use the data from healthy volunteers from its Phase 1 clinical trial of KRSA-028 to support additional clinical development. However, there is no guarantee the data from such Phase 1 trial will support additional development. If the FDA or comparable foreign regulatory authorities require Korsana to conduct additional trials or enroll additional healthy volunteers or patients, Korsana’s development timeline may be delayed. Korsana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in vivo</w:t>
      </w:r>
      <w:r>
        <w:rPr>
          <w:rFonts w:ascii="Times New Roman" w:hAnsi="Times New Roman"/>
          <w:sz w:val="20"/>
        </w:rPr>
        <w:t xml:space="preserve"> or </w:t>
      </w:r>
      <w:r>
        <w:rPr>
          <w:rFonts w:ascii="Times New Roman" w:hAnsi="Times New Roman"/>
          <w:i/>
          <w:sz w:val="20"/>
        </w:rPr>
        <w:t>in vitro</w:t>
      </w:r>
      <w:r>
        <w:rPr>
          <w:rFonts w:ascii="Times New Roman" w:hAnsi="Times New Roman"/>
          <w:sz w:val="20"/>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Korsana’s product candidates for use in clinical trials or the inability to do any of the foregoing; failure by Korsana’s CROs, other third parties or Korsana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Korsana’s CMOs or Korsana to make any necessary changes to such manufacturing process; and third parties being unwilling or unable to satisfy their contractual obligations to Korsana. </w:t>
      </w:r>
    </w:p>
    <w:p>
      <w:pPr>
        <w:pStyle w:val="TextBody"/>
        <w:bidi w:val="0"/>
        <w:spacing w:before="240" w:after="0"/>
        <w:jc w:val="left"/>
        <w:rPr>
          <w:rFonts w:ascii="Times New Roman" w:hAnsi="Times New Roman"/>
          <w:sz w:val="20"/>
        </w:rPr>
      </w:pPr>
      <w:r>
        <w:rPr>
          <w:rFonts w:ascii="Times New Roman" w:hAnsi="Times New Roman"/>
          <w:sz w:val="20"/>
        </w:rPr>
        <w:t xml:space="preserve">Korsana could also encounter delays if a clinical trial is suspended or terminated by Korsana,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Korsana’s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Korsana is required to conduct additional clinical trials or other testing of its product candidates beyond those that Korsana currently contemplates, if Korsana is unable to successfully complete clinical trials of its product candidates, if the results of these trials are not positive or are only moderately positive or if there are safety concerns, Korsana’s business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encounter difficulties enrolling patients in its clinical trials, and its clinical development activities could thereby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timely completion of clinical trials in accordance with their protocols depends, among other things, on Korsana’s ability to enroll a sufficient number of patients who remain in the trial until its conclusion. Korsana may experience difficulties in patient enrollment in clinical trials for a variety of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including biomarker-driven identification and/or certain highly specific criteria related to stage of disease progression, which may limit the patient populations eligible for Korsana’s clinical trials to a greater extent than competing clinical trials for the same indication that do not have biomarker-driven patient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study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a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enrolling patients in Korsana’s clinical trials caused by worldwide economic conditions, including pandemics or other public health outbreaks and other geopolitical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targeting patient populations meeting Korsana’s patient eligibility criteria;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approved products that target the patient populations that Korsana is seeking to enroll;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of the potential advantages and side effects of the product candidate being studied in relation to other available therapies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Korsana may not be able to collect data from patients for any reason. </w:t>
            </w:r>
          </w:p>
        </w:tc>
      </w:tr>
    </w:tbl>
    <w:p>
      <w:pPr>
        <w:pStyle w:val="TextBody"/>
        <w:bidi w:val="0"/>
        <w:spacing w:before="240" w:after="0"/>
        <w:jc w:val="left"/>
        <w:rPr>
          <w:rFonts w:ascii="Times New Roman" w:hAnsi="Times New Roman"/>
          <w:sz w:val="20"/>
        </w:rPr>
      </w:pPr>
      <w:r>
        <w:rPr>
          <w:rFonts w:ascii="Times New Roman" w:hAnsi="Times New Roman"/>
          <w:sz w:val="20"/>
        </w:rPr>
        <w:t>Korsana or its partners may encounter difficulties or delays in enrollment of its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Korsana or its partners’ ability to enroll participants in clinical trials for Alzheimer’s disease may be hampered if potential participants choose to instead avail themselves of approved therapies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Korsana’s clinical trials that Korsana announces or publishes from time to time may change as more patient data become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publicly disclose preliminary or topline data from its preclinical studies and clinical trials, which are based on a preliminary analysis of then-available data. The results and related findings and conclusions are subject to change following a more comprehensive review of the data. Korsana also makes assumptions, estimations, calculations, and conclusions as part of its analyses of these data without the opportunity to fully and carefully evaluate complete data. As a result, the preliminary or topline results that Korsana reports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preliminary or topline data should be viewed with caution until the final data are available. From time to time, Korsana may also disclose interim data from its preclinical studies and clinical trials. Interim data are subject to the risk that one or more of the clinical outcomes may materially change as patient enrollment continues and more patient data become available or as patients from Korsana’s clinical trials continue other treatments. Further, others, including regulatory authorities, may not accept or agree with Korsana’s assumptions, estimates, calculations, conclusions, or analyses or may interpret or weigh the importance of data differently, which could impact the value of the particular product candidate, the approvability or commercialization of the particular product candidate and of Korsana as a company. In addition, the information Korsana chooses to publicly disclose regarding a particular preclinical study or clinical trial is based on what is typically extensive information, and you or others may not agree with what Korsana determines is material or otherwise appropriate information to include in Korsana’s disclosure. As a result, you or others may have reached different conclusions based on such extensive information in comparison to Korsana’s publicly disclosed conclusion regarding a particular preclinical study or clinical trial. If the preliminary, topline, or interim data that Korsana reports differ from actual results, or if others, including regulatory authorities, disagree with the conclusions reached, Korsana’s ability to obtain approval for, and commercialize, Korsana’s product candidates may be harmed, which could harm Korsana’s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clinical trials or those of its future collaborators may reveal significant adverse events or undesirable side effects not seen in Korsana’s preclinical studies and may result in a safety profile that could halt clinical development, inhibit regulatory approval, or limit commercial potential or market acceptance of any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of Korsana’s clinical trials could reveal a high or unacceptable severity and prevalence of side effects, adverse events or unexpected characteristics. Korsana has not yet completed any clinical trials in humans. If significant adverse events or other side effects are observed in any of Korsana’s future clinical trials, Korsana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have difficulty recruiting patients to such trials, patients may drop out of Korsana’s trials, or Korsana may be required to abandon the trials or Korsana’s development efforts of one or more product candidates altogether. For example, treatment-emergent adverse events (“TEAEs”) have been reported in approximately 85% of expansion cohort participants in Roche’s Brainshuttle AD study, an ongoing Phase 1/2 clinical trial investigating trontinemab in patients with prodromal or mild to moderate Alzheimer’s disease, including ARIA, anemia, infusion-related reactions, and one fatal case of cerebral macrohemorrhage. </w:t>
      </w:r>
    </w:p>
    <w:p>
      <w:pPr>
        <w:pStyle w:val="TextBody"/>
        <w:bidi w:val="0"/>
        <w:spacing w:before="240" w:after="0"/>
        <w:jc w:val="left"/>
        <w:rPr>
          <w:rFonts w:ascii="Times New Roman" w:hAnsi="Times New Roman"/>
          <w:sz w:val="20"/>
        </w:rPr>
      </w:pPr>
      <w:r>
        <w:rPr>
          <w:rFonts w:ascii="Times New Roman" w:hAnsi="Times New Roman"/>
          <w:sz w:val="20"/>
        </w:rPr>
        <w:t xml:space="preserve">Because KRSA-028 will have a similar mechanism of action as trontinemab, it is possible that patients in Korsana’s future clinical trials could exhibit TEAEs of similar or worse frequency or severity. Korsana,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Korsana’s tolerability versus other therapies. In addition, an extended half-life could prolong the duration of undesirable side effects, which could also inhibit market acceptance. TEAEs could also affect patient recruitment or the ability of enrolled subjects to complete Korsana’s clinical trials or could result in potential product liability claims. Potential side effects associated with Korsana’s product candidates may not be appropriately recognized or managed by the treating medical staff, as toxicities resulting from Korsana’s product candidates may not be normally encountered in the general patient population and by medical personnel. Any of these occurrences could harm Korsana’s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Korsana successfully advances its product candidates or any future product candidate through clinical trials, such trials will only include a limited number of patients and limited duration of exposure to Korsana’s product candidates. As a result, Korsana cannot be assured that adverse effects of Korsana’s product candidates will not be uncovered when a significantly larger number of patients are exposed to the product candidate after approval. Further, any clinical trials may not be sufficient to determine the effect and safety consequences of using Korsana’s product candidates over a multi-year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expend its limited resources to pursue a particular program and fail to capitalize on programs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 has limited financial and managerial resources, Korsana focuses its research and development efforts on certain selected programs. For example, Korsana is initially focused primarily on its initial product candidate, KRSA-028. As a result, Korsana may forgo or delay pursuit of opportunities with other programs that later prove to have greater commercial potential. Korsana’s resource allocation decisions may cause Korsana to fail to capitalize on viable commercial products or profitable market opportunities. Korsana’s spending on current and future research and development product candidates for specific indications may not yield any commercially viable product candidates. If Korsana does not accurately evaluate the commercial potential or target market for a particular product candidate, Korsana may relinquish valuable rights to that product candidate through collaboration, licensing, or other royalty arrangements in cases in which it would have been more advantageous for Korsana to retain sole development and commercialization rights to such product candidate. In addition, Korsana may select product candidates amongst a variety of potential product candidates, and the product candidates Korsana selects may fail to be viable commercial products or the product candidates Korsana does not select may have a greater likelihood of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approved products resulting from Korsana’s current programs or any future program may not achieve adequate market acceptance among clinicians, patients, healthcare third-party payors, and others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medical community necessary for commercial success and Korsana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a product candidate resulting from one of Korsana’s current or future programs, Korsana may not gain market acceptance among physicians, healthcare professionals, patients, healthcare payors, or the medical community. Korsana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Korsana’s control. </w:t>
      </w:r>
    </w:p>
    <w:p>
      <w:pPr>
        <w:pStyle w:val="TextBody"/>
        <w:bidi w:val="0"/>
        <w:spacing w:before="240" w:after="0"/>
        <w:jc w:val="left"/>
        <w:rPr>
          <w:rFonts w:ascii="Times New Roman" w:hAnsi="Times New Roman"/>
          <w:sz w:val="20"/>
        </w:rPr>
      </w:pPr>
      <w:r>
        <w:rPr>
          <w:rFonts w:ascii="Times New Roman" w:hAnsi="Times New Roman"/>
          <w:sz w:val="20"/>
        </w:rPr>
        <w:t xml:space="preserve">There are two approved disease-modifying therapeutic products and additional product candidates in later stages of clinical development for the treatment of Alzheimer’s disease, including Leqembi (marketed by Eisai and Biogen) and Kisunla (marketed by Lilly). However, KRSA-028 is designed to have improved brain penetration and contains modifications that are known to increase the half-life of antibodies in circulation; to date, no such disease-modifying therapy with these design modifications has been approved by the FDA for the treatment of Alzheimer’s disease, though several such agents are in clinical development. Market participants with significant influence over acceptance of new treatments, such as clinicians and third-party payors, may not adopt a biologic that incorporates effector function modification and half-life extension for Korsana’s targeted indication, and Korsana may not be able to convince the medical community and third-party payors to accept and use, or to provide favorable reimbursement for, any programs developed by Korsana or its existing or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Market acceptance of Korsana’s product candidates may be negatively impacted by potential poor performance of Korsana’s competitors, including the occurrence of serious adverse events in such competitors’ clinical trials or failure by such competitors to obtain and maintain regulatory approval for their product candidates. Additionally, although Korsana believes that the improved dosing and convenience it expects its product candidates to provide will improve market acceptance of such product candidates and that Korsana’s product candidates will have a competitive efficacy profile, Korsana’s predictions may not be accurate and other competitive products may instead gain and hold the applicable market. Sales of medical products also depend on the willingness of clinicians to prescribe the treatment. Korsana cannot predict whether clinicians, clinicians’ organizations, hospitals, other healthcare providers, government agencies, or private insurers will determine that Korsana’s product is safe, therapeutically effective, cost effective or less burdensome as compared with competing treatments. If any current or future product candidate is approved but does not achieve an adequate level of acceptance by such parties, Korsana may not generate or derive sufficient revenue from that product candidate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Korsana’s programs may compete with Korsana’s other programs, which could negatively impact Korsana’s business and reduce Korsana’s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Korsana is developing KRSA-028 for the treatment of Alzheimer’s disease and may in the future develop programs for additional neurodegenerative disease indications. However, developing multiple product candidates for neurodegenerative disease indications may negatively impact Korsana’s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Korsana’s future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research and development efforts are concentrated in the field of neurodegenerative diseases, which has historically experienced a high rate of clinical failure. If the scientific basis for Korsana’s approach proves insufficient or the field experiences setbacks, Korsana’s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Korsana has concentrated its research and development efforts on therapeutics for neurodegenerative diseases, with its lead product candidate, KRSA-028, targeting Alzheimer’s disease. The neurodegenerative disease field has historically experienced a high rate of clinical trial failure compared to other therapeutic areas, and a number of companies have invested significant resources in the development of neurodegenerative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without obtaining regulatory approval. If the scientific basis for Korsana’s approach to treating neurodegenerative diseases, including the use of TfR-based THETA technology to deliver therapeutics across the blood brain barrier, proves to be flawed or insufficient, Korsana’s entire pipeline could be rendered nonviable. Because Korsana’s pipeline is concentrated in a single therapeutic area, Korsana does not have the benefit of diversification across multiple therapeutic areas that could offset failures in any one program. A setback in one program could have a disproportionate impact on Korsana’s business, financial condition, results of operations, and prospects relative to a company with a more diversified pipeline. Adverse developments in the neurodegenerative disease field generally, including safety signals or clinical failures by other companies developing therapies for similar indications, could negatively affect investor sentiment, regulatory scrutiny, and patient enrollment for Korsana’s clinical trials, regardless of the merits of Korsana’s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plans to conduct clinical trials for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Korsana plans to conduct the single ascending dose (SAD) portion of its Phase 1 clinical trial of KRSA-028 in healthy participants in Australia or New Zealand, and Korsana may choose to conduct the multiple ascending dose (MAD) portion of its Phase clinical trial of KRSA-028 in AD patients and future clinical trials outside the United States in whole or in part, including potentially in the UK, EU, or Canada.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Korsana’s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Korsana’s development of the applicable product candidates or delay or prevent regulatory approval for commercialization in the applicable jurisdiction. Even if the FDA or any comparable foreign regulatory authority accepted such data, it could require Korsana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Korsana’s clinical trials. These risks include the failure of enrolled patients in foreign countries to adhere to clinical protocol as a result of differences in healthcare services or cultural customs that could restrict or limit Korsana’s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relies on collaborations and licensing arrangements with third parties, including Paragon. If Korsana is unable to maintain these collaborations or licensing arrangements, or if these collaborations or licensing arrangements are not successful, Korsana’s business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its collaboration with Paragon and Paragon Laboratories for a substantial portion of its discovery capabilities and for the rights necessary to develop and commercialize its product candidates. In the future, Korsana could also rely on additional licensing arrangements with third parties. For example, Korsana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entered into the Paragon ADOA, the Paragon POA, the Paragon Research Letter Agreement, and the Paragon License Agreement. However, Paragon or Paragon Laboratories could terminate these agreements under certain circumstances, including Korsana’s failure to make any payments owed to Paragon under the agreement or any uncured material breach of the agreement by Korsana, in which event Korsana may lose intellectual property rights and may not be able to develop or commercialize the product candidates covered by that agreement, including KRSA-028.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or licensing arrangements that Korsana enters into may not be successful, and any success will depend heavily on the efforts and activities of such collaborators or licensors. If any of Korsana’s collaborators or licensors experiences delays in performance of, or fails to perform, their obligations under their agreement with Korsana, disagrees with Korsana’s interpretation of the terms of such agreement, or terminates their agreement with Korsana, Korsana’s pipeline and product candidates and development timeline could be adversely affected. If Korsana fails to comply with any of the obligations under its collaborations or license agreements, including payment terms and diligence terms, Korsana’s collaborators or licensors may have the right to terminate such agreements, in which event Korsana may lose intellectual property rights and may not be able to develop, manufacture, market or sell the products covered by Korsana’s agreements or may face other penalties under Korsana’s agreements. Korsana’s collaborators and licensors may also fail to properly maintain or defend the intellectual property Korsana has licensed from them, if required by Korsana’s agreement with them, leading to the potential invalidation of Korsana’s intellectual property, or they may even infringe upon Korsana’s intellectual property rights, any of which could subject Korsana to litigation or arbitration, which would be time-consuming and expensive and could harm Korsana’s ability to commercialize its product candidates. In addition, collaborators could independently develop, or develop with third parties, products that compete directly or indirectly with Korsana’s product candidates and products if the collaborators believe that the competitive products are more likely to be successfully developed or can be commercialized under terms that are more economically attractive than Korsana’s. </w:t>
      </w:r>
    </w:p>
    <w:p>
      <w:pPr>
        <w:pStyle w:val="TextBody"/>
        <w:bidi w:val="0"/>
        <w:spacing w:before="240" w:after="0"/>
        <w:jc w:val="left"/>
        <w:rPr>
          <w:rFonts w:ascii="Times New Roman" w:hAnsi="Times New Roman"/>
          <w:sz w:val="20"/>
        </w:rPr>
      </w:pPr>
      <w:r>
        <w:rPr>
          <w:rFonts w:ascii="Times New Roman" w:hAnsi="Times New Roman"/>
          <w:sz w:val="20"/>
        </w:rPr>
        <w:t xml:space="preserve">As part of Korsana’s strategy, Korsana plans to evaluate additional opportunities to enhance its capabilities and expand its development pipeline or add development or commercialization capabilities. Korsana may not realize the benefits of such collaborations, alliances or licensing arrangements. Any of these relationships may require Korsana to incur non-recurring and other charges, increase Korsana’s near and long-term expenditures, issue securities that dilute Korsana’s existing stockholders or disrupt Korsana’s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Korsana may face significant competition in attracting appropriate collaborators, and more established companies may also be pursuing strategies to license or acquire third-party intellectual property rights that Korsana considers attractive. These companies may have a competitive advantage over Korsana due to their size, financial resources and greater clinical development and commercialization capabilities. In addition, companies may be unwilling to assign or license rights to Korsana, whether they perceive Korsana to be a competitor or for other reasons. Whether Korsana reaches a definitive agreement for a collaboration will depend, among other things, upon Korsana’s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Korsana may not be able to negotiate additional collaborations on a timely basis, on acceptable terms or at all. If Korsana fails to enter into collaborations and does not have sufficient funds or expertise to undertake the necessary development and commercialization activities, Korsana may not be able to further develop its product candidates or bring them to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associated with the in-licensing or acquisition of product candidates could cause substantial delays in the preclinical and clinical development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relied and continues to rely on Paragon, and expects to rely on Korsana’s future licensing partners, to (i) conduct research and development in accordance with the applicable protocol, legal, regulatory, and scientific standards, (ii) accurately report the results of all preclinical studies conducted prior to Korsana’s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licensing or acquisition of the relevant product candidates, and (iii) correctly collect and interpret the data from these studies. If the research and development processes or the results of the development programs prior to Korsana’s licensing or acquisition of Korsana’s product candidates prove to be unreliable, this could result in increased costs and delays in the development of Korsana’s product candidates, which could adversely affect any future revenue from such product candidates, if approved. </w:t>
      </w:r>
    </w:p>
    <w:p>
      <w:pPr>
        <w:pStyle w:val="TextBody"/>
        <w:bidi w:val="0"/>
        <w:spacing w:before="240" w:after="0"/>
        <w:jc w:val="left"/>
        <w:rPr>
          <w:rFonts w:ascii="Times New Roman" w:hAnsi="Times New Roman"/>
          <w:sz w:val="20"/>
        </w:rPr>
      </w:pPr>
      <w:r>
        <w:rPr>
          <w:rFonts w:ascii="Times New Roman" w:hAnsi="Times New Roman"/>
          <w:sz w:val="20"/>
        </w:rPr>
        <w:t>Korsana may also acquire or in-license additional product candidates for preclinical or clinical development in the future as Korsana continues to build its pipeline. The risks associated with acquiring or in-licensing product candidates could result in delays in the commencement or completion of Korsana’s preclinical studies and clinical trials, if they are ever commenced or completed, and Korsana’s ability to generate revenues from its product candidates may be delayed. Please see the section titled “</w:t>
      </w:r>
      <w:r>
        <w:rPr>
          <w:rFonts w:ascii="Times New Roman" w:hAnsi="Times New Roman"/>
          <w:i/>
          <w:sz w:val="20"/>
        </w:rPr>
        <w:t>Risk Factors—Risks Related to Korsana’s Intellectual Property—If Korsana is unable to obtain or maintain necessary rights to its programs through acquisitions and in-licenses, Korsana’s business may be materially harmed</w:t>
      </w:r>
      <w:r>
        <w:rPr>
          <w:rFonts w:ascii="Times New Roman" w:hAnsi="Times New Roman"/>
          <w:sz w:val="20"/>
        </w:rPr>
        <w:t xml:space="preserve">” below for additional information regarding such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currently relies, and plans to rely in the future, on third parties to conduct and support its preclinical studies and clinical trials. If these third parties do not properly and successfully carry out their contractual duties or meet expected deadlines, Korsana may not be able to obtain regulatory approval of or commercialize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utilized and plans to continue to utilize and depend upon independent investigators and collaborators, such as medical institutions, CROs, contract testing labs and strategic partners, to conduct and support Korsana’s preclinical studies and clinical trials under agreements with Korsana. Korsana will rely heavily on these third parties over the course of its preclinical studies and clinical trials, and Korsana controls only certain aspects of their activities. As a result, Korsana will have less direct control over the conduct, timing and completion of these preclinical studies and clinical trials and the management of data developed through preclinical studies and clinical trials than would be the case if Korsana was relying entirely upon its own staff. Nevertheless, Korsana is responsible for ensuring that each of its studies and trials is conducted in accordance with the applicable protocol, legal, regulatory, and scientific standards, and Korsana’s reliance on these third parties does not relieve Korsana of its regulatory responsibilities. Korsana and its third-party contractors and CROs are required to comply with GCP, which are regulations and guidelines enforced by the FDA and comparable foreign regulatory authorities for all of Korsana’s product candidates in clinical development. If Korsana or any of these third parties fail to comply with applicable GCP regulations, the clinical data generated in Korsana’s clinical trials may be deemed unreliable and the FDA or comparable foreign regulatory authorities may require Korsana to perform additional clinical trials before approving Korsana’s marketing applications. Korsana cannot assure you that upon inspection by a given regulatory authority, such regulatory authority will determine that any of Korsana’s clinical trials comply with GCP. In addition, Korsana’s clinical trials must be conducted with products manufactured in accordance with cGMP. Korsana’s failure to comply with these requirements may require Korsana to repeat clinical trials, which would delay the regulatory approval process. Moreover, Korsana’s business may be implicated if any of these third parties violates federal or state fraud and abuse or false claims laws and regulations or healthcare privacy and security laws, and foreign equivalents. </w:t>
      </w:r>
    </w:p>
    <w:p>
      <w:pPr>
        <w:pStyle w:val="TextBody"/>
        <w:bidi w:val="0"/>
        <w:spacing w:before="240" w:after="0"/>
        <w:jc w:val="left"/>
        <w:rPr>
          <w:rFonts w:ascii="Times New Roman" w:hAnsi="Times New Roman"/>
          <w:sz w:val="20"/>
        </w:rPr>
      </w:pPr>
      <w:r>
        <w:rPr>
          <w:rFonts w:ascii="Times New Roman" w:hAnsi="Times New Roman"/>
          <w:sz w:val="20"/>
        </w:rPr>
        <w:t xml:space="preserve">Any third parties conducting Korsana’s clinical trials will not be its employees and, except for remedies available to Korsana under its agreements with such third parties, Korsana cannot control whether they devote sufficient time and resources to Korsana’s programs. These third parties may encounter challenges hiring and retaining sufficient qualified personnel or they may be involved in mergers, acquisitions or similar transactions and may have relationships with other commercial entities, including Korsana’s competitors, for whom they may also be conducting clinical trials or other product development activities, which could negatively affect their performance on Korsana’s behalf and the timing thereof and could lead to products that compete directly or indirectly with Korsana’s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Korsana’s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protocols or regulatory requirements or for other reasons, Korsana’s clinical trials may be extended, delayed or terminated and Korsana may not be able to complete development of, obtain regulatory approval of or successfully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plans to rely on foreign CROs and CMOs, including WuXi Biologics (Hong Kong) Limited (“WuXi Biologics (Hong Kong)”), for formulation and manufacturing of Korsana’s Phase 1 clinical trial materials, and will likely continue to rely on foreign CROs and CMOs in the future. Foreign CMOs may be the target of U.S. legislation, trade restrictions and other foreign regulatory requirements which could increase the cost or reduce the supply of material available to Korsana, delay the procurement or supply of such material, restrict or even prohibit Korsana’s ability to work with such CMOs, or have an adverse effect on Korsana’s ability to secure significant commitments from governments to purchase potential therapies. </w:t>
      </w:r>
    </w:p>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in China is strictly regulated by the Chinese government. Changes to Chinese regulations or government policies affecting biopharmaceutical companies are unpredictable and may have a material adverse effect on Korsana’s collaborators in China which could have an adverse effect on Korsana’s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the uncertainty around China’s relationship with other governments, such as the United States and the UK, could also negatively impact Korsana’s ability to manufacture its product candidates for its planned clinical trials or have an adverse effect on its ability to secure government funding, which could adversely affect Korsana’s financial condition and cause Korsana to delay its clinical development programs. Furthermore, if one or more of Korsana’s collaborators or vendors in China is deemed to be a biotechnology company of concern under the BIOSECURE Act, Korsana’s operations and financial condition may be negatively impacted as a result of any delays or increased costs arising from the trade restrictions and other foreign regulatory requirements affecting such collaborators. In addition, while Korsana has established relationships with CROs and CMOs outside of China, moving to those suppliers in the event of a geopolitical instability affecting Korsana’s collaborators in China could introduce delays into the development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relies on the use of third-party CMOs to manufacture Korsana’s product candidates, and Korsana expects to continue to rely on third-party CMOs to produce Korsana’s products, if approved. Korsana’s business could be adversely affected if Korsana is unable to use third-party manufacturing sites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currently own any facility that may be used as Korsana’s clinical-scale manufacturing and processing facility and must rely on CMOs to manufacture Korsana’s product candidates. Korsana has not yet caused its product candidates to be manufactured on a commercial scale and may not be able to do so for any of Korsana’s product candidates, if approved. Korsana currently has a single source for its supply of Korsana’s product candidates. If there should be any disruption in such supply arrangement, including any adverse events affecting Korsana’s sole supplier, or if Korsana experiences delays or difficulties in transferring, or is unable to successfully transfer, Korsana’s manufacturing processes, it could have a negative effect on the clinical development of Korsana’s product candidates and other operations while Korsana works to identify and qualify an alternate supply source. Korsana has limited control over the manufacturing process of, and may be dependent on, Korsana’s contract manufacturing partners for compliance with cGMP requirements and any other regulatory requirements of the FDA or comparable foreign regulatory authorities for the manufacture of Korsana’s product candidates. Beyond periodic audits, Korsana has limited control over the ability of its CMOs to maintain adequate quality control, quality assurance, and qualified personnel. If the FDA or another applicable regulatory authority does not approve these facilities for the manufacture of Korsana’s product candidates or withdraws any approval in the future, Korsana may need to find alternative manufacturing facilities, which would require the incurrence of significant additional costs and delays and materially adversely affect Korsana’s ability to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 regulatory approval for or market its product candidates, if approved. Korsana, or its future contract manufacturers, any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Korsana’s efforts to audit and verify regulatory compliance, one or more of Korsana’s third-party manufacturing vendors may be found on regulatory inspection by the FDA, competent authorities of EU Member States or other comparable foreign regulatory authorities to be noncompliant with cGMP regulations. Korsana’s failure, or the failure of Korsana’s CMOs, to comply with applicable regulations could result in sanctions being imposed on Korsana,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Korsana’s product candidates or products, if approved, and harm Korsana’s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Korsana’s CMOs may experience manufacturing difficulties due to resource constraints, supply chain issues, intellectual property disputes or as a result of labor disputes or unstable political environments. If any CMOs on which Korsana will rely fail to manufacture quantities of Korsana’s product candidates at quality levels necessary to meet regulatory requirements and at a scale sufficient to meet anticipated demand at a commercially reasonable cost, Korsana’s business, financial condition, and prospects could be materially and adversely affected. In addition, Korsana’s CMOs are responsible for transporting temperature-controlled materials that can be inadvertently degraded during transport due to several factors, rendering certain batches unsuitable for trial use for failure to meet, among others, Korsana’s integrity and purity specifications. Korsana and any of its CMOs may also face product seizure or detention or refusal to permit the import or export of products. Korsana’s business could be materially adversely affected by business disruptions to Korsana’s third-party providers that could materially adversely affect Korsana’s anticipated timelines, potential future revenue and financial condition and increase Korsana’s costs and expenses. Each of these risks could delay or prevent the completion of Korsana’s preclinical studies and clinical trials or the approval of any of Korsana’s product candidates by the FDA or comparable foreign regulatory authorities, result in higher costs or adversely impact commercialization of Korsana’s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Korsana will need to grow the size of its organization and Korsana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experience significant growth in the number of its employees and the scope of Korsana’s operations, particularly in the areas of preclinical and clinical drug development, technical operations, clinical operations, and regulatory affairs. To manage its anticipated future growth, Korsana must continue to implement and improve its managerial, operational, financial, and personnel systems, expand Korsana’s facilities, and continue to recruit and train additional qualified personnel. Due to its limited financial resources and the limited experience of its management team working together in managing a company with such anticipated growth, Korsana may not be able to effectively manage the expansion of its operations or recruit and train additional qualified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highly dependent on its key personnel and anticipates hiring new key personnel. If Korsana is not successful in attracting and retaining highly qualified personnel, Korsana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Korsana’s ability to compete in the highly competitive biotechnology and pharmaceutical industries depends upon its ability to attract and retain highly qualified managerial, scientific, and medical personnel. Korsana is highly dependent on Korsana’s managerial, scientific, and medical personnel. Although Korsana has entered into employment agreements with Korsana’s executive officers, each of them may terminate their employment with </w:t>
      </w:r>
    </w:p>
    <w:p>
      <w:pPr>
        <w:pStyle w:val="TextBody"/>
        <w:bidi w:val="0"/>
        <w:spacing w:before="0" w:after="0"/>
        <w:jc w:val="left"/>
        <w:rPr>
          <w:rFonts w:ascii="Times New Roman" w:hAnsi="Times New Roman"/>
          <w:sz w:val="20"/>
        </w:rPr>
      </w:pPr>
      <w:r>
        <w:rPr>
          <w:rFonts w:ascii="Times New Roman" w:hAnsi="Times New Roman"/>
          <w:sz w:val="20"/>
        </w:rPr>
        <w:t xml:space="preserve">Korsana at any time. Korsana does not maintain “key person” insurance for any of Korsana’s executives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The loss of the services of Korsana’s executive officers or other key employees could impede the achievement of Korsana’s research, development and commercialization objectives and seriously harm its ability to successfully implement its business strategy. Furthermore, replacing executive officers and key personnel may be difficult and may take an extended period of time. If Korsana does not succeed in attracting and retaining qualified personnel, it could materially adversely affect Korsana’s business, financial condition, and results of operations. Korsana could in the future have difficulty attracting and retaining experienced personnel and may be required to expend significant financial resources in Korsana’s employee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growth may depend, in part, on its ability to operate in foreign markets, where Korsana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growth may depend, in part, on its ability to develop and commercialize its product candidates, if approved, in foreign markets for which Korsana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Any direct tariffs, if imposed on pharmaceutical products, may result in increased costs for raw materials and contract manufacturing services, reduced ability to source critical CMOs, and a delay in Korsana’s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Korsana is not permitted to market or promote any of its product candidates before Korsana receives regulatory approval from the applicable foreign regulatory authority, and Korsana may never receive such regulatory approval for any of its product candidates. To obtain separate regulatory approval in many other countries, Korsana must comply with numerous and varying regulatory requirements of such countries regarding safety and efficacy and governing, among other things, clinical trials and commercial sales, pricing, and distribution of Korsana’s product candidates, if approved, and Korsana cannot predict success in these jurisdictions. If Korsana fails to comply with the regulatory requirements in international markets and receive applicable regulatory approvals, Korsana’s target market will be reduced and Korsana’s ability to realize the full market potential of its product candidates will be harmed and its business will be adversely affected. Moreover, even if Korsana obtains approval of its product candidates and ultimately commercialize its product candidates in foreign markets, Korsana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estimates of market opportunity and forecasts of market growth may prove to be inaccurate, and even if the markets in which Korsana competes achieve the forecasted growth, Korsana’s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Korsana’s market opportunity estimates and growth forecasts are subject to significant uncertainty and are based on assumptions and estimates which may not prove to be accurate. Korsana’s estimates and forecasts relating to size and expected growth of its target market may prove to be inaccurate. Even if the markets in which Korsana competes meet its size estimates and growth forecasts, Korsana’s business may not grow at similar rates, or at all. Korsana’s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Korsana’s revenue will be dependent, in part, upon the size of the markets in the territories for which Korsana gains regulatory approval, the accepted price for the product, the ability to obtain coverage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and whether Korsana owns the commercial rights for that territory. If the number of its addressable patients is not as significant as Korsana estimates, the indication approved by regulatory authorities is narrower than Korsana expects or the treatment population is narrowed by competition, physician choice, or treatment guidelines, Korsana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employees, independent contractors, consultants, commercial collaborators, principal investigators, CROs, CMOs,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the risk that its employees, independent contractors, consultants, commercial collaborators, principal investigators, CROs, CMOs, suppliers and vendors acting for or on its behalf may engage in misconduct or other improper activities. Misconduct by these parties could include intentional, reckless, or negligent conduct or disclosure of unauthorized activities to Korsana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Korsana’s reputation. Korsana has adopted a code of conduct, but it is not always possible to identify and deter misconduct by these parties and the precautions Korsana takes to detect and prevent this activity may not be effective in controlling unknown or unmanaged risks or losses or in protecting Korsana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internal information technology systems, or those of any of its CROs, manufacturers, other contractors or consultants, third party service providers, or existing or future collaborators, may fail or suffer security or data privacy breaches or other unauthorized or improper access to, use of, or destruction of Korsana’s proprietary or confidential data, employee data or personal data, which could result in additional costs, loss of revenue, significant liabilities, harm to Korsana’s brand and material disruption of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Korsana and the third parties upon which Korsana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Korsana’s information, given their size and complexity and the increasing amounts of information maintained on Korsana’s internal information technology systems and those of Korsana’s third-party CROs, other contractors (including sites performing Korsana’s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Korsana’s employees, contractors, consultants, business partners and/or other third parties, or from cyber-attacks by malicious third parties, which may compromise Korsana’s system infrastructure or lead to the loss, destruction, alteration or dissemination of, or damage to, Korsana’s data. </w:t>
      </w:r>
    </w:p>
    <w:p>
      <w:pPr>
        <w:pStyle w:val="TextBody"/>
        <w:bidi w:val="0"/>
        <w:spacing w:before="240" w:after="0"/>
        <w:jc w:val="left"/>
        <w:rPr>
          <w:rFonts w:ascii="Times New Roman" w:hAnsi="Times New Roman"/>
          <w:sz w:val="20"/>
        </w:rPr>
      </w:pPr>
      <w:r>
        <w:rPr>
          <w:rFonts w:ascii="Times New Roman" w:hAnsi="Times New Roman"/>
          <w:sz w:val="20"/>
        </w:rPr>
        <w:t xml:space="preserve">Some actors now engage and are expected to continue to engage in cyber-attacks,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nation-state actors for geopolitical reasons and in conjunction with military conflicts and defense activities. During times of war and other major conflicts, Korsana, and the third parties upon which Korsana relies, may be vulnerable to a heightened risk of these attacks, including retaliatory cyber-attacks, that could materially disrupt Korsana’s systems and operations. In particular, severe ransomware attacks are becoming increasingly prevalent and can lead to significant interruptions in Korsana’s operations, loss of sensitive data and income, reputational harm, and diversion of funds. Extortion payments may alleviate the negative impact of a ransomware attack, but Korsana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disruption or security breach were to result in loss, destruction, unavailability, alteration, or dissemination of, or damage to, Korsana’s data or applications, or for it to be believed or reported that any of these occurred, Korsana could incur liability and reputational damage and the development and commercialization of its product candidates could be delayed. Further, Korsana’s insurance policies may not be adequate to compensate Korsana for the potential losses arising from any such disruption in, or failure or security breach of, Korsana’s systems or third-party systems where information important to Korsana’s business operations or commercial development is stored. </w:t>
      </w:r>
    </w:p>
    <w:p>
      <w:pPr>
        <w:pStyle w:val="TextBody"/>
        <w:bidi w:val="0"/>
        <w:spacing w:before="240" w:after="0"/>
        <w:jc w:val="left"/>
        <w:rPr>
          <w:rFonts w:ascii="Times New Roman" w:hAnsi="Times New Roman"/>
          <w:sz w:val="20"/>
        </w:rPr>
      </w:pPr>
      <w:r>
        <w:rPr>
          <w:rFonts w:ascii="Times New Roman" w:hAnsi="Times New Roman"/>
          <w:sz w:val="20"/>
        </w:rPr>
        <w:t xml:space="preserve">Korsana’s remote workforce may create additional risks for its information technology systems and data because Korsana’s employees work remotely and utilize network connections, computers, and devices working at home, while in transit and in public locations. Additionally, business transactions (such as acquisitions or integrations) could expose Korsana to additional cybersecurity risks and vulnerabilities, as Korsana’s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Korsana has implemented security measures designed to protect against security incidents, there can be no assurance that these measures will be effective. Korsana may be unable in the future to detect vulnerabilities in its information technology systems because such threats and techniques change frequently, are often sophisticated in nature, and may not be detected until after a security incident has occurred. Further, Korsana may experience delays in developing and deploying remedial measures designed to address any such identified vulnerabilities. Applicable data privacy and security obligations may require Korsana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third-party service providers and technologies to operate critical business systems to Process Sensitive Information in a variety of contexts. Korsana’s ability to monitor these third parties’ information security practices is limited, and these third parties may not have adequate information security measures in place. If its third-party service providers experience a security incident or other interruption, Korsana could experience adverse consequences. While Korsana may be entitled to damages if its third-party service providers fail to satisfy their privacy or security-related obligations to Korsana, any award may be insufficient to cover its damages, or Korsana may be unable to recover such award. In addition, supply-chain attacks have increased in frequency and severity, and Korsana cannot guarantee that third parties’ infrastructure in Korsana’s supply chain or Korsana’s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Korsana (or a third party upon whom Korsana relies) experiences a security incident or is perceived to have experienced a security incident, Korsana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Korsana’s operations (including availability of data); financial loss; and other similar harms. Security incidents and attendant consequences may cause stakeholders (including investors and potential customers) to stop supporting Korsana’s platform, deter new customers from products, and negatively impact Korsana’s ability to grow and operate Korsana’s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contracts may not contain limitations of liability, and even where they do, there can be no assurance that limitations of liability in Korsana’s contracts are sufficient to protect Korsana from liabilities, damages, or claims related to its data privacy and security obligations. Korsana cannot be sure that its insurance coverage will be adequate or sufficient to protect Korsana from or to mitigate liabilities arising out of Korsana’s privacy and security practices, that such coverage will continue to be available on commercially reasonable terms or at all, or that such coverage will pay future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Korsana’s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and third parties Korsana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Korsana is and may become subject to the terms of contractual obligations related to privacy, data protection, and data security. Korsana’s obligations may also change or expand as its business grows. The actual or perceived failure by Korsana or third parties related to Korsana to comply with such laws, regulations and obligations could increase Korsana’s compliance and operational costs, expose Korsana to regulatory scrutiny, actions, fines and penalties, result in reputational harm, lead to a loss of customers, result in litigation and liability, and otherwise cause a material adverse effect on Korsana’s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fails to comply with environmental, health and safety laws and regulations, Korsana could become subject to fines or penalties or incur costs that could have a material adverse effect on the success of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numerous environmental, health and safety laws and regulations, including those governing laboratory procedures and the handling, use, storage, treatment and disposal of hazardous materials and wastes. Korsana’s operations may involve the use of hazardous and flammable materials, including chemicals and biological and radioactive materials. In addition, Korsana may incur substantial costs in order to comply with current or future environmental, health and safety laws and regulations. These current or future laws and regulations may impair Korsana’s research, development, or commercialization efforts.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Korsana. Korsana assesses the impact of various tax reform proposals and modifications to existing tax treaties in all jurisdictions where Korsana has operations to determine the potential effect on its business and any assumptions Korsana has made about its future taxable income. Korsana cannot predict whether any specific proposals will be enacted, the terms of any such proposals or what effect, if any, such proposals would have on Korsana’s business if they were to be enacted.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enacted the Inflation Reduction Act of 2022, which implements, among other changes, a 1% excise tax on certain stock buybacks. In addition, beginning in 2022, the Tax Cuts and Jobs Act (the “TCJA”)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Congress enacted the One Big Beautiful Bill Act, which includes a provision restoring the immediate deductibility of domestic research and development expenditures. The impact of this newly enacted law on Korsana’s tax position will depend on how the provision is implemented and interpreted by the IRS and other regulatory authorities. In addition, Korsana has no assurance as to whether, when and how this provision may be subject to further amendment or repeal. Such changes, among others, may adversely affect Korsana’s effective tax rate,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acquire businesses, product candidates,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Korsana may acquire additional businesses or products, form strategic alliances, or create joint ventures with third parties that Korsana believes will complement or augment its existing business. If Korsana acquires businesses with promising markets or technologies, Korsana may not be able to realize the benefit of acquiring such businesses if Korsana is unable to successfully integrate them with its existing operations and company culture. Korsana may encounter numerous difficulties in developing, manufacturing, and marketing any new product candidates or products resulting from a strategic alliance or acquisition that delay or prevent Korsana from realizing their expected benefits or enhancing Korsana’s business. There is no assurance that, following any such acquisition, Korsana will achieve the synergies expected in order to justify the transaction, which could result in a material adverse effect on Korsana’s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maintains its cash at financial institutions, often in balances that exceed federally-insured limits. The failure of financial institutions could adversely affect Korsana’s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Korsana’s cash held in non-interest-bearing and interest-bearing accounts exceeds the FDIC insurance limits. If such banking institutions were to fail, Korsana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Korsana may experience in the future or inability for a material time period to access Korsana’s cash and cash equivalents could have an adverse effect on Korsana’s ability to pay its operational expenses or make other payments, which could adversely affect Korsana’s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Korsana’s intellectual property portfolio is at an early stage. Therefore, its ability to obtain and protect its patent rights, and protect other proprietary rights, is uncertain, exposing it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Korsana’s success depends in large part on its ability to obtain and maintain patent protection for Korsana’s product candidates and their uses, as well as Korsana’s ability to operate without infringing on or violating the proprietary rights of others. If Korsana is unable to obtain patent protection with respect to KRSA-028, or any future product candidates, Korsana’s business, financial condition, results or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Korsana’s intellectual property portfolio is at an early stage. 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Paragon, or Korsana, with respect to licensed project antibody transport vehicle patents for which Korsana has the first right, but not the obligation, to prepare, file, prosecute and maintain patent applications, intends to file one or more non-provisional patent applications claiming priority to these provisional patent applications. However, Korsana cannot provide assurances that such non-provisional patent application(s) will be filed, nor whether such non-provisional patent application(s), if filed, will issue, the breadth of any resulting issued patent(s), or whether any issued patent(s) will be found to be invalid, unenforceable, or will be challenged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Any issued patents may not afford sufficient protection of Korsana’s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Korsana may license or own covering Korsana’s product candidates could be narrowed or found invalid or unenforceable if challenged in court or before administrative bodies in the United States or abroad, including the USPTO. If Korsana does not obtain patent coverage for the work Korsana is conducting, or if Korsana obtains such rights but they are invalidated or rendered unenforceable, Korsana may be unable to exclude competitors from pursuing and marketing the same or similar product candidates. Other risks Korsana faces if it is not able to obtain and maintain patent coverage for Korsana’s product candidates are the reduction in valuation of its product candidates, and ultimately of Korsana as a company, by potential investors, and Korsana’s inability to assert claims for infringement against third parties or counterclaim against such third parties or negotiate more advantageous settlement parameters. Further, if Korsana encounters delays in its clinical trials or delays in obtaining regulatory approval, the period of time during which Korsana could market its product candidates under patent protection would be reduced. Thus, the patents that Korsana may own or license may not afford Korsana any meaningful exclusivity period or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 may not be able to obtain or protect Korsana’s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Korsana’s intellectual property rights in some foreign jurisdictions can be less extensive than those in the United States; the reverse may also occur. As such, Korsana may not have patents in all countries or all major markets and may not be able to obtain patents in all jurisdictions even if Korsana or its licensor files patent applications to obtain such rights. Korsana’s competitors may operate in countries where Korsana does not have patent protection and may be able to freely use its technologies and discoveries in such countries, at least to the extent not forbidden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Korsana may also rely on trade secrets, including unpatented know-how, technology, and other proprietary information, to maintain Korsana’s competitive position. Any disclosure, either intentional or unintentional, by Korsana’s employees, the employees of third parties with whom Korsana shares its facilities or third-party consultants and vendors that Korsana engages to perform research, clinical trials or manufacturing activities, or misappropriation by third parties (such as through a cybersecurity breach) of Korsana’s trade secrets or proprietary information could enable competitors to duplicate or surpass Korsana’s technological achievements, thus eroding Korsana’s competitive position in its market. In order to protect its proprietary technology and processes, Korsana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Korsana may need to share its proprietary information, including trade secrets,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business partners, collaborators, contractors, and others located in countries at heightened risk of theft of trade secrets, including through direct intrusion by private parties or state actors and those affiliated with or controlled by state actors. In addition, while Korsana undertakes reasonable efforts to protect its trade secrets and other confidential information from disclosure, others may independently discover trade secrets and proprietary information, and in such cases, Korsana may not be able to assert any trade secret rights against such party. Costly and time-consuming litigation could be necessary to enforce and determine the scope of Korsana’s proprietary rights and failure to obtain or maintain trade secret protection could adversely affect Korsana’s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Korsana’s trademarks and trade names are not registered or adequately protected, then Korsana may not be able to build name recognition in its markets of interest and Korsana’s business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is unable to obtain or maintain necessary rights to its programs through acquisitions and in-licenses, Korsana’s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Korsana’s development programs currently do and may in the future require the use of proprietary rights held by third parties, the growth of Korsana’s business will depend in part on its ability to acquire, in-license, or use these third-party proprietary rights. Korsana may be unable to acquire or in-license any compositions, methods of use, processes, or other third-party intellectual property rights from third parties that Korsana identifies as necessary for its programs. The licensing and acquisition of third-party intellectual property rights is a competitive area, and a number of more established companies may pursue strategies to license or acquire third-party intellectual property rights that Korsana may consider attractive or necessary. These established companies may have a competitive advantage over Korsana due to their size, capital resources and greater clinical development and commercialization capabilities. In addition, companies that perceive Korsana to be a competitor may be unwilling to assign or license rights to Korsana. Korsana also may be unable to license or acquire third-party intellectual property rights on terms that would allow Korsana to make an appropriate return on Korsana’s investment or at all. If Korsana is unable to successfully obtain rights to required third-party intellectual property rights or maintain intellectual property rights Korsana obtains in the future, Korsana may have to abandon development of the relevant program, which could have a material adverse effect on Korsana’s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Korsana has the right to control prosecution, defense, maintenance, and enforcement of patents exclusively in-licensed under the Paragon License Agreement. However, there may be times when rights for patents and patent applications relating to Korsana’s product candidates are controlled by Korsana’s future licensors or collaboration partners, including with respect to patents non-exclusively in-licensed under the Paragon License Agreement. If Korsana, Paragon or any of Korsana’s future licensors (including Paragon Laboratories) or collaboration partners fail to prosecute, defend, maintain and enforce such patents and patent applications in a manner consistent with Korsana’s best interests, including by payment of all applicable fees for patents covering its product candidates, Korsana could lose its rights to the intellectual property or its exclusivity with respect to those rights, Korsana’s ability to develop and commercialize those product candidates may be adversely affected and Korsana may not be able to prevent competitors from making, using and selling competing products. In addition, even if Korsana has the right to control prosecution of patents and patent applications Korsana has licensed to and from third parties, including under future license agreements with Paragon or Paragon Laboratories following the point at which such control is assumed, Korsana may still be adversely affected or prejudiced by actions or inactions of Paragon, additional licensees, or licensors and their counsel prior to the date upon which Korsana assumes control over patent prosecution. For example, Paragon is currently responsible for the prosecution, defense, maintenance, and enforcement of patents related to Research Program 003, for which Korsana has not exercised its ADOA Option or entered into a license agreement. Pursunt to the Paragon License Agreement, Korsana has the first right, but not the obligation, to prepare, file, prosecute and maintain certain licensed project antibody transport vehicle patents for Research Program 002, including KRSA-028, and Research Program 001, but Paragon retains control over patent prosecution for certain non-exclusively licensed transit antibody technology, including the THETA technology, and other Paragon-controlled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future licensors may not be the sole and exclusive owners of all rights in the patents Korsana may in-license. If other third parties have rights to Korsana’s future in-licensed patents, they may be able to license such patents to Korsana’s competitors, and Korsana’s competitors could market competing products and technology. This could have a material adverse effect on Korsana’s competitive position,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Korsana may be unable to obtain licenses at a reasonable cost or on reasonable terms, if at all. Even if Korsana is able to obtain a license, it may be non-exclusive, thereby giving Korsana’s competitors access to the same technologies licensed to Korsana. In that event, Korsana may be required to expend significant time and resources to redesign Korsana’s product candidates, or the methods for manufacturing them or to develop or license replacement technology, all of which may not be feasible on a technical or commercial basis. If Korsana is unable to do so, Korsana may be unable to develop or commercialize the affected product candidates, which could harm Korsana’s business, financial condition, results of operations, and prospects significantly. Korsana cannot provide any assurances that third-party patents do not exist which might be enforced against Korsana’s product candidates, manufacturing methods or future products or methods resulting in either an injunction prohibiting Korsana’s manufacture or future sales, or, with respect to its future sales, an obligation on Korsana’s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Korsana and Korsana’s future licensors regarding intellectual property subject to a license agreement, including (but not limited to): the scope of rights granted under the license agreement and other interpretation-related issues; whether and the extent to which Korsana’s technology and processes infringe on intellectual property of the licensor that is not subject to the licensing agreement; Korsana’s right to sublicense patents and other rights to third parties; Korsana’s right to transfer or assign the license; the inventorship and ownership of inventions and know-how resulting from the joint creation or use of intellectual property by Korsana’s future licensors and Korsana and Korsana’s partners; and the priority of invention of patented technology. If Korsana or its future licensors breach the terms of Korsana’s license agreements, such breach may have a material adverse effect on Korsana’s business and the commercialization efforts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intellectual property lawsuits or may need to file lawsuits to protect Korsana’s intellectual property, which could result in substantial costs and liability and prevent Korsana from commercializing Korsana’s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Korsana’s freedom to operate and guarantee that Korsana can operate without infringing on or violating third party rights. If certain of Korsana’s product candidates are ultimately granted regulatory approval, patent rights held by third parties could be alleged to render one or more of Korsana’s product candidates infringing. If a third party successfully brings a claim against Korsana, and Korsana’s rights are not held invalid or unenforceable, Korsana may be required to pay substantial damages, be forced to abandon any affected product candidate and/or seek a license from the patent holder. In addition, any intellectual property claims (e.g., patent infringement or trade secret misappropriation) brought against Korsana, whether or not successful, may cause Korsana to incur significant legal expenses and divert the attention of Korsana’s management and key personnel from other business concerns. Korsana cannot be certain that future patents, if filed and issued, owned, or licensed by Korsana will not be challenged by others, whether in the course of litigation or in agencies like the USPTO. Some of Korsana’s competitors may be able to sustain the costs of complex intellectual property litigation more effectively than Korsana can because they have substantially greater resources. In addition, any uncertainties resulting from the initiation and continuation of any litigation could have a material adverse effect on Korsana’s ability to raise funds.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Korsana’s future patents, trademarks, copyrights, or other intellectual property. To counter infringement or other violations, Korsana may be required to file claims, which can be expensive and time-consuming. Any such claims could provoke these parties to assert counterclaims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Korsana, including claims alleging that Korsana infringe their patents or other intellectual property rights. In addition, in a patent infringement proceeding, a court or administrative body may decide that one or more of the patents Korsana asserts is invalid or unenforceable, in whole or in part, construe the patent’s claims narrowly or refuse to prevent the other party from using the technology at issue on the grounds that Korsana’s patents do not cover the technology. Similarly, if Korsana asserts trademark infringement claims, a court or administrative body may determine that the marks Korsana has asserted are invalid or unenforceable or that the party against whom Korsana has asserted trademark infringement has superior rights to the marks in question. In such a case, Korsana could ultimately be forced to cease use of such marks. In any intellectual property litigation, even if Korsana is successful, any award of monetary damages or other remedy Korsana receives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Korsana may be required to protect its future patents, if filed and issued, through procedures created to attack the validity of a patent at the USPTO. An adverse determination in any such submission or proceeding could reduce the scope or enforceability of, or invalidate, Korsana’s patent rights, which could adversely affect Korsana’s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Korsana’s product candidates are found to infringe the intellectual property rights of third parties, these third parties may assert infringement claims against Korsana’s future licensees or customers and other parties with whom Korsana has business relationships and Korsana may be required to indemnify those parties for any damages they suffer as a result of these claims, which may require Korsana to initiate or defend protracted and costly litigation on behalf of licensees or other parties regardless of the merits of such claims. If any of these claims succeed, Korsana may be forced to pay damages on behalf of those parties or may be required to obtain licenses for the products Korsana uses.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Korsana’s intellectual property rights, there is a risk that some of Korsana’s confidential information could be compromised by disclosure during this type of litigation or other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success will depend in part on Korsana’s and Korsana’s current and future licensors’ ability to obtain, maintain and enforce patent protection for Korsana’s licensed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Korsana’s success will depend in part on its, Paragon’s, and Korsana’s future licensors’ (including Paragon Laboratories’) ability to obtain, maintain and enforce patent protection for its licensed intellectual property. Currently, pursuant to the Paragon License Agreement, Korsana has the first right, but not the obligation, to prosecute and maintain certain licensed project antibody transport vehicle patents for Research Program 002 (including KRSA-028) and Research Program 001, and Paragon controls the prosecution, maintenance, enforcement, and defense of certain other licensed patents, including licensed transit antibody patents and other Paragon-controlled patents. Korsana, Paragon and Korsana’s future licensors may not successfully prosecute the patent applications that cover its product candidates. Even if patents are issued in respect of these patent applications, Korsana, Paragon, and Korsana’s future licensors (including Paragon Laboratories) may fail to maintain these patents, may determine not to pursue litigation against other companies that are infringing these patents, or may pursue such litigation less aggressively than Korsana would. Without protection for any in-licensed intellectual property, other companies might be able to offer substantially identical products for sale, which could adversely affect Korsana’s competitive business position and harm its business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be subject to claims that Korsana has wrongfully hired an employee from a competitor or that Korsana’s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Korsana’s employees, Korsana engages the services of consultants to assist Korsana in the development of Korsana’s product candidates. Many of these consultants, and many of Korsana’s employees, were previously employed at, or may have previously provided or may be currently providing consulting services to, other biotechnology or pharmaceutical companies including Korsana’s competitors or potential competitors. Korsana could in the future be subject to claims that Korsana or Korsana’s employees have inadvertently or otherwise used or disclosed alleged trade secrets or other confidential information of former employers or competitors. Although Korsana tries to ensure that its employees and consultants do not use the intellectual property, proprietary information, know-how or trade secrets of others in their work for Korsana, Korsana may become subject to claims that it caused an employee to breach the terms of his or her non-competition or non-solicitation agreement, or that Korsana or these individuals have, inadvertently or otherwise, used or disclosed the alleged trade secrets or other proprietary information of a former employer or competitor. </w:t>
      </w:r>
    </w:p>
    <w:p>
      <w:pPr>
        <w:pStyle w:val="TextBody"/>
        <w:bidi w:val="0"/>
        <w:spacing w:before="240" w:after="0"/>
        <w:jc w:val="left"/>
        <w:rPr>
          <w:rFonts w:ascii="Times New Roman" w:hAnsi="Times New Roman"/>
          <w:sz w:val="20"/>
        </w:rPr>
      </w:pPr>
      <w:r>
        <w:rPr>
          <w:rFonts w:ascii="Times New Roman" w:hAnsi="Times New Roman"/>
          <w:sz w:val="20"/>
        </w:rPr>
        <w:t xml:space="preserve">While Korsana may litigate to defend against these claims, even if Korsana is successful, litigation could result in substantial costs and could be a distraction to management and other employees. If Korsana’s defenses to these claims fail, in addition to requiring Korsana to pay monetary damages, a court could prohibit Korsana from using technologies or features that are essential to Korsana’s product candidates, if such technologies or features are found to incorporate or be derived from the trade secrets or other proprietary information of the former employers. Moreover, any such litigation or the threat thereof may adversely affect Korsana’s reputation, its ability to form strategic alliances or sublicense Korsana’s rights to collaborators, engage with scientific advisors or hire employees or consultants, each of which would have an adverse effect on Korsana’s business, results of operations and financial condition. Even if Korsana is successful in defending against such claims, litigation could result in substantial costs and be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Korsana’s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Korsana’s owned and in-licensed patent applications and the maintenance, enforcement, or defense of Korsana’s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Korsana’s patent applications and the enforcement or defense of Korsana’s issued patents, all of which could have a material adverse effect on Korsana’s business, financial condition, results of operations, and prospects. Additionally, there have been proposals for additional changes to the patent laws of the United States and other countries that, if adopted, could impact Korsana’s ability to enforce its proprietary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hAnsi="Times New Roman"/>
          <w:i/>
          <w:sz w:val="20"/>
        </w:rPr>
        <w:t>Amgen, Inc. v. Sanofi</w:t>
      </w:r>
      <w:r>
        <w:rPr>
          <w:rFonts w:ascii="Times New Roman" w:hAnsi="Times New Roman"/>
          <w:sz w:val="20"/>
        </w:rPr>
        <w:t xml:space="preserve"> (“</w:t>
      </w:r>
      <w:r>
        <w:rPr>
          <w:rFonts w:ascii="Times New Roman" w:hAnsi="Times New Roman"/>
          <w:i/>
          <w:sz w:val="20"/>
        </w:rPr>
        <w:t>Amgen</w:t>
      </w:r>
      <w:r>
        <w:rPr>
          <w:rFonts w:ascii="Times New Roman" w:hAnsi="Times New Roman"/>
          <w:sz w:val="20"/>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Korsana will be granted U.S. patents with composition of matter claims as broad as Amgen’s directed to antibodies functionally defined by their ability to bind a particular antigen. Even if Korsana is granted claims directed to functionally defined antibodies, it is possible that a third party may challenge Korsana’s patents, when issued, relying on the reasoning in </w:t>
      </w:r>
      <w:r>
        <w:rPr>
          <w:rFonts w:ascii="Times New Roman" w:hAnsi="Times New Roman"/>
          <w:i/>
          <w:sz w:val="20"/>
        </w:rPr>
        <w:t>Amgen</w:t>
      </w:r>
      <w:r>
        <w:rPr>
          <w:rFonts w:ascii="Times New Roman" w:hAnsi="Times New Roman"/>
          <w:sz w:val="20"/>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Korsana’s patent rights and its ability to protect, defend and enforce its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Korsana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 </w:t>
      </w:r>
    </w:p>
    <w:p>
      <w:pPr>
        <w:pStyle w:val="TextBody"/>
        <w:bidi w:val="0"/>
        <w:spacing w:before="240" w:after="0"/>
        <w:jc w:val="left"/>
        <w:rPr>
          <w:rFonts w:ascii="Times New Roman" w:hAnsi="Times New Roman"/>
          <w:sz w:val="20"/>
        </w:rPr>
      </w:pPr>
      <w:r>
        <w:rPr>
          <w:rFonts w:ascii="Times New Roman" w:hAnsi="Times New Roman"/>
          <w:sz w:val="20"/>
        </w:rPr>
        <w:t xml:space="preserve">Although Korsana does not currently own or license any European patents or applications, if Korsana obtains or licenses such patents and applications in the future, any such revocation and loss of patent protection could have a material adverse impact on Korsana’s business and its ability to commercialize or license its technology and products. Moreover, the controlling laws and regulations of the UPC will develop over time and may adversely affect Korsana’s ability to enforce or defend the validity of any European patents Korsana may obtain. Korsana may decide to opt out from the UPC any future European patent applications that Korsana may file and any patents Korsana may obtain. If certain formalities and requirements are not met, however, such European patents and patent applications could be challenged for non-compliance and brought under the jurisdiction of the UPC. Korsana cannot be certain that future European patents and patent applications will avoid falling under the jurisdiction of the UPC, if Korsana decides to opt out of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Korsana’s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Korsana fails to maintain any future patents and patent applications, if filed and issued, covering Korsana’s product candidates, its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not identify relevant third-party patents or may incorrectly interpret the relevance, scope, or expiration of a third-party patent, which might adversely affect Korsana’s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Korsana cannot guarantee that any of Korsana’s patent searches or analyses, including the identification of relevant patents, the scope of patent claims or the expiration of relevant patents, are complete or thorough, nor can Korsana be certain that it has identified each and every third-party patent and pending application in the United States and abroad that is relevant to or necessary for the commercialization of Korsana’s product candidates in any jurisdiction. The scope of a patent claim is determined by an interpretation of the law, the written disclosure in a patent, the patent’s prosecution history and in some cases certain extrinsic evidence of the meaning of terms in a claim. Korsana’s interpretation of the relevance or the scope of a patent or a pending application may be incorrect. For example, Korsana may incorrectly determine that its products are not covered by a third-party patent or may incorrectly predict whether a third-party’s pending application will issue with claims of relevant scope. Korsana’s determination of the expiration date of any patent in the United States or abroad that Korsana considers relevant may be incorrect. Korsana’s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Korsana cannot be certain that others have not filed patent applications for technology covered by Korsana’s future issued patents or its pending applications, if filed, or that Korsana is the first to invent the technology. Korsana’s competitors may have filed, and may in the future file, patent applications covering Korsana’s products or technology similar to Korsana’s. Any such patent application may have priority over Korsana’s future patent applications or patents, if filed and issued, which could require Korsana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become subject to claims challenging the inventorship or ownership of Korsana’s patents, if issued,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 may be subject to claims that former employees, collaborators or other third parties have an interest in Korsana’s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Korsana’s programs or as a result of questions regarding co-ownership of potential joint inventions. Litigation may be necessary to resolve these and other claims challenging inventorship and/or ownership. Alternatively, or additionally, Korsana may enter into agreements to clarify the scope of Korsana’s rights in such intellectual property. If Korsana fails in defending any such claims, in addition to paying monetary damages, Korsana may lose valuable intellectual property rights, such as exclusive ownership of, or right to use, valuable intellectual property. Such an outcome could have a material adverse effect on Korsana’s business. Even if Korsana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Korsana’s current or future licensors may have relied on third-party consultants or collaborators or on funds from third parties, such as the U.S. government, such that Korsana’s licensors are not the sole and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 of the patents Korsana in-licensed. If other third parties have ownership rights or other rights to Korsana’s in-licensed patents, they may be able to license such patents to Korsana’s competitors, and its competitors could market competing products and technology.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Korsana’s competitive position of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Korsana’s earliest U.S. non-provisional filing date. Various extensions may be available, but the life of a patent, and the protection it affords, is limited. Even if patents covering Korsana’s product candidates are obtained, once the patent life has expired, Korsana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Korsana’s owned and licensed patent portfolio may not provide Korsana with sufficient rights to exclude others from commercializing products similar or identical to Korsana’s.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technology licensed from various third parties may be subject to retained rights. </w:t>
      </w:r>
    </w:p>
    <w:p>
      <w:pPr>
        <w:pStyle w:val="TextBody"/>
        <w:bidi w:val="0"/>
        <w:spacing w:before="120" w:after="0"/>
        <w:jc w:val="left"/>
        <w:rPr>
          <w:rFonts w:ascii="Times New Roman" w:hAnsi="Times New Roman"/>
          <w:sz w:val="20"/>
        </w:rPr>
      </w:pPr>
      <w:r>
        <w:rPr>
          <w:rFonts w:ascii="Times New Roman" w:hAnsi="Times New Roman"/>
          <w:sz w:val="20"/>
        </w:rPr>
        <w:t>Korsana’s future licensors may retain certain rights under the relevant agreements with Korsana, including the right to use or license the licensed technology outside of the scope of Korsana’s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Korsana’s licensors limit their use of the technology to these uses, and Korsana could incur substantial expenses to enforce its rights to its licensed technology in the event of misuse. In addition, while there are certain restrictions on Paragon’s ability to develop products that could be competitive with Korsana’s as more fully described in “</w:t>
      </w:r>
      <w:r>
        <w:rPr>
          <w:rFonts w:ascii="Times New Roman" w:hAnsi="Times New Roman"/>
          <w:i/>
          <w:sz w:val="20"/>
        </w:rPr>
        <w:t xml:space="preserve">Korsana’s Business </w:t>
      </w:r>
      <w:r>
        <w:rPr>
          <w:rFonts w:ascii="Times New Roman" w:hAnsi="Times New Roman"/>
          <w:sz w:val="20"/>
        </w:rPr>
        <w:t xml:space="preserve">— </w:t>
      </w:r>
      <w:r>
        <w:rPr>
          <w:rFonts w:ascii="Times New Roman" w:hAnsi="Times New Roman"/>
          <w:i/>
          <w:sz w:val="20"/>
        </w:rPr>
        <w:t>Paragon Agreements</w:t>
      </w:r>
      <w:r>
        <w:rPr>
          <w:rFonts w:ascii="Times New Roman" w:hAnsi="Times New Roman"/>
          <w:sz w:val="20"/>
        </w:rPr>
        <w:t xml:space="preserve">” beginning on page 312 of this proxy statement/prospectus, these restrictions may not prevent the possible future license or development by Paragon of certain technology that could lead to product candidates competitive with Korsana’s.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Korsana’s product candidates, Korsana will not be able to commercialize, or will be delayed in commercializing,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Korsana cannot commercialize product candidates in the United States without first obtaining regulatory approval from the FDA. Similarly, Korsana cannot commercialize product candidates outside of the United States without obtaining regulatory approval from comparable foreign regulatory authorities. Before obtaining regulatory approvals for the commercial sale of Korsana’s product candidates, including KRSA-028, Korsana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be effective, may be only moderately effective, may prove to have undesirable or unintended side effects, toxicities, or other characteristics, or may fail to improve on the applicable standard of care, any of which may preclude Korsana from obtaining regulatory approval. The FDA and comparable foreign regulatory authorities have discretion in the approval process and may refuse to accept any application or may decide that Korsana’s data is insufficient for approval and require additional preclinical, clinical, or other data. Korsana’s product candidates could be delayed in receiving, or fail to receive, regulatory approval for many reasons, including: the FDA or comparable foreign regulatory authorities may disagree with the design or implementation of Korsana’s clinical trials; Korsana may be unable to demonstrate to the satisfaction of the FDA or comparable foreign regulatory authorities that a product candidate is safe and effective for Korsana’s proposed indication; the results of clinical trials may not meet the level of statistical significance required by the FDA or comparable foreign regulatory authorities for approval; serious and unexpected drug-related side effects may be experienced by participants in Korsana’s clinical trials or by individuals using drugs similar to its product candidates; Korsana may be unable to demonstrate that a product candidate’s clinical and other benefits outweigh Korsana’s safety risks; the FDA or comparable foreign regulatory authorities may disagree with Korsana’s interpretation of data from preclinical studies or clinical trials; the data collected from clinical trials of Korsana’s product candidates may not be acceptable or sufficient to support the submission of a BLA or other submission or to obtain regulatory approval in the United States or elsewhere, and Korsana may be required to conduct additional clinical trials; the FDA or the applicable foreign regulatory authority may disagree regarding the formulation, labeling and/or the specifications of Korsana’s product candidates; the FDA or comparable foreign regulatory authorities may fail to approve the manufacturing processes or facilities of third-party manufacturers with which Korsana contracts for clinical and commercial supplies; and the approval policies or regulations of the FDA or comparable foreign regulatory authorities may significantly change in a manner rendering Korsana’s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Korsana failing to obtain regulatory approval to market Korsana’s product candidates, which would significantly harm Korsana’s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Korsana was to obtain approval, regulatory authorities may approve any of Korsana’s product candidates for fewer or more limited indications than Korsana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Korsana is not able to obtain, or if there are delays in obtaining, required regulatory approvals for Korsana’s product candidates, Korsana will not be able to commercialize, or will be delayed in commercializing, this could have a material adverse effect on Korsana’s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Korsana’s clinical development plans or prevent or delay approval of Korsana’s product candidates under development on a timely basis. Such policy or regulatory changes could impose additional requirements upon Korsana that could delay Korsana’s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Korsana’s business may be negatively impacted. Additionally, federal government could adopt legislation, regulations or policies that adversely affect Korsana’s business or create a more challenging and costly environment to pursue the development, approval, and commercialization of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not be able to meet requirements for the chemistry, manufacturing, and control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Korsana’s products by the FDA and comparable foreign regulatory authorities, Korsana must show that it and Korsana’s contract manufacturing partners are able to characterize, control and manufacture Korsana’s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Korsana’s drug products meet stability requirements. Meeting these chemistry, manufacturing and control requirements is a complex task that requires specialized expertise. If Korsana is not able to meet the chemistry, manufacturing, and control requirements, Korsana may not be successful in getting Korsana’s products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for which Korsana intends to seek approval as biologics may face competition from biosimilars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any of Korsana’s product candidates approved as biologics under a BLA should qualify for the 12-year period of exclusivity. However, there is a risk that this exclusivity could be shortened due to congressional action or otherwise, or that the FDA will not consider Korsana’s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receives regulatory approval of Korsana’s product candidates, Korsana will be subject to extensive ongoing regulatory obligations and continued regulatory review, which may result in significant additional expense, and Korsana may be subject to penalties if it fails to comply with regulatory requirements or experience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Korsana may receive for Korsana’s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Korsana’s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Korsana’s product candidates, Korsana’s product candidates and the activities associated with their development and commercialization, including their design, testing, manufacture, safety, efficacy, recordkeeping,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Korsana conducts following approval. In addition, manufacturers of drug products and their facilities are subject to continual review and periodic, unannounced inspections by the FDA and other regulatory authorities for compliance with cGMPs. If Korsana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Korsana, including requiring recall or withdrawal of the product from the market or suspension of manufacturing, delays or restrictions on Korsana’s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Korsana or by any of Korsana’s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Korsana’s ability to commercialize its product candidates and generate revenue and could require Korsana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Korsana’s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regulatory filings and Korsana’s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Korsana’s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or comparable foreign regulatory authorities may also slow the time necessary for the review and approval of applications for clinical trial or marketing authorization, which would adversely affect Korsana’s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Korsana’s ability to progress development of its product candidates or obtain regulatory approval for its product candidates. If a prolonged government shutdown occurs, it could significantly impact the ability of the FDA to timely review and process Korsana’s regulatory submissions, which could have a material adverse effect on its business. Further, future government shutdowns could impact Korsana’s ability to access the public markets and obtain necessary capital in order to properly capitalize and continue Korsana’s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prolonged government shutdown occurs, or if global health concerns prevent the FDA or other regulatory authorities from conducting their regular inspections, reviews, or other regulatory activities, it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significantly impact the ability of the FDA or other regulatory authorities to timely review and process Korsana’s regulatory submissions, which could have a material adverse effect on Korsana’s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face difficulties from healthcare and regulatory legislative reform measures. </w:t>
      </w:r>
    </w:p>
    <w:p>
      <w:pPr>
        <w:pStyle w:val="TextBody"/>
        <w:bidi w:val="0"/>
        <w:spacing w:before="120" w:after="0"/>
        <w:jc w:val="left"/>
        <w:rPr>
          <w:rFonts w:ascii="Times New Roman" w:hAnsi="Times New Roman"/>
          <w:sz w:val="20"/>
        </w:rPr>
      </w:pPr>
      <w:r>
        <w:rPr>
          <w:rFonts w:ascii="Times New Roman" w:hAnsi="Times New Roman"/>
          <w:sz w:val="20"/>
        </w:rPr>
        <w:t xml:space="preserve">Existing regulatory policies may change, and additional government regulations may be enacted that could prevent, limit, or delay regulatory approval of Korsana’s product candidates. Korsana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Korsana is slow or unable to adapt to changes in existing requirements or the adoption of new requirements or policies, or if Korsana is not able to maintain regulatory compliance, Korsana may lose any regulatory approval that it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operations and current and future arrangements with investigators, healthcare professionals, consultants, third-party payors, patient organizations, and customers will be subject to applicable healthcare regulatory laws, which could expose Korsana to penalties. </w:t>
      </w:r>
    </w:p>
    <w:p>
      <w:pPr>
        <w:pStyle w:val="TextBody"/>
        <w:bidi w:val="0"/>
        <w:spacing w:before="120" w:after="0"/>
        <w:jc w:val="left"/>
        <w:rPr>
          <w:rFonts w:ascii="Times New Roman" w:hAnsi="Times New Roman"/>
          <w:sz w:val="20"/>
        </w:rPr>
      </w:pPr>
      <w:r>
        <w:rPr>
          <w:rFonts w:ascii="Times New Roman" w:hAnsi="Times New Roman"/>
          <w:sz w:val="20"/>
        </w:rPr>
        <w:t xml:space="preserve">Korsana’s business operations and current and future arrangements with investigators, healthcare professionals, consultants, third-party payors, patient organizations, and customers may expose Korsana to broadly applicable fraud and abuse and other healthcare laws and regulations. These laws may constrain the business or financial arrangements and relationships through which Korsana conducts its operations, including how it researches, markets, sells and distributes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Ensuring that Korsana’s internal operations and future business arrangements with third parties comply with applicable healthcare laws and regulations will involve substantial costs. If Korsana’s operations are found to be in violation of any of these laws or any other governmental laws and regulations that may apply to Korsana,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Korsana’s operations. Further, defending against any such actions can be costly and time-consuming and may require significant personnel resources. Therefore, even if Korsana is successful in defending against any such actions that may be brought against it, Korsana’s business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is able to commercialize any product candidates, due to unfavorable pricing regulations and/or third-party coverage and reimbursement policies, Korsana may not be able to offer such product candidates at competitive prices, which would seriously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seek approval to market Korsana’s product candidates in both the United States and in selected foreign jurisdictions. If Korsana obtains approval in one or more foreign jurisdictions for Korsana’s product candidates, Korsana will be subject to rules and regulations in those jurisdictions. Korsana’s ability to successfully commercialize any product candidates that Korsana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Korsana’s products in an attempt to reduce their costs, which may reduce Korsana’s commercial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is subject to U.S. and certain foreign export and import controls, sanctions, embargoes, anti-corruption laws, and anti-money laundering laws and regulations. Korsana can face criminal liability and other serious consequences for violations, which can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Korsana conducts activities. Governmental regulation of the import or export of Korsana’s drug candidates, or Korsana’s failure to obtain any required import or export authorization for its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Korsana may engage third parties to sell Korsana’s products outside the United States, to conduct clinical trials, and/or to obtain necessary permits, licenses, patent registrations, and other regulatory approvals. Korsana has direct or indirect interactions with officials and employees of government agencies or government-affiliated hospitals, universities, and other organizations. Korsana can be held liable for the corrupt or other illegal activities of Korsana’s employees, agents, contractors, and other collaborators, even if Korsana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Korsana’s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Korsana or future collaborators may be required to conduct a clinical trial or other studies that compare the cost-effectiveness of Korsana’s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Korsana’s business, financial condition, results of operations,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seeks and is unable to obtain accelerated approval, the amount, size, and duration of Korsana’s clinical trials could be greater than planned, which could increase the expense, reduce the likelihood, and/or delay the timing of obtaining necessary regulatory approvals. Even if Korsana receives accelerated approval, if confirmatory trials do not verify clinical benefit, or if Korsana does not comply with rigorous post-approval requirements, such authorities may withdraw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may seek accelerated approval, or other expedited development, review, or approval status, for Korsana’s product candidates. Even if granted, there is no guarantee that receiving an expedited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review or approval status from the FDA will lead to a faster development or regulatory review or approval process, and such status does not increase the likelihood that Korsana’s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Korsana chooses to pursue accelerated approval, there can be no assurance that the FDA will agree that Korsana’s proposed primary endpoint is an appropriate surrogate endpoint. Similarly, there can be no assurance that after subsequent FDA feedback that Korsana will continue to pursue accelerated approval or any other form of expedited development, review, or approval, even if Korsana initially decides to do so. Furthermore, if Korsana submits an application for accelerated approval, there can be no assurance that such application will be accepted or that approval will be granted on a timely basis, or at all. The FDA also could require Korsana to conduct further studies or trials prior to considering Korsana’s application or granting approval of any type. Korsana might not be able to fulfill the FDA’s requirements in a timely manner, which would cause delays, or approval might not be granted because Korsana’s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Korsana receives accelerated approval from the FDA, Korsana will be subject to rigorous post-approval requirements, including submission to the FDA of all promotional materials prior to their dissemination. The FDA could withdraw accelerated approval for multiple reasons, including Korsana’s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Korsana’s competitive position in the marketplace. Comparable considerations apply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may become exposed to costly and damaging liability claims, when testing a product candidate in the clinical stage or at the commercial stage, and Korsana’s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potential product liability and professional indemnity risks that are inherent in the research, development, manufacturing, marketing, and use of pharmaceutical products. While Korsana currently has no products that have been approved for commercial sale, the future use of a product candidate in clinical trials, and the sale of any approved products in the future, may expose Korsana to liability claims. These claims may be made by patients that use the product or product candidate, healthcare providers, pharmaceutical companies, or others selling such product. Any claims against Korsana, regardless of their merit, could be difficult and costly to defend and could materially and adversely affect the market for Korsana’s products or any prospects for commercialization of Korsana’s products. Although Korsana intends to obtain product liability insurance for Korsana’s future clinical trials, it is possible that its liabilities could exceed Korsana’s insurance coverage or that in the future Korsana may not be able to maintain insurance coverage at a reasonable cost or obtain insurance coverage that will be adequate to satisfy any liability that may arise. If a successful product liability claim or series of claims is brought against Korsana for uninsured liabilities or in excess of insured liabilities, Korsana’s assets may not be sufficient to cover such claims and Korsana’s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subject to litigation claims through the ordinary course of Korsana’s business operations regarding, but not limited to, securities litigation, employment matters, security of patient and employee personal information, contractual relations with collaborators and licensors and intellectual property rights. Litigation to defend Korsana against claims by third parties, or to enforce any rights that Korsana may have against third parties, could result in substantial costs and diversion of Korsana’s resources, causing a material adverse effect on Korsana’s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could be adversely affected by economic downturns, inflation, fluctuating interest rates, natural disasters, public health crises, political crises, geopolitical events, or other macroeconomic conditions, which could have a material and adverse effect on Korsana’s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Korsana and its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Korsana’s business or the third parties on whom Korsana relies.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Korsana by increasing its costs, including labor and employee benefit costs. </w:t>
      </w:r>
    </w:p>
    <w:p>
      <w:pPr>
        <w:pStyle w:val="TextBody"/>
        <w:bidi w:val="0"/>
        <w:spacing w:before="240" w:after="0"/>
        <w:jc w:val="left"/>
        <w:rPr>
          <w:rFonts w:ascii="Times New Roman" w:hAnsi="Times New Roman"/>
          <w:sz w:val="20"/>
        </w:rPr>
      </w:pPr>
      <w:r>
        <w:rPr>
          <w:rFonts w:ascii="Times New Roman" w:hAnsi="Times New Roman"/>
          <w:sz w:val="20"/>
        </w:rPr>
        <w:t xml:space="preserve">Korsana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Korsana’s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Cayman Redomestication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Currently, Cyclerion is governed by Massachusetts law, Cyclerion Articles and Cyclerion Bylaws, but upon effectiveness of the Cayman Redomestication the Combined Company will be governed by Cayman Islands law and the Cayman Articles, provisions of which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Upon effectiveness of the Cayman Redomestication, the Combined Company’s organizational documents will change and the Combined Company and its organizational documents will be governed by Cayman Islands law rather than Massachusetts law. Provisions that will be included in the Cayman Articles may discourage, delay, or prevent a merger, acquisition, or other change in control of the Combined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Combined Company’s ordinary shares, thereby depressing the market price of its ordinary shares.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introduce the use of a classified board of directors such that not all members of the Combined Company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subject to the terms of the Cayman Series B Certificate of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general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shares without shareholder approval, which could be used to institute a “poison pill” that would work to dilute the share 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 special resolution passed by the affirmative vote of not less than two-thirds of the votes cast at a general meeting of the Combined Company will be required to amend provisions of the Cayman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effectiveness of the Cayman Redomestication, the Cayman Series B Certificate of Designation (as defined below) relating to the Cayman Series B Preferred Shares (as defined below) may delay or prevent a change in control of the Combined Company. At any time while at least 30% of the originally issued Cayman Series B Preferred Shares remain issued and outstanding, the Combined Company may not, without the affirmative vote of the holders of a majority of the then outstanding shares of the Series B Preferred Shares, (i) consummate (x) any Fundamental Transaction (as defined in the Cayman Series B Certificate of Designation)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Cayman Series B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may make it more difficult for the Combined Company to enter into any of the aforementioned transactions, even potential change of control transactions that could offer a premium over the market value of the Combined Company to the ordinary shareholders, as it would require the separate consent of the majority of the issued and outstanding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will provide that unless the Combined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Combined Company, including but not limited to (i) any derivative action or proceeding brought on behalf of the Combined Company, (ii) any action asserting a claim of breach of any fiduciary or other duty owed by any of the Combined Company’s current or former director, officer or other employee to the Combined Company or its shareholders, (iii) any action asserting a claim arising pursuant to any provision of the Companies Act or the Cayman Articles, or (iv) any action asserting a claim against the Combined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will also provide that, without prejudice to any other rights or remedies that the Combined Company may have, each of the Combined Company’s shareholders acknowledges that damages alone would not be an adequate remedy for any breach of the selection of the courts of the Cayman Islands as exclusive forum and that accordingly the Combined Company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increase a shareholder’s cost and limit the shareholder’s ability to bring a claim in a judicial forum that it finds favorable for disputes with the Combined Company or its directors, officers, or other employees, which may discourage lawsuits against the Combined Company and its directors, officers, and other employees. Any person or entity purchasing or otherwise acquiring any of the Combined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Combined Company may incur additional costs associated with resolving the dispute in other jurisdictions, which could have adverse effect on the Combined Company’s business and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Cyclerion” or “Risks Related to Korsana”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Cyclerion</w:t>
      </w:r>
      <w:r>
        <w:rPr>
          <w:rFonts w:ascii="Times New Roman" w:hAnsi="Times New Roman"/>
          <w:sz w:val="20"/>
        </w:rPr>
        <w:t>” and “</w:t>
      </w:r>
      <w:r>
        <w:rPr>
          <w:rFonts w:ascii="Times New Roman" w:hAnsi="Times New Roman"/>
          <w:i/>
          <w:sz w:val="20"/>
        </w:rPr>
        <w:t>Risks Related to Korsana</w:t>
      </w:r>
      <w:r>
        <w:rPr>
          <w:rFonts w:ascii="Times New Roman" w:hAnsi="Times New Roman"/>
          <w:sz w:val="20"/>
        </w:rPr>
        <w:t xml:space="preserve">.”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 common stock following the Merger could be subject to significant fluctuations. Some of the factors that may cause the market price of the Combined Company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shareholder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KRSA-028 and Korsana’s future programs and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for example, through the sale of common stock or securities convertible or exchangeable into common stock, significantly dilute the Combined Company shareholders’ ownership interests or inhibit the Combined Company’s ability to achieve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If the Combined Company raises additional funds through public or private equity offerings, the terms of these securities may include liquidation or other preferences that adversely affect the rights of its common shareholders.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Korsana did not incur as a private company, including costs associated with public company reporting obligations under the Securities Exchange Act of 1934, as amended (the “Exchange Act”). The Combined Company’s management team will consist of the executive officers of Korsana prior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Cyclerion, under the new name “Korsana Biosciences, Inc.,” will be required to meet the initial listing requirements to maintain the listing and continued trading of its shares on Nasdaq. These initial listing requirements are more difficult to achieve than the continued listing requirements. Pursuant to the Merger Agreement, Cyclerion agreed to use its commercially reasonable efforts to cause the shares of Cyclerion Common Stock being issued in the Merger (including any common stock issuable upon conversion of the Cyclerion Series B Preferred Stock) to be approved for listing on Nasdaq at or prior to the First Effective Time. Based on information currently available to Cyclerion, Cyclerion anticipates that its stock will be unable to meet the $4.00 minimum bid price initial listing requirement at the closing of the Merger unless it effects a reverse stock split. The Cyclerion Board intends to effect a reverse stock split of the shares of Cyclerion Common Stock at a ratio of between one new share for every two shares to one new share for every ten shares (or any number in between). In addition, often times a reverse stock split will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Combined Company common stock is not then eligible for quotation on another market or exchange, trading of the shares could be conducted in the over-the- 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securities analysts,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 Oxley Act. As a private company, Korsana has not been required to document and test its internal controls over financial reporting nor has its management been required to certify the effectiveness of its internal controls and its auditors have not been required to opine on the effectiveness of its internal control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control over financial reporting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Cyclerion and Korsana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unaudited pro forma financial information for Cyclerion and Korsana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393.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that will be included in the Combined Company’s articles of organization and bylaws may discourage, delay, or prevent a merger, acquisition, or other change in control of the Combined Company that shareholders may consider favorable, including transactions in which its common shareholders might otherwise receive a premium price for their shares. These provisions could also limit the price that investors might be willing to pay in the future for shares of the Combined Company common stock, thereby depressing the market price of its common stock.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shareholder actions must be effected at a duly called shareholder meeting or by the unanimous written consent of all shareholders in lieu of such a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stock without shareholder approval, which could be used to institute a “poison pill” that would work to dilute the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a majority of the votes that all Combined Company shareholders would be entitled to cast to amend or repeal certain provisions of the Combined Company’s articles of organization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provisions of the Cyclerion Articles, as amended, relating to the Combined Company’s Series B Preferred Stock may delay or prevent a change in control of the Combined Company. At any time while at least 30% of the originally issued Series B Preferred Stock remains issued and outstanding, the Combined Company may not, without the affirmative vote of the holders of a majority of the then outstanding shares of the Series B Preferred Stock, (i) consummate (x) any Fundamental Transaction (as defined in the Cyclerion Articles, as amended)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Series B Certificate of Designation may make it more difficult for the Combined Company to enter into any of the aforementioned transactions, even potential change of control transactions that could offer a premium over the market value of the Combined Company to the common shareholders, as it would require the separate consent of the majority of the holders of the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 xml:space="preserve">Annex J </w:t>
      </w:r>
      <w:r>
        <w:rPr>
          <w:rFonts w:ascii="Times New Roman" w:hAnsi="Times New Roman"/>
          <w:sz w:val="20"/>
        </w:rPr>
        <w:t xml:space="preserve">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 xml:space="preserve">Annex K </w:t>
      </w:r>
      <w:r>
        <w:rPr>
          <w:rFonts w:ascii="Times New Roman" w:hAnsi="Times New Roman"/>
          <w:sz w:val="20"/>
        </w:rPr>
        <w:t>to this proxy statement/prospectus, and the Cayman Islands Companies Act. See “</w:t>
      </w:r>
      <w:r>
        <w:rPr>
          <w:rFonts w:ascii="Times New Roman" w:hAnsi="Times New Roman"/>
          <w:i/>
          <w:sz w:val="20"/>
        </w:rPr>
        <w:t>Risks Related to the Cayman Redomestication — Currently, Cyclerion is governed by Massachusetts, Cyclerion Articles and Cyclerion</w:t>
      </w:r>
      <w:r>
        <w:rPr>
          <w:rFonts w:ascii="Times New Roman" w:hAnsi="Times New Roman"/>
          <w:sz w:val="20"/>
        </w:rPr>
        <w:t xml:space="preserve"> </w:t>
      </w:r>
      <w:r>
        <w:rPr>
          <w:rFonts w:ascii="Times New Roman" w:hAnsi="Times New Roman"/>
          <w:i/>
          <w:sz w:val="20"/>
        </w:rPr>
        <w:t>Bylaws, but upon effectiveness of the Cayman Redomestication 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articles of organization, as amended, of the Combined Company will provide that, unless the Combined Company consents in writing to the selection of an alternative forum, certain designated courts will be the sole and exclusive forum for certain legal actions between Combined Company and its shareholders, which could limit its shareholders’ ability to obtain a favorable judicial forum for disputes with the Combined Company or its directors, officers, employees, 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organization, as amended, of the Combined Company will provide that, unless the Combined Company consents in writing to the selection of an alternative forum, a state or federal court located within the Commonwealth of Massachusetts shall be the sole and exclusive forum for (a) any derivative action or proceeding brought on behalf of the Combined Company, (b) any action asserting a claim of breach of a fiduciary duty owed by any director, officer or other employee of the Combined Company to the Combined Company or the Combined Company’s shareholders, (c) any action asserting a claim arising pursuant to any provision of the MBCA or any successor statute, or (d) any action asserting a claim governed by the internal affairs doctrine, in all cases subject to the court having personal jurisdiction over the indispensable parties named as defendants, which for purposes of this risk factor refers to herein as the “Massachusetts Forum Provision.” The Massachusetts Forum Provision will not apply to any causes of action arising under the Securities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In addition, the articles of organization, as amended, of the Combined Company will provide that any person or entity purchasing or otherwise acquiring any interest in shares of its capital stock is deemed to have notice of and consented to the foregoing Massachusetts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Forum Provision may impose additional costs on shareholders of the Combined Company in pursuing any such claims, particularly if the shareholders do not reside in or near the Commonwealth of Massachusetts or were permitted to select another jurisdiction. Additionally, the forum selection clauses in the articles of organization, as amended, of the Combined Company may limit its shareholders’ ability to bring a claim in a judicial forum that they find favorable for disputes with the Combined Company or its directors, officers, employees, or shareholders, which may discourage such lawsuits against the Combined Company and its directors, officers, employees, and shareholders even though an action, if successful, might benefit its shareholders. Alternatively, if a court were to find the Massachusetts Forum Provision contained in the Combined Company’s articles of organization, as amended, to be inapplicable or unenforceable in an action, the Combined Company may incur additional costs associated with resolving such action in other jurisdictions, which could materially and adversely affect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See “</w:t>
      </w:r>
      <w:r>
        <w:rPr>
          <w:rFonts w:ascii="Times New Roman" w:hAnsi="Times New Roman"/>
          <w:i/>
          <w:sz w:val="20"/>
        </w:rPr>
        <w:t>Risks Related to the Cayman Redomestication — 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 common stock may not develop and its shareholders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Korsana capital stock. An active trading market for the Combined Company shares of common stock may never develop or be sustained. If an active market for the Combined Company common stock does not develop or is not sustained, it may be difficult for the Combined Company shareholders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shareholders could cause the Combined Company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Cyclerion and Korsana sell, or indicate an intention to sell, substantial amounts of the Combined Company common stock in the public market after legal restrictions on resale discussed in this proxy statement/prospectus lapse, the trading price of the common stock of the Combined Company could decline. Based on shares outstanding as of June 30, 2026 for Cyclerion and Korsana, after giving effect to the estimated Exchange Ratio and the shares of Korsana Common Stock to be issued in the Korsana Pre-Closing Financing and shares expected to be issued upon completion of the Merger and prior to giving effect to the anticipated Cyclerion Reverse Stock Split, the Combined Company is expected to have outstanding a total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323.6 million shares of common stock immediately following the completion of the Merger (or approximately 391.7 million shares of common stock after giving effect to the conversion of the Cyclerion Series B Preferred Stock and the exercise of Cyclerion Pre-Funded Warrants). Approximately 225.1 million shares (or approximately 239.4 million, if certain Korsana Pre-Funded Warrants are exercised) will be freely tradeable upon completion of the Merger, and an additional approximately 98.5 million shares (or approximately 152.3 million, if the Cyclerion Series B Preferred Stock is converted and the remaining Korsana Pre-Funded Warrants are exercised) will become available for sale in the public market beginning 180 days after the closing of the Merger as a result of the expiration of lock-up agreements between Cyclerion on the one hand and certain securityholders of Korsana on the other hand (and without giving effect to any restrictions on resale under securities laws). In addition, shares of common stock that are subject to outstanding warrants, options or restricted stock units will become eligible for sale in the public market to the extent permitted by the provisions of various vesting agreements and Rules 144 and 701 under the Securities Act. If these shares are sold, the trading price of the Combined Company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holders of Combined Company Series B Preferred Stock will have the ability to significantly influence all matters submitted to the Combined Company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and giving effect to the issuance of the shares of Korsana Common Stock and the Korsana Pre-Funded Warrants prior to the closing of the Merger pursuant to the Korsana Pre-Closing Financing, it is anticipated that holders of Combined Company Series B Preferred Stock will, in the aggregate, beneficially own approximately 33.9% of the Combined Company’s outstanding shares of common stock (on a fully-diluted basis), subject to certain assumptions, including, but not limited to, Cyclerion’s net cash as of closing being $(2.5) million. As a result, if these shareholders were to choose to act together, they would be able to significantly influence all matters submitted to the Combined Company shareholders for approval, as well as the Combined Company management and affairs. For example, these shareholders, if they choose to act together, would significantly influence the election of directors and approval of any merger, consolidation, or sale of all or substantially all of the Combined Company’s assets. This concentration of voting power could delay or prevent an acquisition of the Combined Company on terms that other shareholders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Preferred Directors elected by the holders of Cyclerion Series B Preferred Stock will have the ability to control or significantly influence all matters submitted to the Combined Company board of directors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directors (the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(the “At-Large Directors”). Each Preferred Director is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it is expected Mr. Gottesdiener, Mr. Kiselak, Ms. Pernice, and Mr. Shah will be elected as the four Preferred Directors by the holders of Cyclerion Series B Preferred Stock. These four Preferred Directors will represent approximately 86% of the total votes of the Combined Company board of directors. As a result, these four Preferred Directors would be able to control or significantly influence all matters submitted to the Combined Company board of directors for approval, including business plans and policies and the appointment and removal of the Combined Company’s officers. The holders of Cyclerion Series B Preferred Stock will thereby have influence with respect to the composition of the Combined Company board of directors and, to the extent they influence the actions of the Preferred Directors, if at all, actions of the Combined Company board of directors. Entities affiliated with Fairmount and Venrock Healthcare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are expected to be the sole holders of 92% of Cyclerion Series B Preferred Stock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Korsana expects that the decision to enter into or amend any agreement with Paragon will be subject to the approval of the Combined Company board of directors. As noted above, the Combined Company board of directors will include four Preferred Directors that are affiliated with and elected by Fairmount and Venrock Healthcare Capital Partners, two of whom are affiliated with Fairmount, in addition to Dr. Violin. As a result, Fairmount may exert influence on the decisions of the Combined Company board of directors and the Combined Company management, including as it relates to agreements with Paragon and decisions to exercise options or enter into license agreements thereunder, which interests may differ from the interests of the Combined Company shareholders given Fairmount’s interest in the Combined Company and Paragon, and indirect interest in Parasa. All directors of the Combined Company will owe fiduciary duties pursuant to Massachusetts law, and directors of the Combined Company will be expected to comply with their respective fiduciary duties under Massachusetts law relevant to related party transactions. If the Cayman Redomestication is effected, all directors of the Combined Company will owe fiduciary duties pursuant to Cayman Islands law, and directors of the Combined Company will be expected to comply with their respective fiduciary duties under Cayman Islands law relevant to related party transactions.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 of the Cayman Redomestication — Comparison of Shareholder Rights under Massachusetts and Shareholder Rights</w:t>
      </w:r>
      <w:r>
        <w:rPr>
          <w:rFonts w:ascii="Times New Roman" w:hAnsi="Times New Roman"/>
          <w:sz w:val="20"/>
        </w:rPr>
        <w:t xml:space="preserve"> </w:t>
      </w:r>
      <w:r>
        <w:rPr>
          <w:rFonts w:ascii="Times New Roman" w:hAnsi="Times New Roman"/>
          <w:i/>
          <w:sz w:val="20"/>
        </w:rPr>
        <w:t>under Cayman Islands Law — Fiduciary Duties and Business Judgment</w:t>
      </w:r>
      <w:r>
        <w:rPr>
          <w:rFonts w:ascii="Times New Roman" w:hAnsi="Times New Roman"/>
          <w:sz w:val="20"/>
        </w:rPr>
        <w:t xml:space="preserve">” beginning on page 252 of this proxy statement/prospectus.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 common stock will be influenced by the research and reports that equity research analysts publish about it and its business. Equity research analysts may elect to not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Korsana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ability to use NOL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incurred losses during its history, and the Combined Company does not expect to become profitable in the near future and may never achieve profitability. As of December 31, 2025, Cyclerion had federal NOL carryforwards of approximately $211 million. As of December 31, 2025, Korsana had federal NOL carryforwards of approximately $31.5 million. Under current law, U.S. federal NOLs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1069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statements that constitute forward-looking statements within the meaning of the federal securities laws in relation to Cyclerion, Korsana,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Cyclerion’s or Korsana’s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These forward-looking statements involve a number of risks, uncertainties (some of which are beyond Cyclerion’s or Korsana’s control) or other assumptions that may cause actual results or performance to be materially different from those expressed or implied by these forward-looking statements. In addition to other factors and matters contained in this document, Cyclerion and Korsana believe the following factors could cause actual results to differ materially from those discussed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Merger are not satisfied, including the failure to obtain stockholder approval required to complete the Merger and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and Korsana’s ability to meet expectations regarding the timing and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Korsana Pre-Closing Financing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Merger and the ability of each of Cyclerion and Korsana to consummate the Merger and the transactions contemplated thereby, including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with obtaining the requisite approvals of the stockholders of each of Cyclerion and Korsana and the eﬀectiveness of the registration statement to be filed with the SEC in connection with the Merger and the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continued listing on the Nasdaq until closing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Cyclerion or Korsana for future operations of the Combined Company following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Korsana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pursuant to the Cyclerion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shareholders will not receive any dividend of cash prior to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and Korsana’s ability to correctly estimate their respective operating expenses and expenses associated with the transaction, uncertainties regarding the impact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in the closing of the Merger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Cyclerion and Korsana are restrained from soliciting other acquisition proposals during the pendency of the Merger,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Cyclerion’s or Korsana’s business relationships, operating results and business generally, including disruption of Cyclerion’s and Korsana’s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Cyclerion or Korsana to pay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Cyclerion, Korsana or any of their respective directors or officers related to the Merger Agreement or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and Korsana to protect their respective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Cyclerion’s and Korsana’s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Cyclerion’s and Korsana’s product candidates or their respective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manufacture their product candidates in conformity with the FDA’s requirements and to scale up manufacturing of their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Korsana’s pipeline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reliance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Korsana’s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Korsana’s competitors or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Should one or more of these risks or uncertainties materialize, or should any of Cyclerion’s or Korsana’s assumptions prove incorrect, actual results may vary in material respects from those projected in these forward-looking statements. There may be additional risks that Cyclerion or Korsana considers immaterial or which are unknown. You are urged to carefully review the disclosures Cyclerion and Korsana make concerning these risks and other factors that may affect Cyclerion’s and Korsana’s business and operating results under the section titled “</w:t>
      </w:r>
      <w:r>
        <w:rPr>
          <w:rFonts w:ascii="Times New Roman" w:hAnsi="Times New Roman"/>
          <w:i/>
          <w:sz w:val="20"/>
        </w:rPr>
        <w:t>Risk Factors</w:t>
      </w:r>
      <w:r>
        <w:rPr>
          <w:rFonts w:ascii="Times New Roman" w:hAnsi="Times New Roman"/>
          <w:sz w:val="20"/>
        </w:rPr>
        <w:t>” beginning on page 33 of this proxy statement/prospectus. Additional factors that could cause actual results to differ materially from those expressed in the forward-looking statements are discussed in reports filed with the SEC by Cyclerion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Cyclerion, Korsana or the Combined Company could differ materially from the forward-looking statements. Any public statements or disclosures by Cyclerion and Korsana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Cyclerion and Korsana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1069_6"/>
      <w:bookmarkEnd w:id="8"/>
      <w:r>
        <w:rPr>
          <w:rFonts w:ascii="Times New Roman" w:hAnsi="Times New Roman"/>
          <w:b/>
          <w:sz w:val="20"/>
        </w:rPr>
        <w:t xml:space="preserve">THE ANNUAL MEETING OF CYCLERION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Shareholders Meeting will be held on August 26, 2026, commencing at 2:00 p.m.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Cyclerion is sending this proxy statement/prospectus to its shareholders in connection with the solicitation of proxies by the Cyclerion Board for use at the Cyclerion Shareholders Meeting and any adjournments or postponements of the Cyclerion Shareholders Meeting. This proxy statement/prospectus is first being furnished to Cyclerion shareholders on or about July 27,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Cyclerion Shareholders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this proxy statement/prospectus (the “Authorized Share Increase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(“Proposal No. 4B” and together with Proposal No. 4A, the “Redomestication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recommends that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has determined and believes that it is fair to, in the best interests of, and advisable to, Cyclerion and its shareholders to approve (A) the redomestication of Cyclerion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the director nominee named in the Director Election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Cyclerion Common Stock at the close of business on the Record Date of July 17, 2026, are entitled to notice of, and to vote at, the Cyclerion Shareholders Meeting. At the close of business on July 17, 2026, there were 67 registered holders of record of Cyclerion Common Stock and there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4,681,351 shares of Cyclerion Common Stock issued and outstanding. Each share of Cyclerion Common Stock entitles the holder thereof to one vote on each matter submitted for shareholder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Cyclerion Board for use at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Cyclerion Common Stock, Computershare Trust Company, N.A., then you are a shareholder of record. As a shareholder of record, you may vote at the Cyclerion Shareholders Meeting or vote by proxy. Whether or not you plan to attend the Cyclerion Shareholders Meeting, we urge you to vote by proxy over the telephone or on the Internet as instructed below or return the proxy card we may mail to you to ensure your vote is counted, the form of which is attached hereto as </w:t>
      </w:r>
      <w:r>
        <w:rPr>
          <w:rFonts w:ascii="Times New Roman" w:hAnsi="Times New Roman"/>
          <w:i/>
          <w:sz w:val="20"/>
        </w:rPr>
        <w:t>Annex R</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Alternatively, you may vote by proxy by using the accompanying proxy card, over the Internet or by telephone. Whether or not you plan to attend the Cyclerion Shareholders Meeting, Cyclerion encourages you to vote by proxy to ensure your vote is counted. Even if you have submitted a proxy before the Cyclerion Shareholders Meeting, you may still attend the Cyclerion Shareholders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Cyclerion before the annual meeting, we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Cyclerion. Simply complete and mail the voting instruction card to ensure that your vote is counted. To vote at the Cyclerion Shareholders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Cyclerion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As a result, Cyclerion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Proposal Nos.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Cyclerion Shareholders Meeting and at any adjournments or postponements of the Cyclerion Shareholders Meeting in accordance with the instructions contained in the proxy. </w:t>
      </w:r>
      <w:r>
        <w:rPr>
          <w:rFonts w:ascii="Times New Roman" w:hAnsi="Times New Roman"/>
          <w:b/>
          <w:sz w:val="20"/>
        </w:rPr>
        <w:t>If a holder of Cyclerion</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 xml:space="preserve">executes and returns a proxy and does not specify otherwise, the shares represented by that proxy will be voted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all of the proposals in accordance with the recommendation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Cyclerion Shareholders Meeting of the holders of a majority of the shares of Cyclerion Common Stock outstanding and entitled to vote at the Cyclerion Shareholders Meeting is necessary to constitute a quorum at the meeting. Abstentions and broker non-votes, if any, will be counted towards the presence of a quorum.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as applicable to each proposal. 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Nos. 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Proposal No. 1, Proposal No. 2, and Proposal No. 3,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 of Cyclerion may solicit proxies from Cyclerion shareholders by personal interview, telephone, email, fax or otherwise. Cyclerion and Korsana will share equally the costs of printing and filing this proxy statement/prospectus and proxy card. Arrangements will also be made with brokerage firms and other custodians, nominees and fiduciaries who are record holders of Cyclerion Common Stock for the forwarding of solicitation materials to the beneficial owners of Cyclerion Common Stock. Cyclerion will reimburse these brokers, custodians, nominees and fiduciaries for the reasonable out of pocket expenses they incur in connection with the forwarding of solicitation materials. Cyclerion has retained Laurel Hill as its proxy solicitor.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pay the fees of Laurel Hill, which Cyclerion and Korsana expect to be approximately $25,000, plus reimbursement for certain out-of-pocket expenses. Cyclerion has agreed to indemnify Laurel Hill and related parties against certain liabilities and expenses arising out of its services in connection with the Cyclerion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Cyclerion Board does not know of any business to be presented at the Cyclerion Shareholders Meeting other than as set forth in the notice accompanying this proxy statement/prospectus. If any other matters should properly come before the Cyclerion Shareholders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1069_7"/>
      <w:bookmarkEnd w:id="9"/>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168 of this proxy statement/prospectus describe the material aspects of the Merger and the Merger Agreement. While Cyclerion and Korsana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See the section titled “Where You Can Find More Information” beginning on page 436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is a summary description of the background of the negotiations and the proposed merger and does not purport to document every discussion among representatives of Cyclerion, Korsana or other parties. In addition to formal meetings of the Cyclerion Board, Cyclerion’s management had periodic and other informal discussions with members of the Cyclerion Board throughout the process, and Cyclerion’s management held periodic calls with various advisors, and ultimately with Korsana and its advisors. The terms of the Merger Agreement are the result of extensive arm’s-length negotiations among Cyclerion’s and Korsana’s management and members of the Cyclerion Board and the Korsana Board, as well as with Cyclerion’s and Korsana’s respective financial advisors and legal counsel.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Cyclerion Board, assisted by Cyclerion management and outside advisors, regularly considers and reviews the strategy, performance and prospects of Cyclerion with a view toward maximizing shareholder value. These reviews have included, from time to time, discussions of opportunities and risks associated with Cyclerion’s development programs, its financial condition, strategic relationships and market conditions generally, as well as strategic alternatives, financing opportunities, business collaborations and licensing opportunities potentially available to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was spun out of Ironwood Pharmaceuticals, Inc. in April 2019 as a clinical-stage biopharmaceutical company focused on the development of soluble guanylate cyclase (“sGC”) for treatment of central nervous system diseases. </w:t>
      </w:r>
    </w:p>
    <w:p>
      <w:pPr>
        <w:pStyle w:val="TextBody"/>
        <w:bidi w:val="0"/>
        <w:spacing w:before="240" w:after="0"/>
        <w:jc w:val="left"/>
        <w:rPr>
          <w:rFonts w:ascii="Times New Roman" w:hAnsi="Times New Roman"/>
          <w:sz w:val="20"/>
        </w:rPr>
      </w:pPr>
      <w:r>
        <w:rPr>
          <w:rFonts w:ascii="Times New Roman" w:hAnsi="Times New Roman"/>
          <w:sz w:val="20"/>
        </w:rPr>
        <w:t xml:space="preserve">Between April 2019 and July 2023, Cyclerion conducted multiple clinical trials in connection with the development of its sGC stimulators for treatment of various indications. In order to narrow such efforts, in June 2021, Cyclerion out licensed certain assets pursuant to the Akebia License Agreement. In early 2023, the Cyclerion Board determined to shift Cyclerion’s strategy from developing sGC stimulators to building a new pipeline targeting neuropsychiatric diseases and in July 2023, Cyclerion sold zagociguat and CY3018 to Tisento. In connection with such sale, Cyclerion discontinued clinical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2023 and January 2025, the Cyclerion Board held periodic meetings to review Cyclerion’s financial position, capital requirements and financing strategy and consider opportunities and strategies for obtaining sufficient capital to continue its shift toward building a new therapeutic pipeline including development programs targeting neuropsychiatric diseases. During this time, members of Cyclerion management evaluated assets in multiple therapeutic areas with the goal of identifying products and opportunities directed at addressing patient needs and increasing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at a meeting of the Cyclerion Board, including Dr. Regina Graul, Cyclerion’s President and Chief Executive Officer, Ms. Rhonda Chicko, Cyclerion’s Chief Financial Officer, and Mr. Keith Ouellette, a representative of CFGI, LLC, Cyclerion’s accounting, finance and tax advisor, in attendance, Dr. Graul and Ms. Chicko presented a preliminary operating plan and budget for fiscal year 2025, which included a proposed development plan focused around acquiring rights to a product candidate and pipeline for therapeutic treatments of treatment resistant depression (“TRD”) and an initial financing strategy designed to support such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The Cyclerion Board discussed these initiatives and directed Cyclerion’s management to continue to refine the proposed development plan and to evaluate financing alternatives.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2025, Cyclerion entered into a patent option agreement with the Massachusetts Institute of Technology (“MIT”) (the “MIT Option Agreement”), pursuant to which MIT granted Cyclerion the exclusive right to negotiate an exclusive license agreement with respect to certain patent rights held by MIT related to therapeutic product candidates for the treatment of depression. </w:t>
      </w:r>
    </w:p>
    <w:p>
      <w:pPr>
        <w:pStyle w:val="TextBody"/>
        <w:bidi w:val="0"/>
        <w:spacing w:before="240" w:after="0"/>
        <w:jc w:val="left"/>
        <w:rPr>
          <w:rFonts w:ascii="Times New Roman" w:hAnsi="Times New Roman"/>
          <w:sz w:val="20"/>
        </w:rPr>
      </w:pPr>
      <w:r>
        <w:rPr>
          <w:rFonts w:ascii="Times New Roman" w:hAnsi="Times New Roman"/>
          <w:sz w:val="20"/>
        </w:rPr>
        <w:t xml:space="preserve">On April 3, 2025, at a meeting of the Cyclerion Board, including Dr. Graul, with members of Cyclerion’s management, including Ms. Chicko, and Mr. Ouellette in attendance, members of the Cyclerion Board and Cyclerion’s management reviewed Cyclerion’s financial position and projected cash runway. Dr. Graul and Ms. Chicko then presented a proposed updated financing strategy, which included the establishment of an “at-the-market” equity program to be used for opportunistic equity financing transactions and certain non-dilutive capital sources, including potential asset-related transactions. The Cyclerion Board then directed Cyclerion’s management to continue pursuing multiple financing channels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2025, at a meeting of the Cyclerion Board, including Dr. Graul, with members of Cyclerion’s management, including Ms. Chicko, and Mr. Ouellette in attendance, members of the Cyclerion Board and Cyclerion’s management reviewed updates to Cyclerion’s proposed development program for the product candidate that is the subject of the MIT Option Agreement, including engagement and feedback with regulatory authorities, and reviewed Cyclerion’s financial position and financing activities. Members of the Cyclerion Board, including Dr. Graul, and members of Cyclerion’s management, including Ms. Chicko, and Mr. Ouellette discussed a strategy of identifying intellectual property rights for the development of a medical device development program as a companion to Cyclerion’s proposed drug development program prior to pursuing a larger financing transaction as well as potential asset-related transactions. The Cyclerion Board directed management to continue advancing efforts to identify potential development programs while pursuing financing alternatives and strategic opportunities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following the exercise of its option under the MIT Option Agreement and negotiations with MIT, Cyclerion entered into a patent license agreement (the “MIT License Agreement”) with MIT, pursuant to which MIT granted Cyclerion a license to develop and commercialize certain anesthetic-based investigational therapy products for the treatment of neuropsychiatric disorders, including depression.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at a meeting of the Cyclerion Board, including Dr. Graul, and members of Cyclerion’s management, including Ms. Chicko, and Mr. Ouellette in attendance, members of the Cyclerion Board and Cyclerion’s management reviewed updates to Cyclerion’s financial position and projected cash runway, including the impact of an anticipated Phase 2 proof-of-concept trial and related device development program activities. The Cyclerion Board discussed the juxtaposition between the amount of required capital for the proposed development plan presented by Dr. Graul and Ms. Chicko and the availability of financing to meet these capital requirements. As a result of the potential challenges funding Cyclerion’s development plans, in addition to exploring potential financing transactions, the Cyclerion Board also directed Cyclerion’s management to continue to evaluate strategic alternatives and to determine a process for reviewing and evaluating inbound expressions of interest regarding reverse merger opportunities that Cyclerion may receive as a result of its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3, 2025 and December 11, 2025, members of Cyclerion’s management met with representatives of 16 financial advisors to discuss advising Cyclerion on a potential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2025, Cyclerion’s management received an unsolicited indication of interest from a representative of Company A, a privately held biotech company developing therapies for metabolic disorders, regarding a potential reverse merger transaction (the “Company A Proposal”). The Company A Proposal provided for the acquisition of all of Company A’s outstanding equity securities by Cyclerion in exchange for shares of Cyclerion common stock at a ratio determined by agreed valuations of Cyclerion and Company 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equity financing of at least $25 million. Cyclerion’s valuation in the Company A Proposal was $20 million. The Company A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2025, members of the Cyclerion Board received correspondence from a representative of Company A requesting a response by October 31, 2025 as to whether Cyclerion intended to move forward with Company A’s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26, 2025, Cyclerion engaged a scientific advisor, Tim Surgenor of Red Sky Partners, LLC, to assist with review and evaluation of the Company A Proposal and related diligence. Later that day, Cyclerion’s management notified the full Cyclerion Board of the response deadline received from Company A.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26, 2025 and October 29, 2025, members of Cyclerion’s management and Mr. Surgenor conducted scientific, regulatory, financial and strategic diligence on Company A.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Dr. Graul and Ms. Chicko met with Mr. Surgenor and Michael Higgins, a member of the Cyclerion Board, to discuss concerns related to the proposed financing terms of the Company A Proposal, which were subsequently communicated to the other members of the Cyclerion Board. Following consideration of the concerns raised by Dr. Graul, Ms. Chicko, Mr. Surgenor and Mr. Higgins, the Cyclerion Board determined that it was not in the best interests of Cyclerion or Cyclerion’s shareholders to move forward with the Company A Proposal, due to their belief that such a transaction would not provide greater value to Cyclerion’s shareholders than continuing operations as an independent company. In coming to this decision, the Cyclerion Board noted that Company A’s development programs, including the underlying technology and science, were early stage and the target indications were both highly competitive. Company A had limited cash resources on hand and the future of the combined company would have been dependent on completion of a concurrent financing of at least $25 million and up to $55 million, which was not secured. The Cyclerion Board directed Cyclerion’s management to notify Company A of Cyclerion’s decision not to move forward.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Company A was notified of Cyclerion’s decision not to proceed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20, 2025, at a meeting of the Cyclerion Board with Dr. Graul, Ms. Chicko and Mr. Ouellette, in attendance, Dr. Graul and Ms. Chicko presented a comprehensive overview of Cyclerion’s capital requirements for its proposed drug and device development programs, indicating that approximately $20 to $25 million in capital would be necessary to fund operations through a key clinical inflection point and approximately $50 million would be necessary to reach full Phase 2 proof-of-concept data. Dr. Graul and Ms. Chicko also presented a few alternatives for obtaining the necessary capital to fund such operations and identified two out of the 16 potential financial advisors with whom Cyclerion had met over the prior two months that had expressed interest in being engaged for such financing transactions. The Cyclerion Board discussed these capital requirements relative to Cyclerion’s recent difficulties in identifying substantial investor interest and directed Cyclerion’s management to move forward with negotiations to engage a financial advisor in connection with pursuing a private placement transaction or transactions to obtain the required capital for the drug and device development programs while also continuing to evaluate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20, 2025, members of Cyclerion’s management received a proposed engagement letter from one of the two prospective financial advisors, which included a proposal for a financing transaction involving the sale of registered equity. Following further discussions with the first prospective financial advisor and the direction of the Cyclerion Board to pursue a private placement transaction, Cyclerion decided not to move forward with engaging the first prospective financial advisor for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November 24, 2025 and December 11, 2025, Cyclerion negotiated an engagement letter with the second prospective financial advisor, Lucid Capital Markets, LLC (“Lucid”). On December 11, 2025, Cyclerion and Lucid entered into an engagement letter pursuant to which Lucid agreed to assist with the evaluation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execution of a potential private placement financing transaction. The engagement letter did not provide for Lucid’s participation in negotiations related to an acquisition transaction, such as the Mergers, and Lucid did not participate in such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at a meeting of the Cyclerion Board with Dr. Graul, Ms. Chicko, representatives of Lucid, and a representative of one of Cyclerion’s legal advisors, Gennari Aronson, LLP in attendance, Lucid provided an overview of the proposed financing transaction process, including target investor profiles, anticipated transaction structure and a potential timeline for execution. The Cyclerion Board discussed the proposed process and timeline and directed Cyclerion’s management to proceed with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January 20, 2026 and March 9, 2026, Cyclerion and Lucid contacted approximately 90 institutional investors and conducted approximately 50 diligence sessions, including 17 formal management presentations. None of the investors contacted agreed to serve as lead investor in the proposed 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Cyclerion’s management received an unsolicited indication of interest from representatives of an advisor to Company B, a privately held biotech company developing therapies for treatment of chronic pain, about a potential reverse merger transaction (the “Company B Proposal”). The Company B Proposal provided for the acquisition of all of Company B’s outstanding equity interests by Cyclerion in exchange for shares of Cyclerion common stock and non-voting preferred stock at a ratio determined by agreed-upon valuations of Cyclerion and Company B and a concurrent private placement of at least $50 million. Cyclerion’s valuation in the Company B Proposal was $8 million. The Company B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Cyclerion and Company B entered into a mutual confidentiality agreement that did not include a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3, 2026 and March 1, 2026, members of Cyclerion’s management conducted scientific, regulatory, financial and strategic diligence on Company B.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Cyclerion’s management received an unsolicited indication of interest from an investor in Company C, a privately held biotechnology company, about a potential transaction (the “Company C Proposal”). The Company C Proposal provided for the sale of Cyclerion preferred stock holding voting rights equal to 65% of Cyclerion’s outstanding shares to an investor in Company C for a purchase price of $10 million. The Company C Proposal provided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4, 2026, at a meeting of the Cyclerion Board with Dr. Graul, Ms. Chicko and Mr. Ouellette in attendance, Dr. Graul presented an overview of the Company B Proposal and their initial diligence findings. Following review of diligence findings and discussion with Cyclerion management, the Cyclerion Board determined not to pursue a reverse merger transaction with Company B due to risks related to a potential longer development timeline than the assumed timeline embedded in Company B’s valuation model, limited interaction with and guidance from regulatory agencies, including the FDA, unproven product scalability and substantial anticipated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Dr. Graul contacted a representative of Company D, a public royalty aggregator, to discuss a potential royalty financing transaction on March 5, 2026.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a representative from Wedbush Securities Inc. (“Wedbush”), the financial advisor to Korsana, contacted Dr. Graul to express interest in a reverse merger transaction between Cyclerion and Korsana. The expression of interest from Korsana delivered by Wedbush was unsolicited.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Cyclerion and Company D entered into a mutual confidentiality agreement, which did not include a standstill. Cyclerion began providing diligence materials to Company D to assess interest in assets. Company D did not follow up on a potential transaction following initial diligence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March 9, 2026, representatives of Wedbush and Cyclerion had an introductory meeting by videoconference. Following this meeting, a representative of Wedbush delivered to Dr. Graul an initial draft of a term sheet for a proposed reverse merger transaction between Cyclerion and Korsana (the “Initial Korsana Term Sheet”), which Cyclerion’s management subsequently shared with the Cyclerion Board. The Initial Korsana Term Sheet provided for the acquisition of all outstanding shares of Korsana capital stock by Cyclerion in exchange for shares of Cyclerion common stock at a ratio determined by agreed valuations of Cyclerion and Korsana and a concurrent private placement into Korsana of at least $150 million (the “PIPE financing”). The Initial Korsana Term Sheet also provided for a to be determined valuation of Korsana, noting that Korsana’s latest post-money valuation on the date of the Final Korsana Term Sheet was $240 million and a proposed $8 million valuation of Cyclerion, which would be adjusted upward or downward, dollar-for-dollar, based on the amount of net cash above or below $0, respectively, held by Cyclerion at the closing of the Merger. The Initial Korsana Term Sheet did not provide Cyclerion shareholders the right to receive contingent payments post-closing in connection with the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and March 10, 2026, Dr. Graul and Ms. Chicko spoke with the Cyclerion Board about the Initial Korsana Term Sheet and met with representatives from Cyclerion’s legal counsel, Ropes &amp; Gray LLP (“Ropes &amp; Gray”) to discuss the Initial Korsana Term Sheet, including the proposed Cyclerion valuation and potential to add a mechanism for contingent payments to Cyclerion’s shareholders via a contingent value rights (“CVR”) agreement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Cyclerion and Korsana entered into a mutual confidentiality agreement that did not include a standstill and began exchanging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10, 2026, a representative of Cyclerion sent a revised term sheet to Wedbush (the “Revised Korsana Term Sheet”). The Revised Korsana Term Sheet provided for a valuation of Cyclerion of $12 million and the issuance of CVRs to Cyclerion’s shareholders at the closing of the Merger, which would represent the right to receive payments received in connection with the divestiture of Cyclerion Legacy Assets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10, 2026 and March 12, 2026, Cyclerion’s management conducted initial scientific, regulatory, financial and strategic diligence on Korsana through review of materials provided in a virtual data room and discussions with representatives of Korsana’s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members of Cyclerion’s management and Korsana’s management and representatives of Wedbush held a meeting by videoconference to discuss Cyclerion’s asset portfolio, cash runway and other background diligence items.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11, 2026, Cyclerion and Company C entered into a mutual confidentiality agreement that did not include a standstill for the purposes of enabling Cyclerion’s management to review materials and conduct scientific, regulatory, financial and strategic diligence, after which members of Cyclerion’s management were granted access to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11, 2026, and March 12, 2026, members of Cyclerion’s management conducted scientific, regulatory, financial and strategic diligence on Company C. </w:t>
      </w:r>
    </w:p>
    <w:p>
      <w:pPr>
        <w:pStyle w:val="TextBody"/>
        <w:bidi w:val="0"/>
        <w:spacing w:before="240" w:after="0"/>
        <w:jc w:val="left"/>
        <w:rPr>
          <w:rFonts w:ascii="Times New Roman" w:hAnsi="Times New Roman"/>
          <w:sz w:val="20"/>
        </w:rPr>
      </w:pPr>
      <w:r>
        <w:rPr>
          <w:rFonts w:ascii="Times New Roman" w:hAnsi="Times New Roman"/>
          <w:sz w:val="20"/>
        </w:rPr>
        <w:t xml:space="preserve">Following that meeting, also on March 11, 2026, a representative of Wedbush sent Cyclerion’s management a further revised term sheet (the “Final Korsana Term Sheet”). The Final Korsana Term Sheet provided for (i) a to be determined valuation of outstanding Korsana equity, noting that Korsana’s latest post-money valuation on the date of the Final Korsana Term Sheet was $240 million, (ii) a valuation of Cyclerion equal to $10 million, which would be adjusted upward or downward, dollar-for-dollar, based on the amount of net cash above or below $0, respectively, held by Cyclerion at the closing of the Merger, (iii) the issuance of CVRs to Cyclerion’s shareholders at or prior to the Closing for the purpose of distributing payments received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divestiture of Cyclerion Legacy Assets and (iv) a concurrent private placement into Korsana of at least $150 million.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at a meeting of the Cyclerion Board with Dr. Graul, Ms. Chicko and Mr. Ouellette in attendance, Dr. Graul presented initial diligence findings with respect to Company C to the Cyclerion Board. Following review of initial diligence findings, the Cyclerion Board determined not to pursue a transaction with Company C due to concerns regarding the lack of capital and liquidity included in the proposed transaction, which would likely result in a need for additional capital raises in the near term and the dilutive effect the transaction would have on Cyclerion’s shareholders, as well as concerns related to the sufficiency of Company C’s organizational depth to support the complexity of Company C’s proposed development strategy.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13, 2026, the Cyclerion Board convened at a meeting at which Dr. Graul, Ms. Chicko and Mr. Ouellette and representatives from Ropes &amp; Gray were present. Cyclerion’s management presented the Final Korsana Term Sheet and its initial diligence findings on Korsana and provided an overview of Cyclerion’s available strategic alternatives, including limited opportunities for financing transactions. The Cyclerion Board reviewed and assessed the Final Korsana Term Sheet as being a potential alternative to previously discussed alternative financing transactions, as well as the previously proposed transactions with Company A, Company B and Company C. The Cyclerion Board also discussed the relative merits and risks of the transactions contemplated by the Final Korsana Term Sheet, the Company A Proposal, the Company B Proposal, the Company C Proposal and potential alternative financing transactions if Cyclerion were to remain a standalone company, including the respective value to Cyclerion shareholders, financing needs, and risks to completion of a merger and obtaining sufficient financing to get to a critical inflection point in connection with Cyclerion’s proposed drug and device development programs. Following discussion, the Cyclerion Board determined the transactions contemplated by the Final Korsana Term Sheet represented the best available alternative for Cyclerion and its shareholders and directed Cyclerion management to execute the term sheet and negotiate a transaction with Korsana.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Cyclerion and Korsana entered into the Final Korsana Term Sheet.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16, 2026, Dr. Graul informed an investor in Company C that Cyclerion was not interested in moving forward with the Company C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Cyclerion’s management and representatives from Ropes &amp; Gray met with representatives of Korsana’s management and representatives of Wedbush and Gibson, Dunn &amp; Crutcher LLP (“Gibson Dunn”), Korsana’s legal advisor, to discuss the timeline for signing definitive agreements related to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18, 2026 and March 31, 2026, representatives of Cyclerion’s management team conducted further business and financial due diligence with respect to Korsana, its business and the market for its pipeline products, and Korsana’s management and advisors conducted diligence of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Terrence McGuire, a board observer of Tisento and a former director of Cyclerion, on behalf of the board of directors of Tisento, contacted Dr. Graul with an unsolicited offer to purchase all equity securities of Tisento beneficially owned by Cyclerion (the “Tisento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at an executive session of a meeting of the Cyclerion Board in which Dr. Graul, Ms. Chicko and Mr. Ouellette were present and one member of Cyclerion’s Board, Dr. Peter Hecht, recused himself due to a conflict of interest in connection with Dr. Hecht’s position as Chief Executive Officer of Tisento, the Cyclerion Board and members of Cyclerion’s management discussed the Tisento Proposal, including whether the sale transaction contemplated thereby was in the best interests of the Cyclerion shareholders. Following discussion, the Cyclerion Board determined that the purchase price offered in the Tisento Proposal was not an acceptable price for 10% of the equity interests of Tisento and devalued the ownership potential for such an early-stage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 Cyclerion Board directed Dr. Graul to inform Tisento of its decision not to move forward with the sale of Tisento equity and further directed members of Cyclerion’s management to identify potential transactions and interested counterparties for the sale of the equity securities of Tisento beneficially owned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2026, Gibson Dunn delivered an initial draft of the Merger Agreement and the CVR Agreement to Ropes &amp; Gray. Between March 22, 2026, and March 31, 2026, the parties and their respective advisors negotiated the terms and conditions of the transaction documentation. Key points of negotiation on the Merger Agreement included (i) termination provisions and related fees payable upon the occurrence of certain events by Cyclerion and Korsana and (ii) procedures for determining Cyclerion’s net cash position, including deductions for certain fees and expenses. With respect to the CVR Agreement, the key point of negotiation revolved around the length of the post-closing period that Cyclerion shareholders may receive contingent payments, the period of time that dispositions of Cyclerion Legacy Assets could occur, the level of efforts Korsana would need to use to effect such disposition and the ability of a Cyclerion representative to facilitate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2026, Dr. Graul informed Mr. McGuire of Cyclerion’s decision not to move forward with the Tisento Proposal at that time, while asking that representatives of Cyclerion and Tisento keep lines of communication open in the event Tisento is willing to offer a higher price for the Tisento equity held by Cyclerion that better aligns the view of the Cyclerion Board of the Tisento equity’s potential value.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2026, representatives of Gibson Dunn delivered to Ropes &amp; Gray drafts of certain ancillary agreements and documents relating to the Merger, the terms of which the parties negotiated through March 31, 2026, including the Parent Support Agreement, Company Support Agreement, Lock-Up Agreement, Parent Articles of Amendment, which contained the potential terms of the preferred stock to be issued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24, 2026, a representative of Ropes &amp; Gray contacted Gemini Valuation Services, LLC (“Gemini”) regarding a potential engagement of Gemini to serve as a financial advisor in connection with the Contemplated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2026, Cyclerion entered into a confidentiality agreement with Gemini. Following the execution of that agreement, Dr. Graul provided representatives of Gemini with access to certain materials related to the Contemplated Transaction, including the most recent draft of the Merger Agreement and other diligence information requested by Gemini to complete its analysis in connection with the provision of an opinion, if requested by the Cyclerion Board, regarding the fairness, from a financial point of view, of the Exchange Ratio. Representatives of Gemini agreed to complete the work necessary to determine if it would be able to deliver such an opinion. Gemini subsequently provided Cyclerion with an update on any potential conflicts that Gemini might have related to the potential engagement.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the Cyclerion Board held a meeting with Dr. Graul, Ms. Chicko, Mr. Ouellette and representatives of Ropes &amp; Gray to discuss the status of the reverse merger negotiations, including Merger Agreement and CVR Agreement terms, diligence review of Korsana and asset disposition options for Cyclerion Legacy Assets. The Cyclerion Board reviewed the proposed transaction timeline and Cyclerion’s existing cash resources, and the terms of the proposed PIPE financing for the transaction, including the potential dilution to Cyclerion shareholders as a result of the proposed PIPE financing, and provided guidance on the terms being negotiated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2026, Dr. Graul, members of Korsana’s management and representatives of Gemini met via videoconference to provide Gemini with additional information on the Contemplated Transactions and answer questions from Gemini related to its fairness analysis.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2026, the Cyclerion Board held a meeting with Dr. Graul, Ms. Chicko, Mr. Ouellette and representatives from Ropes &amp; Gray in attendance. At the meeting, a representative of Ropes &amp; Gray presented an overview of the key terms of the Merger Agreement, the CVR Agreement and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CVR term, the Exchange Ratio, a mandatory dividend term in the Merger Agreement, and treatment of outstanding Cyclerion equity awards in connection with the Merger. Following discussion of the key issues and alternative approaches to each, the Cyclerion Board directed Cyclerion management and the representatives of Ropes &amp; Gray to seek to finalize negotiations of the transaction documents and provided guidance on how to proceed with negotiations of certain key terms, including eliminating the mandatory dividend and ensuring that the CVR term in the CVR Agreement is sufficiently long to ensure that Cyclerion shareholders have an opportunity to receive payments under the Akebia License Agreement and in connection with the disposition of equity interests of Tisento held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Dr. Graul, Ms. Chicko and members of Korsana’s management and representatives of Wedbush, Gibson Dunn and Ropes &amp; Gray had a videoconference to discuss the merger consideration calculation, including an update on the valuation of outstanding Korsana equity, which, based upon Korsana’s latest post-money valuation as determined by conversations with potential investors in the PIPE financing, was agreed to be equal to $268.4 million, and to receive an update on PIPE subscriptions, which were expected to be approximately $380 million to date.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31, 2026, Cyclerion entered into an engagement letter with Gemini in advance of the Cyclerion Board’s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the Cyclerion Board held a meeting by videoconference, at which Dr. Graul, Ms. Chicko, Mr. Ouellette and representatives of Ropes &amp; Gray and Gemini were present. Representatives of Ropes &amp; Gray provided any updates to negotiations of the terms of the Merger Agreement, the CVR Agreement and other ancillary documents associated with the proposed Merger since the previous day’s meeting. Representatives of Ropes &amp; Gray then reminded the Cyclerion Board of its fiduciary duties under Massachusetts law, which had been discussed with the Cyclerion Board throughout the process. Gemini then reviewed its financial analyses with respect to Cyclerion, Korsana and the proposed Merger. Thereafter, at the request of the Cyclerion Board, Gemini orally rendered its opinion to the Cyclerion Board (which was subsequently confirmed in writing by delivery of Gemini’s written opinion dated March 31, 2026, addressed to the Cyclerion Board), as to, as of such date, the fairness, from a financial point of view, to Cyclerion of the Exchange Ratio. Representatives of Cyclerion management and Ropes &amp; Gray responded to questions from the Cyclerion Board and, after further discussion, the Cyclerion Board provided guidance regarding certain key terms that had not been resolved and adjourned the meeting, indicating that it would consider the final terms and conditions following further negotiations.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April 1, 2026, the Cyclerion Board reviewed updates to the transaction documents made subsequent to the Cyclerion Board meeting during the prior day and unanimously: (i) determined that the Contemplated Transactions are fair to, advisable and in the best interests of Cyclerion and its shareholders; (ii) adopted, approved and declared advisable the Merger Agreement, the CVR Agreement, the Cyclerion Support Agreement, the Korsana Support Agreement, the Lock-Up Agreement and the Contemplated Transactions, including the Merger and issuance of shares of Cyclerion common stock, Cyclerion Series B Preferred Stock and the Cyclerion Pre-Funded Warrants pursuant to the terms of the Merger Agreement and the issuance of CVRs pursuant to the CVR Agreement in connection with the merger; and (iii) recommended that Cyclerion’s shareholders vote in favor of the Parent Shareholder Matters, including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Later on April 1, 2026, the parties entered into the Merger Agreement and the related ancillary documents, other than the CVR Agreement which will be entered into in connection with Closing and the private placement investors executed and delivered the Korsana Securities Purchase Agreement for the PIPE financing. Cyclerion and Korsana then issued a joint press release announcing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the parties entered into the amendment to the Merger Agreement to reflect the appropriate voting standard for shareholder approval of the Redomestication Proposal and to remove approval of the Redomestication Proposal from the list of closing conditions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Cyclerion’s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the Cyclerion Board considered the following factors, among others and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financial performance (both past and prospective) and its financial condition, results of operations (both past and prospective), market capitalization and the need for and inability to raise material amounts of additional capital, business and strategic objectives, including the development of Cyclerion’s lead neuropsychiatric program, as well as the risks and timing of accomplishing those objectives, including if Cyclerion were to remain an independent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alternatives to the Merger and the Contemplated Transactions available to Cyclerion, the range of possible benefits and risks to Cyclerion’s shareholders of those alternatives and the timing and the likelihood of accomplishing the goals of any of such alternatives, and the Cyclerion Board’s assessment that the Merger presented a superior opportunity for Cyclerion’s shareholders to any such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comprehensive and thorough process of reviewing and analyzing potential strategic alternatives undertaken by the Cyclerion Board and management, including the exploration of potential licensing or other disposition of key assets and financing transactions, such as a private investment in public equity, an at-the-market equity offering or convertible security financing, and the Cyclerion Board’s belief that no commercially viable alternative financing, strategic investment, merger, asset sale or licensing transaction was reasonably available to Cyclerion that could reasonably be expected to advance Cyclerion’s development program to a meaningful value inflection point within the required timeframe;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assessment of potential candidates for a strategic transaction, and in particular, the Cyclerion Board’s view that Korsana was the most attractive and promising candidate, and the Cyclerion Board’s belief that the Merger would create more value for Cyclerion’s shareholders than any of the other proposals that the Cyclerion Board had received or Cyclerion could create as a standalone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process undertaken by the Cyclerion Board in pursuit of a strategic transaction, including the proposed Merger, in each case considering the current market dynamics;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potential strategic counterparties, including multiple reverse merger candidates, that had made proposals for a strategic transaction with Cyclerion based on the scientific, regulatory, financial and strategic due diligence conducted by Cyclerion’s management and Cyclerion’s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based in part on the scientific, regulatory, financial and strategic due diligence process conducted by Cyclerion’s management and reviewed with the Cyclerion Board, that Korsana’s assets and development programs present a scientifically credible market opportunity with the potential to create meaningful value for the shareholders of the Combined Company and an opportunity for Cyclerion’s shareholders to participate in the future potential growth of the Combined Company, notwithstanding the risks inherent in early-stage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Cyclerion’s shareholders to receive certain cash payments following the Closing pursuant to the Cyclerion CVR Agreement, which the Cyclerion Board believed preserves for Cyclerion’s shareholders the potential value from a sale, license or other disposition of any Cyclerion Legacy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current market capitalization, potential dilution from future financings and uncertainty regarding the availability of sufficient capital required to support its plans and objectives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meaningful value inflection point on terms acceptable to Cyclerion were it to remain an independent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at the time of the signing of the Merger Agreement, including Cyclerion’s inability to raise financing in a private investment in public equity financing, market prices, volatility and the then-current trading information with respect to Cyclerion common stock, and the possibility that Cyclerion common stock could be delisted from the Nasdaq and only trade through the over-the-counter markets,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analysis presented by Gemini to the Cyclerion Board on March 31, 2026 and Gemini’s opinion, dated March 31, 2026, to the Cyclerion Board that, as of such date and based upon and subject to the qualifications, limitations, assumptions and other matters set forth therein, the Exchange Ratio was fair, from a financial point of view, to Cyclerion (as more fully described in the section titled “</w:t>
            </w:r>
            <w:r>
              <w:rPr>
                <w:rFonts w:ascii="Times New Roman" w:hAnsi="Times New Roman"/>
                <w:i/>
                <w:sz w:val="20"/>
              </w:rPr>
              <w:t>The Merger—Opinion of Cyclerion’s Financial Advisor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strength of Korsana’s investment base and the potential for the aggregate commitment represented in the Korsana Pre-Closing Financing of approximately $380.0 million to fund the balance sheet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pre-Merger Cyclerion shareholders are anticipated (if Cyclerion’s net cash is equal to $(2.5) million when calculated pursuant to the terms of the Merger Agreement) to own approximately 1.1% of the fully diluted equity interests of the Combined Company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if completed, the pre-Merger Cyclerion shareholders will continue to own Cyclerion common stock and Cyclerion Series A preferred stock, and the Cyclerion Board’s belief that this continuing equity interest will provide the existing Cyclerion shareholders with an opportunity to participate following the Merger in the potential equity value of the Combined Company, which will focus on Korsana’s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that the terms of the Merger Agreement and the related agreements, including the parties’ respective representations, warranties and covenants, the conditions to their respective obligations to close the Merger and the termination rights of the parties, are reasonable under the circumstances,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as a result of arm’s-length negotiations with Korsana, Cyclerion and its representatives negotiated the most favorable Exchange Ratio to which Korsana was willing to agree, and that the other terms of the Merger Agreement include the most favorable terms to Cyclerion in the aggregate to which Korsana was willing to agree;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Cyclerion net cash at the Closing and the estimated number of shares of Cyclerion common stock, Cyclerion Series B Preferred Stock and Cyclerion pre-funded warrants to purchase shares of Cyclerion common stock to be issued in the Merger (in addition to Cyclerion equity awards to be issued in the Merger), and the fact that the relative valuation of Cyclerion, and thus the relative percentage ownership of Cyclerion’s shareholders immediately following the Closing, is subject to change based on the amount of Cyclerion net cash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5"/>
        <w:gridCol w:w="203"/>
        <w:gridCol w:w="8271"/>
      </w:tblGrid>
      <w:tr>
        <w:trPr/>
        <w:tc>
          <w:tcPr>
            <w:tcW w:w="14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customary nature of the conditions to Cyclerion’s and Korsana’s respective obligations to complete the Merger and the likelihood that the Merger will be completed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under the Merger Agreement to consider unsolicited acquisition proposals under certain circumstances and for the Cyclerion Board to potentially change its recommendation in favor of such a proposal should Cyclerion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$235,000 payable by Cyclerion if the Merger Agreement is terminated in certain circumstances;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$10,736,000 payable by Korsana, depending on the circumstances of the termination, which the Cyclerion Board believed would provide deterrence for competing acquisition proposals and provide Cyclerion with compensation for the time, expense and disruption associated with negotiating the transaction if the Merger is not completed under such specified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executive officers, directors and stockholders of Korsana have agreed not to transfer their shares of common stock of the Combined Company for the 180-day period after the effective time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support agreements, pursuant to which certain stockholders of Korsana, solely in their capacities as stockholders, have agreed to execute a written consent or vote all of their shares of Korsana capital stock in favor of the Merger and against any competing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support agreements, pursuant to which certain stockholders of Cyclerion, solely in their capacities as stockholders, have agreed, to vote all of their shares of Cyclerion common stock in favor of the Proposals and against any competing proposals.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Cyclerion Board also considered, among other things, a variety of risks, uncertainties, and other countervailing factors related to entering into the Merger, the Merger Agreement and the Contemplated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will not be consummated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adverse effects of the public announcement of the Merger on Cyclerion’s business, including the potential volatility of the trading price of Cyclerion common stock resulting from, among other things, (i) potential impact of matters relating to Korsana and its financial condition, operating results, development programs and prospects and (ii) the fact that Korsana is not currently a public company and, as a result, there is no established trading market or market prices for Korsana common stock and limited information related to Korsana is publicly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any Cyclerion Legacy Assets remaining after the Closing will not be monetized and the consequential potential that Cyclerion shareholders will not receive any consideration under the Cyclerion CVRs and the Cyclerion CVRs may otherwise expire valueless;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Korsana will not be able to complete the Korsana Pre-Closing Financing on the terms or amounts contemplated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could have the effect of discouraging competing proposals involving Cyclerion, including the restrictions on Cyclerion’s ability to solicit alternative acquisition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may be required to pay to Korsana a termination fee of $235,000, and the potential effects of such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challenges to which the ability of the Combined Company to execute on its business plan will be subject, some of which will be beyond the control of the Combined Company, including risks and challenges relating to execution, technology, regulatory matters, funding needs and the fact that the Combined Company is not anticipated to generate any material amount of revenue in the near future, risks relating to the development and/or commercialization of Korsana’s development program, including that such development programs may not generate acceptable clinical data in the future or be successfully developed into products that are marketed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sold, as well as other scientific, regulatory and financial risks and uncertainties as to the extent to which the Combined Company will be able to successfully execute its business plan on a timely basis, if at all, and achieve its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under the Merger Agreement to consider unsolicited acquisition proposals under certain circumstances and for the Korsana Board to potentially change its recommendation in favor of such a proposal should Korsana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Cyclerion Board under the Merger Agreement to potentially change its recommendation in the case of an intervening event (subject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direction of the Combined Company following the completion of the Merger, which will be determined by the Combined Company’s board, which is not expected to include a representative of the current Cyclerion Board, and the Combined Company’s management, which is not expected to include any current Cyclerion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fees and expenses incurred or that may be incurred by Cyclerion or the Combined Company associated with completing the Merger and the Contemplated Transactions, including the costs associated with any potential transaction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disruptive shareholder demands or litigation following announcement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parties’ efforts or that the Closing may be unduly delayed and the effects on Cyclerion as a standalone company because of such failure or delay, including that a more limited range of alternative strategic transactions may be available to Cyclerion in such an event and that Cyclerion may experience additional significant challenges associated with its need to raise additional capital through the public or private sale of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will not be entitled to receive a termination fee from Korsana even in the event that the Merger is not consummated as a result of circumstances which are not under Cyclerion’s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existing shareholders of Cyclerion upon the consummation of the Merger and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possibility that the Cyclerion net cash, as more fully described below under the caption “</w:t>
            </w:r>
            <w:r>
              <w:rPr>
                <w:rFonts w:ascii="Times New Roman" w:hAnsi="Times New Roman"/>
                <w:i/>
                <w:sz w:val="20"/>
              </w:rPr>
              <w:t>The Merger Agreement—Calculation of Cyclerion’s Net Cash</w:t>
            </w:r>
            <w:r>
              <w:rPr>
                <w:rFonts w:ascii="Times New Roman" w:hAnsi="Times New Roman"/>
                <w:sz w:val="20"/>
              </w:rPr>
              <w:t xml:space="preserve">” in this proxy statement/prospectus, may be less than $0 at the determination time, which would reduce the relative percentage ownership of Cyclerion’s existing equityholders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interests that Cyclerion’s directors and executive officers have with respect to the transactions that are or may be different from, or in addition to, the interests of Cyclerion’s shareholders generally, including those interests described in the sections entitled “— </w:t>
            </w:r>
            <w:r>
              <w:rPr>
                <w:rFonts w:ascii="Times New Roman" w:hAnsi="Times New Roman"/>
                <w:i/>
                <w:sz w:val="20"/>
              </w:rPr>
              <w:t>Interests of Cyclerion’s Directors and Executive Officers in the Merger</w:t>
            </w:r>
            <w:r>
              <w:rPr>
                <w:rFonts w:ascii="Times New Roman" w:hAnsi="Times New Roman"/>
                <w:sz w:val="20"/>
              </w:rPr>
              <w:t xml:space="preserve">” beginning on page 155 in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Contemplated Transactions, including those described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33 and 125, respectively,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Cyclerion Board of directors are not intended to be exhaustive but are believed to include all of the material factors considered by the Cyclerion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light of the variety of factors considered in connection with its evaluation of the Merger and the complexity of these matters, the Cyclerion Board did not find it useful or practicable to and did not attempt to, quantify, assign or rank any relative or specific weights to the various factors that it considered in reaching its determination that the Merger, the Merger Agreement and the Contemplated Transactions are advisable and in best interests of Cyclerion and Cyclerion’s shareholders. In considering the factors described above, individual members of the Cyclerion Board may have given different weight to different factors. The Cyclerion Board did not undertake to make any specific determination as to whether any particular factor, or any aspect of any particular factor, was favorable or unfavorable to the ultimate determination of the Cyclerion Board, but rather the Cyclerion Board conducted an overall analysis of the factors described above, including discussions with and questioning of Cyclerion management and representatives of the Cyclerion’s legal and financial advisors. </w:t>
      </w:r>
    </w:p>
    <w:p>
      <w:pPr>
        <w:pStyle w:val="TextBody"/>
        <w:bidi w:val="0"/>
        <w:spacing w:before="240" w:after="0"/>
        <w:jc w:val="left"/>
        <w:rPr>
          <w:rFonts w:ascii="Times New Roman" w:hAnsi="Times New Roman"/>
          <w:sz w:val="20"/>
        </w:rPr>
      </w:pPr>
      <w:r>
        <w:rPr>
          <w:rFonts w:ascii="Times New Roman" w:hAnsi="Times New Roman"/>
          <w:sz w:val="20"/>
        </w:rPr>
        <w:t>This explanation of the reasoning of the Cyclerion Board and all other information presented in this section is forward-looking in nature and, therefore, should be read in light of the factors discussed in the section titled “</w:t>
      </w:r>
      <w:r>
        <w:rPr>
          <w:rFonts w:ascii="Times New Roman" w:hAnsi="Times New Roman"/>
          <w:i/>
          <w:sz w:val="20"/>
        </w:rPr>
        <w:t>Cautionary Note Regarding Forward-Looking Statements</w:t>
      </w:r>
      <w:r>
        <w:rPr>
          <w:rFonts w:ascii="Times New Roman" w:hAnsi="Times New Roman"/>
          <w:sz w:val="20"/>
        </w:rPr>
        <w:t xml:space="preserve">” beginning on page 125.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held numerous meetings,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preclinical and clinical development of Korsana’s pipeline, compared to the capital and investors Korsana could otherwise gain access to if it continued to operate as a privately-held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Cyclerion shareholders and Korsana stockholders in the combined organization was appropriate, based on the Korsana Board’s judgment and assessment of the approximate valuations of Cyclerion (including the value of the Net Cash Cyclerion is expected to provide to the combined organization) and Korsana (including the value of the amount of proceeds from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for U.S. federal income tax purposes, with the result that the Korsana stockholders will generally not recognize taxable gain or loss for U.S. federal income tax purposes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Cyclerion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consider certain unsolicited acquisition proposals under certain circumstances should Korsana receive a superior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effect a change in recommendation in favor of the Merger as a result of a material development or change in circumstances (i.e., applicable Intervening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Korsana Board that the potential termination fees payable by Cyclerion or Korsana to the other party, and the circumstances when such fee may be payable, were reasonable;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Korsana and the ability of Korsana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1"/>
        <w:gridCol w:w="8884"/>
      </w:tblGrid>
      <w:tr>
        <w:trPr/>
        <w:tc>
          <w:tcPr>
            <w:tcW w:w="1321" w:type="dxa"/>
            <w:tcBorders/>
            <w:vAlign w:val="center"/>
          </w:tcPr>
          <w:p>
            <w:pPr>
              <w:pStyle w:val="TableContents"/>
              <w:bidi w:val="0"/>
              <w:spacing w:before="0" w:after="283"/>
              <w:jc w:val="left"/>
              <w:rPr/>
            </w:pPr>
            <w:r>
              <w:rPr/>
              <w:t> </w:t>
            </w:r>
          </w:p>
        </w:tc>
        <w:tc>
          <w:tcPr>
            <w:tcW w:w="8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financing in the future in the event the Merger is not completed; the possibility that the Korsana Pre-Closing Financing might not be completed or completed in accordance with the terms of the Merger Agreement and the potential adverse effect of the public announcement of the Korsana Pre-Closing Financing on the reputation of Korsana and the ability of Korsana to obtain financing in the future in the event the Korsana Pre-Closing Financing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balances, the amount of proceeds from the Korsana Pre-Closing Financing and outstanding capital stock at closing, and thus the relative percentage ownership of Cyclerion shareholders and Korsana stockholders in the combined organization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Cyclerion to obtain the required shareholder vote or the failure of Korsana to close the Korsana Pre-Closing Financing, and the potential adverse effect on the reputation of Korsana and the ability of Korsana to obtain financing in the future in the event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Korsana senior management required to complete the Merger, the related disruptions or potential disruptions to Korsana’s business operations and future prospects, including its relationships with its employees, suppliers and partners and others that do business or may do business in the future with Korsana,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to following the Merger that Korsana has not previously been subject to, and the operational changes to Korsana’s business, in each case that may result from being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Cyclerion shareholders may cause the price of Cyclerion Common Stock to fall, thus reducing the potential value of Cyclerion Common Stock received by Korsana stockholders following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Korsana Board in its consideration of the Merger Agreement, the Korsana Pre-Closing Financing, and the transactions contemplated thereby. After conducting an overall analysis of these and other factors, including thorough discussions with, and questioning of, Korsana’s senior management and legal counsel, the Korsana Board concluded that the benefits, advantages and opportunities of a potential transaction outweighed the uncertainties and risks described above. Based on this overall analysis of the factors described above, the Korsana Board unanimously approved the Merger Agreement, the Merger, the Korsana Pre-Closing Financing and the other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Opinion of Gemini, Cyclerion’s Financial Advisor, to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Gemini Valuation Services, LLC (“Gemini”) rendered its opinion to the Cyclerion Board, as to the fairness, from a financial point of view, of the Exchange Ratio pursuant to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The summary of the opinion in this proxy statement/prospectus is qualified in its entirety by reference to the full text of the written opinion, which is included as Annex B to this proxy statement/prospectus and sets forth the procedures followed, assumptions made, qualifications and limitations on the review undertaken and other matters considered by Gemini in preparing its opinion. The opinion was addressed to the Cyclerion Board for the use and benefit of the members of the Cyclerion Board (in their capacities as such) in connection with the Cyclerion Board’s evaluation of the Merger Agreement. Neither the opinion nor the summary of the opinion and related analyses set forth in this proxy statement/prospectus is intended to and they do not constitute advice or a recommendation to any of the shareholders of Cyclerion or any other security holders as to how such holder should vote or act with respect to any matter relating to the Contemplated Transactions or otherwise. Gemini’s opinion should not be construed as creating any fiduciary duty on Gemini’s part to Cyclerion, any other party to the Merger Agreement, any security holder of Cyclerion or such other party, any creditor of Cyclerion or such other party, or any other person. Gemini’s opinion was just one of the several factors the Cyclerion Board took into account in making its determination to approve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only addressed whether, as of the date of the opinion, the Exchange Ratio was fair, from a financial point of view, to Cyclerion. It did not address any other terms, aspects, or implications of the transaction or the Merger Agreement, including, without limitation, (i) any term or aspect of the transaction that was not susceptible to financial analysis, or (ii) fairness to any other security holders of Cyclerion, Korsana or any other person or any creditors or other constituencies of Cyclerion, Korsana or any other person. Gemini expressed no opinion as to (1) what the value of shares of Cyclerion common stock actually would be when issued to the Korsana shareholders in the Merger Agreement, (2) the price at which shares of Korsana common stock or any other security of Korsana may be issued or sold in the Korsana Private Placement, or (3) the prices at which Korsana stock or Cyclerion common stock may trade, be purchased or sold at any time.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did not address the relative merits of the transaction as compared to any alternative transaction or business strategy that might exist for Cyclerion and did not constitute a recommendation to any Cyclerion shareholder as to how such shareholder should vote with respect to any matter. At the direction of the Cyclerion Board, Gemini did not offer any opinion as to (i) the material terms of the Merger Agreement or the form of the Contemplated Transactions or any other contractual arrangement that the parties may enter into in connection with the Contemplated Transactions or (ii) the fairness of the Contemplated Transactions to, or any consideration that may be received in connection therewith by, the individual shareholders, nor did Gemini offer any opinion as to the relative fairness of the consideration to be received by different shareholders or the merits of the underlying decision by the Cyclerion Board or Cyclerion to engage in or consummate the transaction. The financial and other terms of the transaction were determined pursuant to negotiations between the parties to the Merger Agreement and were not determined by or pursuant to any recommendation from Gemini. </w:t>
      </w:r>
    </w:p>
    <w:p>
      <w:pPr>
        <w:pStyle w:val="TextBody"/>
        <w:bidi w:val="0"/>
        <w:spacing w:before="240" w:after="0"/>
        <w:jc w:val="left"/>
        <w:rPr>
          <w:rFonts w:ascii="Times New Roman" w:hAnsi="Times New Roman"/>
          <w:sz w:val="20"/>
        </w:rPr>
      </w:pPr>
      <w:r>
        <w:rPr>
          <w:rFonts w:ascii="Times New Roman" w:hAnsi="Times New Roman"/>
          <w:sz w:val="20"/>
        </w:rPr>
        <w:t xml:space="preserve">Gemini’s analyses and opinion were necessarily based upon market, economic, and other conditions as they existed on, and could be evaluated as of, the date of the opinion. Accordingly, although subsequent developments could arise that would otherwise affect its opinion, Gemini did not assume any obligation to update, review, or reaffirm its opinion to the Cyclerion Board or any other person or otherwise to comment on or consider events occurring or coming to Gemini’s attention after the date of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made such reviews, analyses, and inquiries as Gemini deemed necessary and appropriate under the circumstances. Among other things, Gemini: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statements of Korsana for the fiscal years ended December 31, 2024 and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the business, assets, liabilities, business plan and prospects of Korsana furnished to Gemini by Cyclerion, and the assumptions underlying those;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discussions with members of senior management and representatives of Korsana concerning the foregoing matters, as well as the business and prospects of Korsana generally, and the assumptions underlying those;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publicly available financial and stock market data, including valuation levels, for certain other companies in lines of business of Korsana that Gemini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copy, received by Gemini on March 28, 2026, of the Merger Agreement (the “Draft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and analyses and considered such other information as Gemini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with the Cyclerion Board’s consent, relied upon and assumed, without independently verifying, the accuracy and completeness of all of the financial, legal, regulatory, tax, accounting and other information that was supplied to, discussed with, or reviewed by Gemini, and Gemini, with the Cyclerion Board’s consent, further relied upon such information being complete and accurate in all material respects. At the direction of the Cyclerion Board, Gemini did not make or obtain any independent evaluations or appraisals of Cyclerion’s or Korsana’s assets or liabilities (including any contingent, derivative, or off-balance-sheet assets and liabilities) and did not perform or obtain any analysis with respect to the dissolution or liquidation value of such assets or liabilities. At the direction of the Cyclerion Board, Gemini also used the assumptions provided by Cyclerion’s and Korsana’s management for the purposes of its analysis and delivering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Gemini was advised that, given that Cyclerion’s assets and liabilities are comprised of cash (net of liabilities) and Cyclerion Legacy Assets (which currently are contemplated to be disposed) and that Cyclerion is not expected to have any continuing business operations on a standalone basis other than those incidental to Cyclerion’s status as a publicly traded company, the management of Cyclerion has not prepared financial forecasts relating to Cyclerion. Accordingly, Gemini did not perform a financial analysis of Cyclerion, the Cyclerion Legacy Assets or the CVRs, and did not ascribe any value to the Cyclerion Legacy Assets or the CVRs. Based upon the terms underlying the Exchange Ratio set forth in the Draft Merger Agreement, Gemini assumed the equity value of Cyclerion to be $10.0 million, and Cyclerion Net Cash at Closing to be $0.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representations and warranties of all parties to the Merger Agreement were true and correct, that each party to the Merger Agreement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Merger Agreement, without any modifications or amendments thereto or any adjustment to the Exchange Ratio. In rendering its opinion, Gemini also assumed, with the consent of the Cyclerion Board, that the final executed form of the Merger Agreement would not differ in any material respect from the draft that Gemini examined along with the discussion on the draft. Gemini has not been authorized to and has not solicited indications of interest in a possible transaction with Cyclerion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Gemini did not evaluate the solvency or creditworthiness of Cyclerion, Korsana or any other party to the transaction, or whether Cyclerion, Korsana or any other party to the transaction is paying or receiving reasonably equivalent value in the transaction under any applicable foreign, state, or federal laws relating to bankruptcy, insolvency, fraudulent transfer, or similar matters, nor did Gemini evaluate, in any way, the ability of Cyclerion, Korsana or any other party to the transaction to pay its obligations when they come due. Gemini did not physically inspect Cyclerion’s or Korsana’s properties or facilities and did not make or obtain any evaluations or appraisals of Cyclerion’s or Korsana’s assets or liabilities (including any contingent, derivative, or off-balance-sheet assets and liabilities). Gemini did not attempt to confirm whether Cyclerion or Korsana had good title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respective assets. Gemini’s role in reviewing any information was limited solely to performing such reviews as it deemed necessary to support its own advice and analysis and was not on behalf of the Cyclerion Board, Cyclerion,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Contemplated Transactions, including the Merger, would be consummated in a manner that complies in all respects with applicable foreign, federal, state, and local laws, rules, and regulations and that, in the course of obtaining any regulatory or third party consents, approvals, or agreements in connection with the transaction, no delay, limitation, restriction, or condition would be imposed that would have an adverse effect on Cyclerion, Korsana or the Contemplated Transactions. Gemini also assumed, with the Cyclerion Board’s consent that the transaction would be consummated on the terms set forth in the Merger Agreement, without waiver, modification, or amendment of any term, condition, or agreement thereof material to Gemini’s analyses or opinion. Gemini also assumed that the representations and warranties of the parties to the Merger Agreement contained therein were true and correct and that each such party would perform all of the covenants and agreements to be performed by it under the Merger Agreement. Gemini offered no opinion as to the contractual terms of the Merger Agreement or the likelihood that the conditions to the consummation of the Merger Agreement, set forth in the Merger Agreement, including, without limitation, any of the ancillary transactions, would be satisfied. Gemini further assumed that for U.S. federal tax income purposes, the Merger Agreement would qualify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preparing its opinion, Gemini performed a variety of financial analyses. The following is a summary of the material financial analyses performed by Gemini in connection with the preparation of its opinion. It is not a complete description of all analyses underlying such opinion. The preparation of an opinion is a complex process involving various determinations as to the most appropriate and relevant methods of financial analysis and the application of those methods to the particular circumstances. As a consequence, neither Gemini’s opinion nor the respective analyses underlying its opinion is readily susceptible to partial analysis or summary description. In arriving at its opinion, Gemini assessed as a whole the results of all analyses undertaken by it with respect to the opinion. While it took into account the results of each analysis in reaching its overall conclusions, Gemini did not make separate or quantifiable judgments regarding individual analyses and did not draw, in isolation, conclusions from or with regard to any individual analysis or factor. Therefore, Gemini believes that the analyses underlying the opinion must be considered as a whole and that selecting portions of its analyses or the factors it considered, without considering all analyses and factors underlying the opinion collectively, could create a misleading or incomplete view of the analyses performed by Gemini in preparing the opinion. </w:t>
      </w:r>
    </w:p>
    <w:p>
      <w:pPr>
        <w:pStyle w:val="TextBody"/>
        <w:bidi w:val="0"/>
        <w:spacing w:before="240" w:after="0"/>
        <w:jc w:val="left"/>
        <w:rPr>
          <w:rFonts w:ascii="Times New Roman" w:hAnsi="Times New Roman"/>
          <w:sz w:val="20"/>
        </w:rPr>
      </w:pPr>
      <w:r>
        <w:rPr>
          <w:rFonts w:ascii="Times New Roman" w:hAnsi="Times New Roman"/>
          <w:sz w:val="20"/>
        </w:rPr>
        <w:t xml:space="preserve">The implied multiple ranges and implied value reference ranges indicated by Gemini’s analyses are not necessarily indicative of actual values nor predictive of future results, which may be significantly more or less favorable than those suggested by such analyses. Much of the information used in, and accordingly the results of, Gemini’s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financial analyses performed by Gemini in connection with the preparation of its opinion includes information presented in tabular format. The tables alone do not constitute a complete description of these analyses. Considering the data in the tables below without considering the full narrative description of the analyses, as well as the methodologies and assumptions underlying the analyses, could create a misleading or incomplete view of the financial analyses Gemini performed.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Gemini reviewed a number of financial metrics, including the following: </w:t>
      </w:r>
    </w:p>
    <w:p>
      <w:pPr>
        <w:pStyle w:val="TextBody"/>
        <w:bidi w:val="0"/>
        <w:spacing w:before="120" w:after="0"/>
        <w:jc w:val="left"/>
        <w:rPr>
          <w:rFonts w:ascii="Times New Roman" w:hAnsi="Times New Roman"/>
          <w:sz w:val="20"/>
        </w:rPr>
      </w:pPr>
      <w:r>
        <w:rPr>
          <w:rFonts w:ascii="Times New Roman" w:hAnsi="Times New Roman"/>
          <w:b/>
          <w:sz w:val="20"/>
        </w:rPr>
        <w:t>Equity Value</w:t>
      </w:r>
      <w:r>
        <w:rPr>
          <w:rFonts w:ascii="Times New Roman" w:hAnsi="Times New Roman"/>
          <w:sz w:val="20"/>
        </w:rPr>
        <w:t xml:space="preserve"> — generally the value as of a specified date of the relevant company’s outstanding equity securities (taking into account its options and other outstanding convertible securities) plus the value as of such date of its net debt (the value of its outstanding indebtedness, preferred stock and minority interests less the amount of cash on its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Selected Transactions Analysis </w:t>
      </w:r>
    </w:p>
    <w:p>
      <w:pPr>
        <w:pStyle w:val="TextBody"/>
        <w:bidi w:val="0"/>
        <w:spacing w:before="120" w:after="0"/>
        <w:jc w:val="left"/>
        <w:rPr>
          <w:rFonts w:ascii="Times New Roman" w:hAnsi="Times New Roman"/>
          <w:b/>
          <w:sz w:val="20"/>
        </w:rPr>
      </w:pPr>
      <w:r>
        <w:rPr>
          <w:rFonts w:ascii="Times New Roman" w:hAnsi="Times New Roman"/>
          <w:b/>
          <w:sz w:val="20"/>
        </w:rPr>
        <w:t xml:space="preserve">Merger and Acquisition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target companies within the neurology and other relevant segments of the biotechnology industry. The financial data reviewed included the Equity Value, value of capital raised prior to each selected transaction and the related market value of invested capital multiple (“MVIC Multiples”). The selected transactions were: </w:t>
      </w:r>
    </w:p>
    <w:p>
      <w:pPr>
        <w:pStyle w:val="TextBody"/>
        <w:bidi w:val="0"/>
        <w:spacing w:before="0" w:after="0"/>
        <w:jc w:val="left"/>
        <w:rPr/>
      </w:pPr>
      <w:r>
        <w:rPr/>
        <w:t> </w:t>
      </w:r>
    </w:p>
    <w:tbl>
      <w:tblPr>
        <w:tblW w:w="10415" w:type="dxa"/>
        <w:jc w:val="center"/>
        <w:tblInd w:w="0" w:type="dxa"/>
        <w:tblLayout w:type="fixed"/>
        <w:tblCellMar>
          <w:top w:w="0" w:type="dxa"/>
          <w:left w:w="0" w:type="dxa"/>
          <w:bottom w:w="0" w:type="dxa"/>
          <w:right w:w="0" w:type="dxa"/>
        </w:tblCellMar>
      </w:tblPr>
      <w:tblGrid>
        <w:gridCol w:w="1220"/>
        <w:gridCol w:w="120"/>
        <w:gridCol w:w="2870"/>
        <w:gridCol w:w="120"/>
        <w:gridCol w:w="620"/>
        <w:gridCol w:w="120"/>
        <w:gridCol w:w="2255"/>
        <w:gridCol w:w="120"/>
        <w:gridCol w:w="142"/>
        <w:gridCol w:w="568"/>
        <w:gridCol w:w="60"/>
        <w:gridCol w:w="120"/>
        <w:gridCol w:w="259"/>
        <w:gridCol w:w="706"/>
        <w:gridCol w:w="60"/>
        <w:gridCol w:w="120"/>
        <w:gridCol w:w="105"/>
        <w:gridCol w:w="770"/>
        <w:gridCol w:w="6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120" w:type="dxa"/>
            <w:tcBorders/>
            <w:vAlign w:val="bottom"/>
          </w:tcPr>
          <w:p>
            <w:pPr>
              <w:pStyle w:val="TableContents"/>
              <w:bidi w:val="0"/>
              <w:spacing w:before="0" w:after="283"/>
              <w:jc w:val="left"/>
              <w:rPr/>
            </w:pPr>
            <w:r>
              <w:rPr/>
              <w:t>  </w:t>
            </w:r>
          </w:p>
        </w:tc>
        <w:tc>
          <w:tcPr>
            <w:tcW w:w="2870" w:type="dxa"/>
            <w:tcBorders>
              <w:bottom w:val="single" w:sz="8" w:space="0" w:color="000000"/>
            </w:tcBorders>
            <w:tcMar>
              <w:bottom w:w="28" w:type="dxa"/>
            </w:tcMar>
            <w:vAlign w:val="bottom"/>
          </w:tcPr>
          <w:p>
            <w:pPr>
              <w:pStyle w:val="TableContents"/>
              <w:bidi w:val="0"/>
              <w:spacing w:before="0" w:after="283"/>
              <w:jc w:val="left"/>
              <w:rPr>
                <w:b/>
              </w:rPr>
            </w:pPr>
            <w:r>
              <w:rPr>
                <w:b/>
              </w:rPr>
              <w:t>Target</w:t>
            </w:r>
          </w:p>
        </w:tc>
        <w:tc>
          <w:tcPr>
            <w:tcW w:w="120" w:type="dxa"/>
            <w:tcBorders/>
            <w:vAlign w:val="bottom"/>
          </w:tcPr>
          <w:p>
            <w:pPr>
              <w:pStyle w:val="TableContents"/>
              <w:bidi w:val="0"/>
              <w:spacing w:before="0" w:after="283"/>
              <w:jc w:val="left"/>
              <w:rPr/>
            </w:pPr>
            <w:r>
              <w:rPr/>
              <w:t>  </w:t>
            </w:r>
          </w:p>
        </w:tc>
        <w:tc>
          <w:tcPr>
            <w:tcW w:w="62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Clinica1</w:t>
              <w:br/>
              <w:t>Phase</w:t>
            </w:r>
          </w:p>
        </w:tc>
        <w:tc>
          <w:tcPr>
            <w:tcW w:w="120" w:type="dxa"/>
            <w:tcBorders/>
            <w:vAlign w:val="bottom"/>
          </w:tcPr>
          <w:p>
            <w:pPr>
              <w:pStyle w:val="TableContents"/>
              <w:bidi w:val="0"/>
              <w:spacing w:before="0" w:after="283"/>
              <w:jc w:val="left"/>
              <w:rPr/>
            </w:pPr>
            <w:r>
              <w:rPr/>
              <w:t>  </w:t>
            </w:r>
          </w:p>
        </w:tc>
        <w:tc>
          <w:tcPr>
            <w:tcW w:w="2255" w:type="dxa"/>
            <w:tcBorders>
              <w:bottom w:val="single" w:sz="8" w:space="0" w:color="000000"/>
            </w:tcBorders>
            <w:tcMar>
              <w:bottom w:w="28" w:type="dxa"/>
            </w:tcMar>
            <w:vAlign w:val="bottom"/>
          </w:tcPr>
          <w:p>
            <w:pPr>
              <w:pStyle w:val="TableContents"/>
              <w:bidi w:val="0"/>
              <w:spacing w:before="0" w:after="283"/>
              <w:jc w:val="left"/>
              <w:rPr>
                <w:b/>
              </w:rPr>
            </w:pPr>
            <w:r>
              <w:rPr>
                <w:b/>
              </w:rPr>
              <w:t>Acquirer</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left"/>
              <w:rPr>
                <w:b/>
              </w:rPr>
            </w:pPr>
            <w:r>
              <w:rPr>
                <w:b/>
              </w:rPr>
              <w:t>Equity</w:t>
              <w:br/>
              <w:t>Value</w:t>
              <w:br/>
              <w:t>($m)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left"/>
              <w:rPr>
                <w:b/>
              </w:rPr>
            </w:pPr>
            <w:r>
              <w:rPr>
                <w:b/>
              </w:rPr>
              <w:t>Raised to</w:t>
              <w:br/>
              <w:t>Date</w:t>
              <w:br/>
              <w:t>($m)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left"/>
              <w:rPr>
                <w:b/>
              </w:rPr>
            </w:pPr>
            <w:r>
              <w:rPr>
                <w:b/>
              </w:rPr>
              <w:t>Market</w:t>
              <w:br/>
              <w:t>Value of</w:t>
              <w:br/>
              <w:t>Invested</w:t>
              <w:br/>
              <w:t>Capital</w:t>
              <w:br/>
              <w:t>Multiple</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January 20, 2026</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RAPT Therapeutics, Inc.</w:t>
            </w:r>
          </w:p>
        </w:tc>
        <w:tc>
          <w:tcPr>
            <w:tcW w:w="12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xml:space="preserve">II </w:t>
            </w:r>
          </w:p>
        </w:tc>
        <w:tc>
          <w:tcPr>
            <w:tcW w:w="120"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left"/>
              <w:rPr/>
            </w:pPr>
            <w:r>
              <w:rPr/>
              <w:t>GSK plc</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737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3.0x</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17"/>
              </w:rPr>
            </w:pPr>
            <w:r>
              <w:rPr>
                <w:rFonts w:ascii="Times New Roman" w:hAnsi="Times New Roman"/>
                <w:sz w:val="17"/>
              </w:rPr>
              <w:t>December 26, 2023</w:t>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pPr>
            <w:r>
              <w:rPr/>
              <w:t>Gracell Biotechnologies Inc.</w:t>
            </w:r>
          </w:p>
        </w:tc>
        <w:tc>
          <w:tcPr>
            <w:tcW w:w="12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bottom"/>
          </w:tcPr>
          <w:p>
            <w:pPr>
              <w:pStyle w:val="TableContents"/>
              <w:bidi w:val="0"/>
              <w:spacing w:before="0" w:after="283"/>
              <w:jc w:val="left"/>
              <w:rPr/>
            </w:pPr>
            <w:r>
              <w:rPr/>
              <w:t>  </w:t>
            </w:r>
          </w:p>
        </w:tc>
        <w:tc>
          <w:tcPr>
            <w:tcW w:w="2255" w:type="dxa"/>
            <w:tcBorders/>
            <w:vAlign w:val="bottom"/>
          </w:tcPr>
          <w:p>
            <w:pPr>
              <w:pStyle w:val="TableContents"/>
              <w:bidi w:val="0"/>
              <w:spacing w:before="0" w:after="283"/>
              <w:jc w:val="left"/>
              <w:rPr/>
            </w:pPr>
            <w:r>
              <w:rPr/>
              <w:t>AstraZeneca plc</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526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2.1x</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October 14, 2024</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Longboard Pharmaceuticals,</w:t>
              <w:br/>
              <w:t>Inc.</w:t>
            </w:r>
          </w:p>
        </w:tc>
        <w:tc>
          <w:tcPr>
            <w:tcW w:w="12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left"/>
              <w:rPr/>
            </w:pPr>
            <w:r>
              <w:rPr/>
              <w:t>H. Lundbeck A/S</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2,600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429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6.1x</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17"/>
              </w:rPr>
            </w:pPr>
            <w:r>
              <w:rPr>
                <w:rFonts w:ascii="Times New Roman" w:hAnsi="Times New Roman"/>
                <w:sz w:val="17"/>
              </w:rPr>
              <w:t>September 9, 2025</w:t>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pPr>
            <w:r>
              <w:rPr/>
              <w:t>Tourmaline Bio, Inc.</w:t>
            </w:r>
          </w:p>
        </w:tc>
        <w:tc>
          <w:tcPr>
            <w:tcW w:w="12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bottom"/>
          </w:tcPr>
          <w:p>
            <w:pPr>
              <w:pStyle w:val="TableContents"/>
              <w:bidi w:val="0"/>
              <w:spacing w:before="0" w:after="283"/>
              <w:jc w:val="left"/>
              <w:rPr/>
            </w:pPr>
            <w:r>
              <w:rPr/>
              <w:t>  </w:t>
            </w:r>
          </w:p>
        </w:tc>
        <w:tc>
          <w:tcPr>
            <w:tcW w:w="2255" w:type="dxa"/>
            <w:tcBorders/>
            <w:vAlign w:val="bottom"/>
          </w:tcPr>
          <w:p>
            <w:pPr>
              <w:pStyle w:val="TableContents"/>
              <w:bidi w:val="0"/>
              <w:spacing w:before="0" w:after="283"/>
              <w:jc w:val="left"/>
              <w:rPr/>
            </w:pPr>
            <w:r>
              <w:rPr/>
              <w:t>Novartis AG</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360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3.9x</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April 10, 2024</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Alpine Immune Sciences, Inc.</w:t>
            </w:r>
          </w:p>
        </w:tc>
        <w:tc>
          <w:tcPr>
            <w:tcW w:w="12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left"/>
              <w:rPr/>
            </w:pPr>
            <w:r>
              <w:rPr/>
              <w:t>Vertex Pharmaceuticals</w:t>
              <w:br/>
              <w:t>Incorporated</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9.7x</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17"/>
              </w:rPr>
            </w:pPr>
            <w:r>
              <w:rPr>
                <w:rFonts w:ascii="Times New Roman" w:hAnsi="Times New Roman"/>
                <w:sz w:val="17"/>
              </w:rPr>
              <w:t>January 7, 2026</w:t>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pPr>
            <w:r>
              <w:rPr/>
              <w:t>Ventyx Biosciences, Inc.</w:t>
            </w:r>
          </w:p>
        </w:tc>
        <w:tc>
          <w:tcPr>
            <w:tcW w:w="12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bottom"/>
          </w:tcPr>
          <w:p>
            <w:pPr>
              <w:pStyle w:val="TableContents"/>
              <w:bidi w:val="0"/>
              <w:spacing w:before="0" w:after="283"/>
              <w:jc w:val="left"/>
              <w:rPr/>
            </w:pPr>
            <w:r>
              <w:rPr/>
              <w:t>  </w:t>
            </w:r>
          </w:p>
        </w:tc>
        <w:tc>
          <w:tcPr>
            <w:tcW w:w="2255" w:type="dxa"/>
            <w:tcBorders/>
            <w:vAlign w:val="bottom"/>
          </w:tcPr>
          <w:p>
            <w:pPr>
              <w:pStyle w:val="TableContents"/>
              <w:bidi w:val="0"/>
              <w:spacing w:before="0" w:after="283"/>
              <w:jc w:val="left"/>
              <w:rPr/>
            </w:pPr>
            <w:r>
              <w:rPr/>
              <w:t>Eli Lilly and Company</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730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1.6x</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September 17, 2025</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89bio, Inc.</w:t>
            </w:r>
          </w:p>
        </w:tc>
        <w:tc>
          <w:tcPr>
            <w:tcW w:w="12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0"/>
              <w:jc w:val="left"/>
              <w:rPr>
                <w:rFonts w:ascii="Times New Roman" w:hAnsi="Times New Roman"/>
                <w:sz w:val="17"/>
              </w:rPr>
            </w:pPr>
            <w:r>
              <w:rPr>
                <w:rFonts w:ascii="Times New Roman" w:hAnsi="Times New Roman"/>
                <w:sz w:val="17"/>
              </w:rPr>
              <w:t>III</w:t>
            </w:r>
          </w:p>
        </w:tc>
        <w:tc>
          <w:tcPr>
            <w:tcW w:w="120"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left"/>
              <w:rPr/>
            </w:pPr>
            <w:r>
              <w:rPr/>
              <w:t>Roche</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2.4x</w:t>
            </w:r>
          </w:p>
        </w:tc>
        <w:tc>
          <w:tcPr>
            <w:tcW w:w="60"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b/>
              </w:rPr>
            </w:pPr>
            <w:r>
              <w:rPr>
                <w:b/>
              </w:rPr>
              <w:t>Average</w:t>
            </w:r>
          </w:p>
        </w:tc>
        <w:tc>
          <w:tcPr>
            <w:tcW w:w="12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2,257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4.1x</w:t>
            </w:r>
          </w:p>
        </w:tc>
        <w:tc>
          <w:tcPr>
            <w:tcW w:w="60"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b/>
              </w:rPr>
            </w:pPr>
            <w:r>
              <w:rPr>
                <w:b/>
              </w:rPr>
              <w:t>Median</w:t>
            </w:r>
          </w:p>
        </w:tc>
        <w:tc>
          <w:tcPr>
            <w:tcW w:w="12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526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3.0x</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that Gemini deemed to be relevant based on its professional judgement and experience. Gemini believes that the groups of companies listed above have business models similar to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 above transactions, each of the selected target comparable companies were clinical- stage, whereas Korsana Biosciences remains a preclinical company. Gemini nevertheless viewed these transactions as relevant reference points because all seven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target companies and Korsana share capital-intensive therapeutic areas (CNS and immune-mediated diseases), blue-chip investor syndicates and large pre-transaction/private financings, which are key drivers of public market appetite for development-stage biotechnology companies. However, Gemini recognizes that the clinical-stage target companies had already generated human data and, in some cases, had defined regulatory pathways, whereas Korsana’s program is pre-IND and supported only by preclinical data today; accordingly, the clinical-stage target company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4.1x and 3.0x,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(as discussed above), Korsana’s Equity Value was estimated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3"/>
        <w:gridCol w:w="424"/>
        <w:gridCol w:w="178"/>
        <w:gridCol w:w="572"/>
        <w:gridCol w:w="60"/>
        <w:gridCol w:w="424"/>
        <w:gridCol w:w="200"/>
        <w:gridCol w:w="631"/>
        <w:gridCol w:w="63"/>
      </w:tblGrid>
      <w:tr>
        <w:trPr/>
        <w:tc>
          <w:tcPr>
            <w:tcW w:w="5203"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424"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pPr>
            <w:r>
              <w:rPr/>
              <w:t>Median</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Average</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175</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175</w:t>
            </w:r>
          </w:p>
        </w:tc>
        <w:tc>
          <w:tcPr>
            <w:tcW w:w="63"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42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2.0x</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3.0x</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525</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5203" w:type="dxa"/>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318" w:type="dxa"/>
            <w:gridSpan w:val="4"/>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42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380</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730</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905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Public Listing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companies undergoing an initial public offering (“IPO”). Each of these four companies is within the neurology and other relevant segments of the biotechnology industry. The financial data reviewed included the total amount of investment raised prior to the public offering, the total amount of investment raised in connection with the public offering, the public offering valuation of the selected company, and the pre-public offering valuation of the selected company, and the resulting MVIC Multiples determined from comparing pre-money valuation of the selected companies to each company’s respective valuation following their respective public offering. The selected transactions were: </w:t>
      </w:r>
    </w:p>
    <w:p>
      <w:pPr>
        <w:pStyle w:val="TextBody"/>
        <w:bidi w:val="0"/>
        <w:spacing w:before="0" w:after="0"/>
        <w:jc w:val="left"/>
        <w:rPr/>
      </w:pPr>
      <w:r>
        <w:rPr/>
        <w:t> </w:t>
      </w:r>
    </w:p>
    <w:tbl>
      <w:tblPr>
        <w:tblW w:w="11110" w:type="dxa"/>
        <w:jc w:val="center"/>
        <w:tblInd w:w="0" w:type="dxa"/>
        <w:tblLayout w:type="fixed"/>
        <w:tblCellMar>
          <w:top w:w="0" w:type="dxa"/>
          <w:left w:w="0" w:type="dxa"/>
          <w:bottom w:w="0" w:type="dxa"/>
          <w:right w:w="0" w:type="dxa"/>
        </w:tblCellMar>
      </w:tblPr>
      <w:tblGrid>
        <w:gridCol w:w="1445"/>
        <w:gridCol w:w="120"/>
        <w:gridCol w:w="2870"/>
        <w:gridCol w:w="120"/>
        <w:gridCol w:w="575"/>
        <w:gridCol w:w="120"/>
        <w:gridCol w:w="179"/>
        <w:gridCol w:w="486"/>
        <w:gridCol w:w="60"/>
        <w:gridCol w:w="120"/>
        <w:gridCol w:w="320"/>
        <w:gridCol w:w="870"/>
        <w:gridCol w:w="60"/>
        <w:gridCol w:w="120"/>
        <w:gridCol w:w="238"/>
        <w:gridCol w:w="952"/>
        <w:gridCol w:w="60"/>
        <w:gridCol w:w="120"/>
        <w:gridCol w:w="232"/>
        <w:gridCol w:w="928"/>
        <w:gridCol w:w="60"/>
        <w:gridCol w:w="120"/>
        <w:gridCol w:w="105"/>
        <w:gridCol w:w="770"/>
        <w:gridCol w:w="6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120" w:type="dxa"/>
            <w:tcBorders/>
            <w:vAlign w:val="bottom"/>
          </w:tcPr>
          <w:p>
            <w:pPr>
              <w:pStyle w:val="TableContents"/>
              <w:bidi w:val="0"/>
              <w:spacing w:before="0" w:after="283"/>
              <w:jc w:val="left"/>
              <w:rPr/>
            </w:pPr>
            <w:r>
              <w:rPr/>
              <w:t>  </w:t>
            </w:r>
          </w:p>
        </w:tc>
        <w:tc>
          <w:tcPr>
            <w:tcW w:w="2870" w:type="dxa"/>
            <w:tcBorders>
              <w:bottom w:val="single" w:sz="8" w:space="0" w:color="000000"/>
            </w:tcBorders>
            <w:tcMar>
              <w:bottom w:w="28" w:type="dxa"/>
            </w:tcMar>
            <w:vAlign w:val="bottom"/>
          </w:tcPr>
          <w:p>
            <w:pPr>
              <w:pStyle w:val="TableContents"/>
              <w:bidi w:val="0"/>
              <w:spacing w:before="0" w:after="283"/>
              <w:jc w:val="left"/>
              <w:rPr>
                <w:b/>
              </w:rPr>
            </w:pPr>
            <w:r>
              <w:rPr>
                <w:b/>
              </w:rPr>
              <w:t>Target</w:t>
            </w:r>
          </w:p>
        </w:tc>
        <w:tc>
          <w:tcPr>
            <w:tcW w:w="120" w:type="dxa"/>
            <w:tcBorders/>
            <w:vAlign w:val="bottom"/>
          </w:tcPr>
          <w:p>
            <w:pPr>
              <w:pStyle w:val="TableContents"/>
              <w:bidi w:val="0"/>
              <w:spacing w:before="0" w:after="283"/>
              <w:jc w:val="left"/>
              <w:rPr/>
            </w:pPr>
            <w:r>
              <w:rPr/>
              <w:t>  </w:t>
            </w:r>
          </w:p>
        </w:tc>
        <w:tc>
          <w:tcPr>
            <w:tcW w:w="5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Clinical</w:t>
              <w:br/>
              <w:t>Phase</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left"/>
              <w:rPr>
                <w:b/>
              </w:rPr>
            </w:pPr>
            <w:r>
              <w:rPr>
                <w:b/>
              </w:rPr>
              <w:t>Total</w:t>
              <w:br/>
              <w:t>Raise</w:t>
              <w:br/>
              <w:t>(Pre-</w:t>
              <w:br/>
              <w:t>Public</w:t>
              <w:br/>
              <w:t>Deal)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left"/>
              <w:rPr>
                <w:b/>
              </w:rPr>
            </w:pPr>
            <w:r>
              <w:rPr>
                <w:b/>
              </w:rPr>
              <w:t>Public Deal</w:t>
              <w:br/>
              <w:t>Raise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left"/>
              <w:rPr>
                <w:b/>
              </w:rPr>
            </w:pPr>
            <w:r>
              <w:rPr>
                <w:b/>
              </w:rPr>
              <w:t>Public Deal</w:t>
              <w:br/>
              <w:t>Valuation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left"/>
              <w:rPr>
                <w:b/>
              </w:rPr>
            </w:pPr>
            <w:r>
              <w:rPr>
                <w:b/>
              </w:rPr>
              <w:t>Pre-Money</w:t>
              <w:br/>
              <w:t>Valuation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left"/>
              <w:rPr>
                <w:b/>
              </w:rPr>
            </w:pPr>
            <w:r>
              <w:rPr>
                <w:b/>
              </w:rPr>
              <w:t>Market</w:t>
              <w:br/>
              <w:t>Value of</w:t>
              <w:br/>
              <w:t>Invested</w:t>
              <w:br/>
              <w:t>Capital</w:t>
              <w:br/>
              <w:t>Multiple</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June 7, 2024</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Rapport Therapeutics, Inc.</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0"/>
              <w:jc w:val="left"/>
              <w:rPr>
                <w:rFonts w:ascii="Times New Roman" w:hAnsi="Times New Roman"/>
                <w:sz w:val="18"/>
              </w:rPr>
            </w:pPr>
            <w:r>
              <w:rPr>
                <w:rFonts w:ascii="Times New Roman" w:hAnsi="Times New Roman"/>
                <w:sz w:val="18"/>
              </w:rPr>
              <w:t>I</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640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1.9x</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18"/>
              </w:rPr>
            </w:pPr>
            <w:r>
              <w:rPr>
                <w:rFonts w:ascii="Times New Roman" w:hAnsi="Times New Roman"/>
                <w:sz w:val="18"/>
              </w:rPr>
              <w:t>September 15, 2023</w:t>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pPr>
            <w:r>
              <w:rPr/>
              <w:t>Neumora Therapeutics, Inc.</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2580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3.8x</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January 7, 2022</w:t>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pPr>
            <w:r>
              <w:rPr/>
              <w:t>Amylyx Pharmaceuticals, Inc.</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1,073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883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4.4x</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18"/>
              </w:rPr>
            </w:pPr>
            <w:r>
              <w:rPr>
                <w:rFonts w:ascii="Times New Roman" w:hAnsi="Times New Roman"/>
                <w:sz w:val="18"/>
              </w:rPr>
              <w:t>June 28, 2024</w:t>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pPr>
            <w:r>
              <w:rPr/>
              <w:t>Alumis Inc.</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210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830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1.0x</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70" w:type="dxa"/>
            <w:tcBorders/>
            <w:shd w:fill="CCEEFF" w:val="clear"/>
            <w:vAlign w:val="bottom"/>
          </w:tcPr>
          <w:p>
            <w:pPr>
              <w:pStyle w:val="TableContents"/>
              <w:bidi w:val="0"/>
              <w:spacing w:before="0" w:after="283"/>
              <w:jc w:val="left"/>
              <w:rPr>
                <w:b/>
              </w:rPr>
            </w:pPr>
            <w:r>
              <w:rPr>
                <w:b/>
              </w:rPr>
              <w:t>Average</w:t>
            </w:r>
          </w:p>
        </w:tc>
        <w:tc>
          <w:tcPr>
            <w:tcW w:w="12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1,281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1,074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2.8x</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b/>
              </w:rPr>
            </w:pPr>
            <w:r>
              <w:rPr>
                <w:b/>
              </w:rPr>
              <w:t>Median</w:t>
            </w:r>
          </w:p>
        </w:tc>
        <w:tc>
          <w:tcPr>
            <w:tcW w:w="12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870"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951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751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2.8x</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Gemini believes that the groups of companies listed above have business models similar to those of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their initial public offerings, each of the selected comparable companies were clinical-stage, whereas Korsana Biosciences remains a preclinical company. Gemini nevertheless viewed these IPOs as relevant reference points because all four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IPO issuers and Korsana share capital-intensive therapeutic areas (CNS and immune-mediated diseases), blue-chip investor syndicates and large pre-IPO/private financings, which are key drivers of public market appetite for development-stage biotechnology companies. However, Gemini recognizes that the clinical-stage issuers had already generated human data and, in some cases, had defined regulatory pathways, whereas Korsana’s program is pre-IND and supported only by preclinical data today; accordingly, the clinical-stage IPO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2.8x and 2.8x,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transaction (as discussed above), Korsana’s Equity Value was estimated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3"/>
        <w:gridCol w:w="424"/>
        <w:gridCol w:w="178"/>
        <w:gridCol w:w="572"/>
        <w:gridCol w:w="60"/>
        <w:gridCol w:w="424"/>
        <w:gridCol w:w="200"/>
        <w:gridCol w:w="631"/>
        <w:gridCol w:w="63"/>
      </w:tblGrid>
      <w:tr>
        <w:trPr/>
        <w:tc>
          <w:tcPr>
            <w:tcW w:w="5203"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424"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pPr>
            <w:r>
              <w:rPr/>
              <w:t>Median</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Average</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175</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175</w:t>
            </w:r>
          </w:p>
        </w:tc>
        <w:tc>
          <w:tcPr>
            <w:tcW w:w="63"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42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2.3x</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2.8x</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397</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496</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5203" w:type="dxa"/>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318" w:type="dxa"/>
            <w:gridSpan w:val="4"/>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42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380</w:t>
            </w:r>
          </w:p>
        </w:tc>
        <w:tc>
          <w:tcPr>
            <w:tcW w:w="63"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42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777</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876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Concluded Equity Value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determined equity value ranges for Korsana and averaging the low and high ranges under each valuation method, the enterprise value for Korsana is estimated to range between $753 million and $891 million.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114"/>
        <w:gridCol w:w="310"/>
        <w:gridCol w:w="509"/>
        <w:gridCol w:w="310"/>
        <w:gridCol w:w="512"/>
      </w:tblGrid>
      <w:tr>
        <w:trPr/>
        <w:tc>
          <w:tcPr>
            <w:tcW w:w="6114"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11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Range (in $m)</w:t>
            </w:r>
          </w:p>
        </w:tc>
        <w:tc>
          <w:tcPr>
            <w:tcW w:w="310" w:type="dxa"/>
            <w:tcBorders/>
            <w:vAlign w:val="bottom"/>
          </w:tcPr>
          <w:p>
            <w:pPr>
              <w:pStyle w:val="TableContents"/>
              <w:bidi w:val="0"/>
              <w:spacing w:before="0" w:after="283"/>
              <w:jc w:val="left"/>
              <w:rPr/>
            </w:pPr>
            <w:r>
              <w:rPr/>
              <w:t>  </w:t>
            </w:r>
          </w:p>
        </w:tc>
        <w:tc>
          <w:tcPr>
            <w:tcW w:w="509" w:type="dxa"/>
            <w:tcBorders>
              <w:bottom w:val="single" w:sz="8" w:space="0" w:color="000000"/>
            </w:tcBorders>
            <w:tcMar>
              <w:bottom w:w="28" w:type="dxa"/>
            </w:tcMar>
            <w:vAlign w:val="bottom"/>
          </w:tcPr>
          <w:p>
            <w:pPr>
              <w:pStyle w:val="TableContents"/>
              <w:bidi w:val="0"/>
              <w:spacing w:before="0" w:after="283"/>
              <w:jc w:val="left"/>
              <w:rPr/>
            </w:pPr>
            <w:r>
              <w:rPr/>
              <w:t>Low</w:t>
            </w:r>
          </w:p>
        </w:tc>
        <w:tc>
          <w:tcPr>
            <w:tcW w:w="310" w:type="dxa"/>
            <w:tcBorders/>
            <w:vAlign w:val="bottom"/>
          </w:tcPr>
          <w:p>
            <w:pPr>
              <w:pStyle w:val="TableContents"/>
              <w:bidi w:val="0"/>
              <w:spacing w:before="0" w:after="283"/>
              <w:jc w:val="left"/>
              <w:rPr/>
            </w:pPr>
            <w:r>
              <w:rPr/>
              <w:t>  </w:t>
            </w:r>
          </w:p>
        </w:tc>
        <w:tc>
          <w:tcPr>
            <w:tcW w:w="512" w:type="dxa"/>
            <w:tcBorders>
              <w:bottom w:val="single" w:sz="8" w:space="0" w:color="000000"/>
            </w:tcBorders>
            <w:tcMar>
              <w:bottom w:w="28" w:type="dxa"/>
            </w:tcMar>
            <w:vAlign w:val="bottom"/>
          </w:tcPr>
          <w:p>
            <w:pPr>
              <w:pStyle w:val="TableContents"/>
              <w:bidi w:val="0"/>
              <w:spacing w:before="0" w:after="283"/>
              <w:jc w:val="left"/>
              <w:rPr/>
            </w:pPr>
            <w:r>
              <w:rPr/>
              <w:t>High</w:t>
            </w:r>
          </w:p>
        </w:tc>
      </w:tr>
      <w:tr>
        <w:trPr/>
        <w:tc>
          <w:tcPr>
            <w:tcW w:w="6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Comparable Transactions: M&amp;A</w:t>
            </w:r>
          </w:p>
        </w:tc>
        <w:tc>
          <w:tcPr>
            <w:tcW w:w="31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$730</w:t>
            </w:r>
          </w:p>
        </w:tc>
        <w:tc>
          <w:tcPr>
            <w:tcW w:w="31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$905</w:t>
            </w:r>
          </w:p>
        </w:tc>
      </w:tr>
      <w:tr>
        <w:trPr/>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Comparable Transactions: Public Listing</w:t>
            </w:r>
          </w:p>
        </w:tc>
        <w:tc>
          <w:tcPr>
            <w:tcW w:w="31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$777</w:t>
            </w:r>
          </w:p>
        </w:tc>
        <w:tc>
          <w:tcPr>
            <w:tcW w:w="31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$876</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Analysis </w:t>
      </w:r>
    </w:p>
    <w:p>
      <w:pPr>
        <w:pStyle w:val="TextBody"/>
        <w:bidi w:val="0"/>
        <w:spacing w:before="120" w:after="0"/>
        <w:jc w:val="left"/>
        <w:rPr>
          <w:rFonts w:ascii="Times New Roman" w:hAnsi="Times New Roman"/>
          <w:sz w:val="20"/>
        </w:rPr>
      </w:pPr>
      <w:r>
        <w:rPr>
          <w:rFonts w:ascii="Times New Roman" w:hAnsi="Times New Roman"/>
          <w:sz w:val="20"/>
        </w:rPr>
        <w:t xml:space="preserve">Gemini compared the above calculated equity value of Korsana against the value of contribution by Cyclerion’s shareholders to the Merger Agreement below. </w:t>
      </w:r>
    </w:p>
    <w:p>
      <w:pPr>
        <w:pStyle w:val="TextBody"/>
        <w:bidi w:val="0"/>
        <w:spacing w:before="240" w:after="0"/>
        <w:jc w:val="left"/>
        <w:rPr>
          <w:rFonts w:ascii="Times New Roman" w:hAnsi="Times New Roman"/>
          <w:sz w:val="20"/>
        </w:rPr>
      </w:pPr>
      <w:r>
        <w:rPr>
          <w:rFonts w:ascii="Times New Roman" w:hAnsi="Times New Roman"/>
          <w:sz w:val="20"/>
        </w:rPr>
        <w:t xml:space="preserve">As of March 30, 2026 and as part of the Merger Agreement, Cyclerion was offering approximately 98.5% of post transaction outstanding common stock to the common stockholders and debt holders of Korsana while Cyclerion shareholders would retain approximately 1.5% of the post transaction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above analyses, Gemini noted that, the implied contribution made by the holders of Cyclerion common stock is lower than the aggregate value of the post-Closing equity position received by the holders of Cyclerion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value of Korsana’s outstanding equity, as set forth in the Merger Agreement, was equal to $268.4 million. The aggregate amount of investor commitments received in connection with the Korsana Pre-Closing Financing was expected to be approximately $380 million as of March 31, 2026, the date on which Gemini delivered its opinion. Based upon these two inputs, the Company Valuation (as defined in the Merger Agreement) was determined to be $648.4 million. Accordingly, based upon the range of Korsana equity values determined by Gemini’s analysis of $730 million to $905 million, the valuation of Korsana determined in accordance with the Merger Agreement, was fair, from a financial point of view, to Cyclerion and as a result, the Exchange Ratio under the Merger Agreement was fair, from a financial point of view, to Cyclerion.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Matters Relating to Gemini’s Opinion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Gemini did not draw, in isolation, conclusions from or with regard to any factor or analysis that it considered. Rather, Gemini made its determination as to fairness on the basis of its experience and professional judgment after considering the results of all of the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Gemini opinion was one of the many factors taken into consideration by the Cyclerion Board in making its determination to approve the Merger Agreement. Consequently, the analyses as described above should not be viewed as determinative of the opinion of the Cyclerion Board with respect to the Exchange Ratio in the Merger Agreement or of whether the Cyclerion Board would have been willing to agree to a different exchange ratio. The Exchange Ratio in the Merger Agreement was determined through arm’s-length negotiations between Cyclerion and Korsana and was approved by the Cyclerion Board. Neither Gemini nor any of its affiliates recommended any specific exchange ratio to Cyclerion or the Cyclerion Board or that any specific exchange ratio constituted the only appropriate exchange ratio for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financial advisory business, Gemini regularly is engaged in the evaluation of businesses and their securities in connection with mergers, acquisitions, corporate restructurings, private placements and other purposes. Gemini is a recognized advisory firm that has substantial experience in providing financial advice in connection with proposed mergers, acquisitions, sales of companies, businesses and other assets and other transactions. Gemini regularly undertakes valuation engagements in connection with public offerings, private placements, business combinations and similar transactions. Gemini may provide financial advisory and other financial services to Cyclerion and/or Korsana or other participants in the merger in the future, for which Gemini may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two years preceding the date of Gemini’s written opinion, Gemini did not have a commercial or investment banking relationship with Cyclerion or Korsana and has not received any compensation for prior work performed. </w:t>
      </w:r>
    </w:p>
    <w:p>
      <w:pPr>
        <w:pStyle w:val="TextBody"/>
        <w:bidi w:val="0"/>
        <w:spacing w:before="240" w:after="0"/>
        <w:jc w:val="left"/>
        <w:rPr>
          <w:rFonts w:ascii="Times New Roman" w:hAnsi="Times New Roman"/>
          <w:sz w:val="20"/>
        </w:rPr>
      </w:pPr>
      <w:r>
        <w:rPr>
          <w:rFonts w:ascii="Times New Roman" w:hAnsi="Times New Roman"/>
          <w:sz w:val="20"/>
        </w:rPr>
        <w:t xml:space="preserve">For services rendered in connection with the delivery of its opinion, Cyclerion paid Gemini an advisory fee, a portion of which was paid upon the signing of the engagement letter and the balance of which was paid following delivery of Gemini’s opinion. As of the date hereof, Gemini’s fee has been fully paid. No portion of Gemini’s fee was contingent upon the closing of the Merger or upon the conclusions reached in its written opinion. Cyclerion also agreed to reimburse Gemini for its reasonable out-of-pocket expenses incurred in connection with its services and will indemnify Gemini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Cyclerion selected Gemini to render a fairness opinion in connection with the Merger based on Gemini’s professional qualifications, as described above. </w:t>
      </w:r>
    </w:p>
    <w:p>
      <w:pPr>
        <w:pStyle w:val="TextBody"/>
        <w:bidi w:val="0"/>
        <w:spacing w:before="240" w:after="0"/>
        <w:jc w:val="left"/>
        <w:rPr>
          <w:rFonts w:ascii="Times New Roman" w:hAnsi="Times New Roman"/>
          <w:sz w:val="20"/>
        </w:rPr>
      </w:pPr>
      <w:r>
        <w:rPr>
          <w:rFonts w:ascii="Times New Roman" w:hAnsi="Times New Roman"/>
          <w:b/>
          <w:sz w:val="20"/>
        </w:rPr>
        <w:t>The Gemini opinion does not constitute a recommendation to the Cyclerion Board or any Cyclerion</w:t>
      </w:r>
      <w:r>
        <w:rPr>
          <w:rFonts w:ascii="Times New Roman" w:hAnsi="Times New Roman"/>
          <w:sz w:val="20"/>
        </w:rPr>
        <w:t xml:space="preserve"> </w:t>
      </w:r>
      <w:r>
        <w:rPr>
          <w:rFonts w:ascii="Times New Roman" w:hAnsi="Times New Roman"/>
          <w:b/>
          <w:sz w:val="20"/>
        </w:rPr>
        <w:t>shareholder as to how the Cyclerion Board, such shareholder or any other person should vote or otherwise</w:t>
      </w:r>
      <w:r>
        <w:rPr>
          <w:rFonts w:ascii="Times New Roman" w:hAnsi="Times New Roman"/>
          <w:sz w:val="20"/>
        </w:rPr>
        <w:t xml:space="preserve"> </w:t>
      </w:r>
      <w:r>
        <w:rPr>
          <w:rFonts w:ascii="Times New Roman" w:hAnsi="Times New Roman"/>
          <w:b/>
          <w:sz w:val="20"/>
        </w:rPr>
        <w:t>act with respect to the Merger or any other matter, including whether or not any Cyclerion shareholder</w:t>
      </w:r>
      <w:r>
        <w:rPr>
          <w:rFonts w:ascii="Times New Roman" w:hAnsi="Times New Roman"/>
          <w:sz w:val="20"/>
        </w:rPr>
        <w:t xml:space="preserve"> </w:t>
      </w:r>
      <w:r>
        <w:rPr>
          <w:rFonts w:ascii="Times New Roman" w:hAnsi="Times New Roman"/>
          <w:b/>
          <w:sz w:val="20"/>
        </w:rPr>
        <w:t>should enter into any voting, support, stockholder or other agreements, arrangements or understandings in connection with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current directors and officers have interests in the Merger that are different from, or in addition to, the interests of Cyclerion’s shareholders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Cyclerion’s shareholders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Cyclerion Options and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whether requirements for performance-based vesting have been met, and cancel each option to acquire shares of Cyclerion Common Stock with an exercise price per share greater than the Cyclerion Closing Price. At the closing of the First Merger, (i) In-the-Money Cyclerion Options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Cyclerion stock options held as of June 30, 2026 by each of Cyclerion’s executive officers and non-employee directors. No Cyclerion executive officer or non-employee director holds any restricted stock awards.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7"/>
        <w:gridCol w:w="311"/>
        <w:gridCol w:w="78"/>
        <w:gridCol w:w="1097"/>
        <w:gridCol w:w="60"/>
        <w:gridCol w:w="311"/>
        <w:gridCol w:w="253"/>
        <w:gridCol w:w="1237"/>
        <w:gridCol w:w="60"/>
        <w:gridCol w:w="311"/>
        <w:gridCol w:w="91"/>
        <w:gridCol w:w="1085"/>
        <w:gridCol w:w="59"/>
        <w:gridCol w:w="311"/>
        <w:gridCol w:w="277"/>
        <w:gridCol w:w="902"/>
        <w:gridCol w:w="68"/>
      </w:tblGrid>
      <w:tr>
        <w:trPr/>
        <w:tc>
          <w:tcPr>
            <w:tcW w:w="287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311"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w:t>
              <w:br/>
              <w:t>Options</w:t>
              <w:br/>
              <w:t>Held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br/>
              <w:t>of Vested</w:t>
              <w:br/>
              <w:t>Options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w:t>
              <w:br/>
              <w:t>Held (#)</w:t>
            </w:r>
          </w:p>
        </w:tc>
        <w:tc>
          <w:tcPr>
            <w:tcW w:w="5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 of</w:t>
              <w:br/>
              <w:t>Unvested</w:t>
              <w:br/>
              <w:t>Options ($)</w:t>
            </w:r>
          </w:p>
        </w:tc>
        <w:tc>
          <w:tcPr>
            <w:tcW w:w="68" w:type="dxa"/>
            <w:tcBorders/>
            <w:vAlign w:val="bottom"/>
          </w:tcPr>
          <w:p>
            <w:pPr>
              <w:pStyle w:val="TableContents"/>
              <w:bidi w:val="0"/>
              <w:spacing w:before="0" w:after="283"/>
              <w:jc w:val="left"/>
              <w:rPr/>
            </w:pPr>
            <w:r>
              <w:rPr/>
              <w:t> </w:t>
            </w:r>
          </w:p>
        </w:tc>
      </w:tr>
      <w:tr>
        <w:trPr/>
        <w:tc>
          <w:tcPr>
            <w:tcW w:w="2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31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877" w:type="dxa"/>
            <w:tcBorders/>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31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26,749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29,100</w:t>
            </w:r>
          </w:p>
        </w:tc>
        <w:tc>
          <w:tcPr>
            <w:tcW w:w="5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3.30</w:t>
            </w:r>
          </w:p>
        </w:tc>
        <w:tc>
          <w:tcPr>
            <w:tcW w:w="68" w:type="dxa"/>
            <w:tcBorders/>
            <w:vAlign w:val="bottom"/>
          </w:tcPr>
          <w:p>
            <w:pPr>
              <w:pStyle w:val="TableContents"/>
              <w:bidi w:val="0"/>
              <w:spacing w:before="0" w:after="283"/>
              <w:jc w:val="left"/>
              <w:rPr/>
            </w:pPr>
            <w:r>
              <w:rPr/>
              <w:t> </w:t>
            </w:r>
          </w:p>
        </w:tc>
      </w:tr>
      <w:tr>
        <w:trPr/>
        <w:tc>
          <w:tcPr>
            <w:tcW w:w="2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31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14,514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2.36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10,486</w:t>
            </w:r>
          </w:p>
        </w:tc>
        <w:tc>
          <w:tcPr>
            <w:tcW w:w="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2.36</w:t>
            </w:r>
          </w:p>
        </w:tc>
        <w:tc>
          <w:tcPr>
            <w:tcW w:w="68" w:type="dxa"/>
            <w:tcBorders/>
            <w:shd w:fill="CCEEFF" w:val="clear"/>
            <w:vAlign w:val="bottom"/>
          </w:tcPr>
          <w:p>
            <w:pPr>
              <w:pStyle w:val="TableContents"/>
              <w:bidi w:val="0"/>
              <w:spacing w:before="0" w:after="283"/>
              <w:jc w:val="left"/>
              <w:rPr/>
            </w:pPr>
            <w:r>
              <w:rPr/>
              <w:t> </w:t>
            </w:r>
          </w:p>
        </w:tc>
      </w:tr>
      <w:tr>
        <w:trPr/>
        <w:tc>
          <w:tcPr>
            <w:tcW w:w="2877"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31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Errol De Souza, Ph.D.</w:t>
            </w:r>
          </w:p>
        </w:tc>
        <w:tc>
          <w:tcPr>
            <w:tcW w:w="31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21.65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877" w:type="dxa"/>
            <w:tcBorders/>
          </w:tcPr>
          <w:p>
            <w:pPr>
              <w:pStyle w:val="TableContents"/>
              <w:bidi w:val="0"/>
              <w:spacing w:before="0" w:after="0"/>
              <w:jc w:val="left"/>
              <w:rPr>
                <w:rFonts w:ascii="Times New Roman" w:hAnsi="Times New Roman"/>
                <w:sz w:val="20"/>
              </w:rPr>
            </w:pPr>
            <w:r>
              <w:rPr>
                <w:rFonts w:ascii="Times New Roman" w:hAnsi="Times New Roman"/>
                <w:sz w:val="20"/>
              </w:rPr>
              <w:t>Peter Hecht, Ph.D.</w:t>
            </w:r>
          </w:p>
        </w:tc>
        <w:tc>
          <w:tcPr>
            <w:tcW w:w="31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110,984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231.32</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Higgins</w:t>
            </w:r>
          </w:p>
        </w:tc>
        <w:tc>
          <w:tcPr>
            <w:tcW w:w="31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877" w:type="dxa"/>
            <w:tcBorders/>
          </w:tcPr>
          <w:p>
            <w:pPr>
              <w:pStyle w:val="TableContents"/>
              <w:bidi w:val="0"/>
              <w:spacing w:before="0" w:after="0"/>
              <w:jc w:val="left"/>
              <w:rPr>
                <w:rFonts w:ascii="Times New Roman" w:hAnsi="Times New Roman"/>
                <w:sz w:val="20"/>
              </w:rPr>
            </w:pPr>
            <w:r>
              <w:rPr>
                <w:rFonts w:ascii="Times New Roman" w:hAnsi="Times New Roman"/>
                <w:sz w:val="20"/>
              </w:rPr>
              <w:t>Steven Hyman, M.D.</w:t>
            </w:r>
          </w:p>
        </w:tc>
        <w:tc>
          <w:tcPr>
            <w:tcW w:w="31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3,887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12.50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31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Dr. Graul is subject to an amended and restated offer letter with Cyclerion (the “A&amp;R Graul Offer Letter”), which provides that, in the event Dr. Graul’s employment is terminated by Cyclerion without “cause”, or for “good reason” (each as defined in the A&amp;R Graul Offer Letter and as described in more detail in the section titled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on page 207), subject to Dr. Graul’s execution and non-revocation of a release, the executive is entitled to (i) nine months of salary continuation, (ii) an amount equal to twelve months of health insurance premium contributions at the same monthly rate that Cyclerion provides reimbursement for such health insurance premium contributions immediately prior to the termination date, in the case of (i) and (ii), payable in a lump sum on the first regularly scheduled payroll date following the effectiveness of a release via payroll, and (iii) full acceleration of any unvested Cyclerion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A&amp;R Graul Offer Letter, Dr. Graul will be entitled, at the Cyclerion Board’s discretion, to receive a bonus of up to $150,000 payable upon the consummation of transaction resulting in a change of control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constitute a “change in control” for purposes of the A&amp;R Graul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table below is intended to comply with Item 402(t) of Regulation S-K, which requires disclosure of compensation that each named executive officer could receive that is based on or otherwise relates to the Merger. This compensation is referred to as “golden parachute” compensation by the applicable SEC disclosure rules, and in this section Cyclerion uses such term to describe the Merger-related compensation payable to Cyclerion’s named executive officers. For additional details regarding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payments and benefits described below, see the discussion above. This Merger-related compensation is subject to a non-binding advisory vote of Cyclerion shareholders, as set forth in Proposal No. 9 to this proxy statement/prospectus.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9</w:t>
      </w:r>
      <w:r>
        <w:rPr>
          <w:rFonts w:ascii="Times New Roman" w:hAnsi="Times New Roman"/>
          <w:sz w:val="20"/>
        </w:rPr>
        <w:t> — </w:t>
      </w:r>
      <w:r>
        <w:rPr>
          <w:rFonts w:ascii="Times New Roman" w:hAnsi="Times New Roman"/>
          <w:i/>
          <w:sz w:val="20"/>
        </w:rPr>
        <w:t>The Merger Compensation Proposal</w:t>
      </w:r>
      <w:r>
        <w:rPr>
          <w:rFonts w:ascii="Times New Roman" w:hAnsi="Times New Roman"/>
          <w:sz w:val="20"/>
        </w:rPr>
        <w:t xml:space="preserve">” on page 277. </w:t>
      </w:r>
    </w:p>
    <w:p>
      <w:pPr>
        <w:pStyle w:val="TextBody"/>
        <w:bidi w:val="0"/>
        <w:spacing w:before="240" w:after="0"/>
        <w:jc w:val="left"/>
        <w:rPr>
          <w:rFonts w:ascii="Times New Roman" w:hAnsi="Times New Roman"/>
          <w:sz w:val="20"/>
        </w:rPr>
      </w:pPr>
      <w:r>
        <w:rPr>
          <w:rFonts w:ascii="Times New Roman" w:hAnsi="Times New Roman"/>
          <w:sz w:val="20"/>
        </w:rPr>
        <w:t xml:space="preserve">The amounts indicated below are estimates based on multiple assumptions that may or may not actually occur or be accurate on the relevant date, including assumptions described below, and do not reflect certain compensation actions that may occur before the consummation of the Merger. For purposes of calculating such amounts, the Company has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Cyclerion Common Stock is $4.61 per share, which is the average closing market price of Cyclerion Common Stock over the first five business days following the first public announcement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consummated on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Dr. Graul’s employment by Cyclerion without cause or by Dr. Graul for good reason (in each case, as defined in the A&amp;R Graul Offer Letter) occurred on June 30, 2026.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2"/>
        <w:gridCol w:w="175"/>
        <w:gridCol w:w="60"/>
        <w:gridCol w:w="821"/>
        <w:gridCol w:w="60"/>
        <w:gridCol w:w="175"/>
        <w:gridCol w:w="60"/>
        <w:gridCol w:w="821"/>
        <w:gridCol w:w="60"/>
        <w:gridCol w:w="175"/>
        <w:gridCol w:w="262"/>
        <w:gridCol w:w="628"/>
        <w:gridCol w:w="59"/>
        <w:gridCol w:w="175"/>
        <w:gridCol w:w="96"/>
        <w:gridCol w:w="1113"/>
        <w:gridCol w:w="60"/>
        <w:gridCol w:w="175"/>
        <w:gridCol w:w="495"/>
        <w:gridCol w:w="1163"/>
        <w:gridCol w:w="60"/>
        <w:gridCol w:w="175"/>
        <w:gridCol w:w="186"/>
        <w:gridCol w:w="441"/>
        <w:gridCol w:w="60"/>
        <w:gridCol w:w="175"/>
        <w:gridCol w:w="60"/>
        <w:gridCol w:w="821"/>
        <w:gridCol w:w="72"/>
      </w:tblGrid>
      <w:tr>
        <w:trPr/>
        <w:tc>
          <w:tcPr>
            <w:tcW w:w="152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52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436"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Golden Parachute Payments</w:t>
            </w:r>
          </w:p>
        </w:tc>
        <w:tc>
          <w:tcPr>
            <w:tcW w:w="72" w:type="dxa"/>
            <w:tcBorders/>
            <w:vAlign w:val="bottom"/>
          </w:tcPr>
          <w:p>
            <w:pPr>
              <w:pStyle w:val="TableContents"/>
              <w:bidi w:val="0"/>
              <w:spacing w:before="0" w:after="283"/>
              <w:jc w:val="left"/>
              <w:rPr/>
            </w:pPr>
            <w:r>
              <w:rPr/>
              <w:t> </w:t>
            </w:r>
          </w:p>
        </w:tc>
      </w:tr>
      <w:tr>
        <w:trPr/>
        <w:tc>
          <w:tcPr>
            <w:tcW w:w="15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NQDC</w:t>
              <w:br/>
              <w:t>($)</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Reimbursement</w:t>
              <w:b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72" w:type="dxa"/>
            <w:tcBorders/>
            <w:vAlign w:val="bottom"/>
          </w:tcPr>
          <w:p>
            <w:pPr>
              <w:pStyle w:val="TableContents"/>
              <w:bidi w:val="0"/>
              <w:spacing w:before="0" w:after="283"/>
              <w:jc w:val="left"/>
              <w:rPr/>
            </w:pPr>
            <w:r>
              <w:rPr/>
              <w:t> </w:t>
            </w:r>
          </w:p>
        </w:tc>
      </w:tr>
      <w:tr>
        <w:trPr/>
        <w:tc>
          <w:tcPr>
            <w:tcW w:w="1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315,000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180,353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48,000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543,353</w:t>
            </w:r>
          </w:p>
        </w:tc>
        <w:tc>
          <w:tcPr>
            <w:tcW w:w="72" w:type="dxa"/>
            <w:tcBorders/>
            <w:shd w:fill="CCEEFF" w:val="clear"/>
            <w:vAlign w:val="bottom"/>
          </w:tcPr>
          <w:p>
            <w:pPr>
              <w:pStyle w:val="TableContents"/>
              <w:bidi w:val="0"/>
              <w:spacing w:before="0" w:after="283"/>
              <w:jc w:val="left"/>
              <w:rPr/>
            </w:pPr>
            <w:r>
              <w:rPr/>
              <w:t> </w:t>
            </w:r>
          </w:p>
        </w:tc>
      </w:tr>
      <w:tr>
        <w:trPr/>
        <w:tc>
          <w:tcPr>
            <w:tcW w:w="1522" w:type="dxa"/>
            <w:tcBorders/>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23,646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23,646</w:t>
            </w:r>
          </w:p>
        </w:tc>
        <w:tc>
          <w:tcPr>
            <w:tcW w:w="7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 the “Cash” column represents a lump sum cash payment of nine months of base salary payable pursuant to the A&amp;R Graul Offer Letter, as discussed in further detail above. This amount is a “double trigger” payment. No amount is included with respect to the potential bonus that Dr. Graul may receive in connection with a change in control (up to $150,000) because this bonus is at the discretion of the Board.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acceleration value of unvested option and restricted stock awards held by the named executive officers. The amounts reported in this column are attributable to single-trigger arrangements (i.e., the amounts are triggered by the change in control alone) and represent, as they relate to option awards, the difference between $4.61 and the exercise price of the applicable option, multiplied by the number of shares of Cyclerion Common Stock subject to unvested options as of June 30, 2026, and, as they relate to restricted stock awards, $4.61 multiplied by each share of restricted Cyclerion Common Stock outstanding as of June 30,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estimated cost of 12 months of health insurance premiums contributions payable pursuant to the A&amp;R Graul Offer Letter, as discussed in further detail above. This amount is a “double trigger” payment.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Korsana’s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subsection excludes any Korsana shares issuable upon exercise or settlement of Korsana Options and Korsana RSUs held by such individual. Each of Korsana’s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 Merger — Support Agreements</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As noted above, Fairmount Fund II, Venrock Healthcare Capital Partners, and Jonathan Violin currently hold shares of Korsana capital stock.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The table below sets forth the ownership of Korsana capital stock by Fairmount Fund II, Venrock Healthcare Capital Partners, and Jonathan Violin as of June 30, 2026. Fairmount Fund II and Venrock Healthcare Capital Partners have also agreed to purchase Korsana Common Stock and Korsana Pre-Funded Warrants in the Korsana Pre-Closing Financing. For a more detailed discussion of these relationships, please see the section titled “</w:t>
      </w:r>
      <w:r>
        <w:rPr>
          <w:rFonts w:ascii="Times New Roman" w:hAnsi="Times New Roman"/>
          <w:i/>
          <w:sz w:val="20"/>
        </w:rPr>
        <w:t>Certain Relationships and Related Party Transactions of the Combined Company — Korsana</w:t>
      </w:r>
      <w:r>
        <w:rPr>
          <w:rFonts w:ascii="Times New Roman" w:hAnsi="Times New Roman"/>
          <w:sz w:val="20"/>
        </w:rPr>
        <w:t xml:space="preserve"> </w:t>
      </w:r>
      <w:r>
        <w:rPr>
          <w:rFonts w:ascii="Times New Roman" w:hAnsi="Times New Roman"/>
          <w:i/>
          <w:sz w:val="20"/>
        </w:rPr>
        <w:t>Transactions — Korsana</w:t>
      </w:r>
      <w:r>
        <w:rPr>
          <w:rFonts w:ascii="Times New Roman" w:hAnsi="Times New Roman"/>
          <w:sz w:val="20"/>
        </w:rPr>
        <w:t xml:space="preserve"> </w:t>
      </w:r>
      <w:r>
        <w:rPr>
          <w:rFonts w:ascii="Times New Roman" w:hAnsi="Times New Roman"/>
          <w:i/>
          <w:sz w:val="20"/>
        </w:rPr>
        <w:t>Pre-Closing Financing</w:t>
      </w:r>
      <w:r>
        <w:rPr>
          <w:rFonts w:ascii="Times New Roman" w:hAnsi="Times New Roman"/>
          <w:sz w:val="20"/>
        </w:rPr>
        <w:t xml:space="preserve">” beginning on page 386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64"/>
        <w:gridCol w:w="822"/>
        <w:gridCol w:w="150"/>
        <w:gridCol w:w="2850"/>
        <w:gridCol w:w="353"/>
      </w:tblGrid>
      <w:tr>
        <w:trPr/>
        <w:tc>
          <w:tcPr>
            <w:tcW w:w="2764" w:type="dxa"/>
            <w:tcBorders/>
            <w:vAlign w:val="center"/>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822" w:type="dxa"/>
            <w:tcBorders/>
            <w:vAlign w:val="bottom"/>
          </w:tcPr>
          <w:p>
            <w:pPr>
              <w:pStyle w:val="TableContents"/>
              <w:bidi w:val="0"/>
              <w:spacing w:before="0" w:after="283"/>
              <w:jc w:val="left"/>
              <w:rPr/>
            </w:pPr>
            <w:r>
              <w:rPr/>
              <w:t>  </w:t>
            </w:r>
          </w:p>
        </w:tc>
        <w:tc>
          <w:tcPr>
            <w:tcW w:w="3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Capital Stock held</w:t>
            </w:r>
          </w:p>
        </w:tc>
        <w:tc>
          <w:tcPr>
            <w:tcW w:w="353" w:type="dxa"/>
            <w:tcBorders/>
            <w:vAlign w:val="bottom"/>
          </w:tcPr>
          <w:p>
            <w:pPr>
              <w:pStyle w:val="TableContents"/>
              <w:bidi w:val="0"/>
              <w:spacing w:before="0" w:after="283"/>
              <w:jc w:val="left"/>
              <w:rPr/>
            </w:pPr>
            <w:r>
              <w:rPr/>
              <w:t> </w:t>
            </w:r>
          </w:p>
        </w:tc>
      </w:tr>
      <w:tr>
        <w:trPr/>
        <w:tc>
          <w:tcPr>
            <w:tcW w:w="2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82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50" w:type="dxa"/>
            <w:tcBorders/>
            <w:shd w:fill="CCEEFF" w:val="clear"/>
            <w:vAlign w:val="bottom"/>
          </w:tcPr>
          <w:p>
            <w:pPr>
              <w:pStyle w:val="TableContents"/>
              <w:bidi w:val="0"/>
              <w:spacing w:before="0" w:after="283"/>
              <w:jc w:val="right"/>
              <w:rPr/>
            </w:pPr>
            <w:r>
              <w:rPr/>
              <w:t>22,500,000</w:t>
            </w:r>
          </w:p>
        </w:tc>
        <w:tc>
          <w:tcPr>
            <w:tcW w:w="353" w:type="dxa"/>
            <w:tcBorders/>
            <w:shd w:fill="CCEEFF" w:val="clear"/>
            <w:vAlign w:val="bottom"/>
          </w:tcPr>
          <w:p>
            <w:pPr>
              <w:pStyle w:val="TableContents"/>
              <w:bidi w:val="0"/>
              <w:spacing w:before="0" w:after="283"/>
              <w:jc w:val="left"/>
              <w:rPr/>
            </w:pPr>
            <w:r>
              <w:rPr/>
              <w:t>(1) </w:t>
            </w:r>
          </w:p>
        </w:tc>
      </w:tr>
      <w:tr>
        <w:trPr/>
        <w:tc>
          <w:tcPr>
            <w:tcW w:w="276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82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50" w:type="dxa"/>
            <w:tcBorders/>
            <w:vAlign w:val="bottom"/>
          </w:tcPr>
          <w:p>
            <w:pPr>
              <w:pStyle w:val="TableContents"/>
              <w:bidi w:val="0"/>
              <w:spacing w:before="0" w:after="283"/>
              <w:jc w:val="right"/>
              <w:rPr/>
            </w:pPr>
            <w:r>
              <w:rPr/>
              <w:t>21,700,000</w:t>
            </w:r>
          </w:p>
        </w:tc>
        <w:tc>
          <w:tcPr>
            <w:tcW w:w="353" w:type="dxa"/>
            <w:tcBorders/>
            <w:vAlign w:val="bottom"/>
          </w:tcPr>
          <w:p>
            <w:pPr>
              <w:pStyle w:val="TableContents"/>
              <w:bidi w:val="0"/>
              <w:spacing w:before="0" w:after="283"/>
              <w:jc w:val="left"/>
              <w:rPr/>
            </w:pPr>
            <w:r>
              <w:rPr/>
              <w:t>(2) </w:t>
            </w:r>
          </w:p>
        </w:tc>
      </w:tr>
      <w:tr>
        <w:trPr/>
        <w:tc>
          <w:tcPr>
            <w:tcW w:w="2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82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50" w:type="dxa"/>
            <w:tcBorders/>
            <w:shd w:fill="CCEEFF" w:val="clear"/>
            <w:vAlign w:val="bottom"/>
          </w:tcPr>
          <w:p>
            <w:pPr>
              <w:pStyle w:val="TableContents"/>
              <w:bidi w:val="0"/>
              <w:spacing w:before="0" w:after="283"/>
              <w:jc w:val="right"/>
              <w:rPr/>
            </w:pPr>
            <w:r>
              <w:rPr/>
              <w:t>1,000,000</w:t>
            </w:r>
          </w:p>
        </w:tc>
        <w:tc>
          <w:tcPr>
            <w:tcW w:w="353" w:type="dxa"/>
            <w:tcBorders/>
            <w:shd w:fill="CCEEFF" w:val="clear"/>
            <w:vAlign w:val="bottom"/>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21,700,000 shares of Korsana Common Stock issuable upon conversion of 9,200,000 shares of Korsana Series Seed Preferred Stock and 12,500,000 shares of Korsana Series A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Violin Anti-Dilution Provision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consulting agreement and offer letter between Korsana and Dr. Violin, Korsana is obligated to issue additional options to purchase shares of Korsana Common Stock in order to maintain Dr. Violin’s ownership in Korsana at approximately 5% on a fully-diluted basis until Korsana has raised an aggregate of $200 million in financing following the effective date of his consulting agreement. The options granted to Dr. Violin on October 27, 2025 were in partial satisfaction (with respect to $151 million in financing) of such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Korsana Common Stock that is outstanding and unexercised immediately prior to the First Effective Time under Korsana’s 2025 Equity Incentive Plan and that, following assumption by Cyclerion at the First Effective Time, will be eligible to be registered on Form S-8, whether or not vested, will be converted into an option to purchase shares of Cyclerion Common Stock. Cyclerion will assume Korsana’s 2025 Equity Incentive Plan and each such outstanding option to purchase shares of Korsana Common Stock in accordance with the terms (as in effect as of the date of the Merger Agreement) of Korsana’s 2025 Equity Incentive Plan and the terms of the stock option agreement by which such option to purchase shares of Korsana Common Stock is evidenced.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Korsana stock options held as of June 30, 2026 by each of Korsana’s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56"/>
        <w:gridCol w:w="329"/>
        <w:gridCol w:w="65"/>
        <w:gridCol w:w="1093"/>
        <w:gridCol w:w="60"/>
        <w:gridCol w:w="329"/>
        <w:gridCol w:w="175"/>
        <w:gridCol w:w="1310"/>
        <w:gridCol w:w="60"/>
        <w:gridCol w:w="329"/>
        <w:gridCol w:w="60"/>
        <w:gridCol w:w="1122"/>
        <w:gridCol w:w="60"/>
        <w:gridCol w:w="328"/>
        <w:gridCol w:w="137"/>
        <w:gridCol w:w="1008"/>
        <w:gridCol w:w="67"/>
      </w:tblGrid>
      <w:tr>
        <w:trPr/>
        <w:tc>
          <w:tcPr>
            <w:tcW w:w="2856"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329"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w:t>
              <w:br/>
              <w:t>Options</w:t>
              <w:br/>
              <w:t>Held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br/>
              <w:t>of Vested</w:t>
              <w:br/>
              <w:t>Options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w:t>
              <w:br/>
              <w:t>Held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 of</w:t>
              <w:br/>
              <w:t>Unvested</w:t>
              <w:br/>
              <w:t>Options ($)</w:t>
            </w:r>
          </w:p>
        </w:tc>
        <w:tc>
          <w:tcPr>
            <w:tcW w:w="67"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3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3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1,474,146</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13,146,884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1.45</w:t>
            </w:r>
          </w:p>
        </w:tc>
        <w:tc>
          <w:tcPr>
            <w:tcW w:w="67"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3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3,123,094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1.35</w:t>
            </w:r>
          </w:p>
        </w:tc>
        <w:tc>
          <w:tcPr>
            <w:tcW w:w="67"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3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1,873,856</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1.35</w:t>
            </w:r>
          </w:p>
        </w:tc>
        <w:tc>
          <w:tcPr>
            <w:tcW w:w="67"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3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3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3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486,957</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1.67</w:t>
            </w:r>
          </w:p>
        </w:tc>
        <w:tc>
          <w:tcPr>
            <w:tcW w:w="67"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3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3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60,763</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78,126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0.86</w:t>
            </w:r>
          </w:p>
        </w:tc>
        <w:tc>
          <w:tcPr>
            <w:tcW w:w="67"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3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Korsana Management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captioned “Management Following the Merger” beginning on page 379 of this proxy statement/prospectus certain of Korsana’s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Korsana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182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and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(the “Second Effective Time”),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and excluding shares to be cancelled pursuant to the Merger Agreement and dissenting shares) will be automatically converted solely into the right to receive a number of shares of Cyclerion Common Stock or Cyclerion Pre-Funded Warrants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Cyclerion Common Stock will be issued in connection with the Merger, and no certificates or scrip for any such fractional shares will be issued. Any fractional shares of Cyclerion Common Stock resulting from the conversion of shares of Korsana Common Stock (including shares of Korsana Common Stock issued in the Korsana Pre-Closing Financing) shall be issued as follows: (i) one share of Cyclerion Common Stock if the aggregate amount of fractional shares of Cyclerion Common Stock of any individual holder of Korsana capital stock if upon conversion is equal to or exceeds 0.50 or (ii) no shares of Cyclerion Common Stock if the aggregate amount of fractional shares of Cyclerion Common Stock of any individual holder of Korsana capital stock if upon conversion is less than 0.50, with no cash being paid for any fractional share eliminated by such rounding. Any fractional shares of Cyclerion Series B Preferred Stock that a holder of Korsana Series Seed Preferred Stock would otherwise be entitled to receive will be aggregated with all fractional shares of Cyclerion Series B Preferred Stock issuable to such holder and rounded up to the nearest whole share of Cyclerion’s Series B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Cyclerion will deposit with the Exchange Agent evidence of book-entry shares representing the shares of Cyclerion Common Stock issuable pursuant to the terms of the Merger Agreement in exchange for shares of Korsana Common Stock (including shares of Korsana Common Stock issued in the Korsana Pre-Closing Financing) and Korsana Series A Preferred Stock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Korsana Series A Preferred Stock and Korsana Series A Preferred Stock (including shares of Korsana Common Stock issued in the Korsana Pre-Closing Financing)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and the declaration for tax withholding purposes, the surrender of the record holder’s stock certificates and identification of book-entry shares,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or Korsana Series Seed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HOLDERS OF KORSANA CAPITAL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First Effective Time and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Korsana stockholders and the approval by the Cyclerion shareholders of the issuance of Cyclerion Common Stock, including shares of Cyclerion Common Stock issuable upon conversion of Cyclerion Series B Preferred Stock, and the other transactions proposed under the Merger Agreement, other than those conditions that by their nature are to be satisfied at the closing of the Merger. The First Merger will become effective upon the filing of a certificate of merger (the “First Certificate of Merger”) with the Secretary of State of the State of Delaware or at such later time as is agreed by Cyclerion and Korsana and specified in the First Certificate of Merger. The Second Merger will become effective upon the filing of a certificate of merger (the “Second Certificate of Merger”) with the Secretary of State of the State of Delaware or at such later time as is agreed by Cyclerion and Korsana and specified in the Second Certificate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subject to the requirements of the HSR Act and the related rules and regulations, which provide that certain transactions may not be completed until notification and report forms have been furnished to the DOJ and the FTC and until certain waiting periods have been terminated or have expired. The HSR Act requires Cyclerion and Korsana to observe a 30-calendar-day waiting period after the submission of their respective HSR notification and report forms before consummating the Merger. The waiting period may be shortened if the reviewing agency grants “early termination” of the waiting period or lengthened if the acquiring person (here Cyclerion) voluntarily withdraws and refiles to allow a second 30-calendar-day waiting period, or if the reviewing agency issues a request for additional information or documentary material (a “Second Request”) prior to the expiration of the initial waiting period, the parties must observe a second 30-calendar-day waiting period, which begins to run only after each of the parties has substantially complied with the Second Request.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Korsana Common Stock and of Korsana Preferred Stock (collectively, “Korsana stock”)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in effect as of the date hereof. These authorities may change or be subject to differing interpretations. Any such change or differing interpretation may be applied retroactively in a manner that could adversely affect a U.S. Holder. Korsana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Korsana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Korsana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Korsana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Korsana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Korsana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Korsana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Korsana stock, the tax treatment of a partner in the partnership will depend on the status of the partner, the activities of the partnership, and certain determinations made at the partner level. Accordingly, a partnership holding Korsana stock and each partner in such partnership is urged to consult its tax advisor regarding the U.S. federal income tax considerations to it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Korsana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Korsana and Cyclerion intends that the Merger qualifies as a “reorganization” within the meaning of Section 368(a) of the Code. Assuming the Merger so qualifies, a U.S. Holder will not recognize gain or loss upon the exchange of its Korsana stock for Cyclerion Common Stock or Cyclerion Series B Preferred Stock (collectively, “Cyclerion stock”). A U.S. Holder will have the same aggregate basis in its Cyclerion stock after the Merger as such U.S. Holder had in the corresponding Korsana stock immediately prior to the Merger. A U.S. Holder’s holding period in the Cyclerion stock immediately following the Merger will include such U.S. Holder’s holding period in the corresponding Korsana stock immediately prior to the Merger. If a U.S. Holder holds different blocks of Korsana stock (generally, Korsana stock acquired on different dates or at different prices), such U.S. Holder is urged to consult its tax advisor with respect to the determination of the tax bases and/or holding periods of the shares of Cyclerion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who receives Cyclerion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Merger at least one percent (by vote or value) of the total outstanding stock of Korsana or who owned securities in Korsana with a basis of $1,000,000 or more is required to attach a statement to its tax return for the year in which the Merger is consummated that contains the information listed in Treasury Regulation Section 1.368-3(b). Such statement must include the U.S. Holder’s tax basis in such U.S. Holder’s Korsana stock surrendered in the Merger, the fair market value of such Korsana stock, the date of the Merger, and the name and employer identification number of each of Korsana and Cyclerion. Each U.S. Holder is urged to consult with its tax advisor to comply with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has agreed to use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Cyclerion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Cyclerion Articles effecting the proposed reverse stock split, certified by the Secretary of the Commonwealth of Massachusetts, to Nasdaq on the closing date of the Merger; and (d) to the extent required by Nasdaq Marketplace Rule 5110, assist Korsana in preparing and filing an initial listing application for the Cyclerion Common Stock issued to Korsana stockholders (including any common stock issuable upon conversion of the Cyclerion Series B Preferred Stock) (the “Nasdaq Listing Application”) and to cause such Nasdaq Listing Application to be conditionally approved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Cyclerion’s and Korsana’s obligation to complete the Merger is subject to the satisfaction or waiver by each of the parties, at or prior to the closing of the Merger, of various conditions, including that the Nasdaq Listing Application shall have been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Nasdaq Listing Application is approved, Cyclerion anticipates that the common stock of the Combined Company will be listed on Nasdaq following the closing of the Merger under the trading symbol “KRSA.”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treated by Cyclerion as a reverse merger and is expected to be accounted for as an in-substance reverse recapitalization of Cyclerion by Korsana in accordance with U.S. GAAP as, at close, the transaction is, in essence, the issuance of equity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Korsana’s stockholders’ appraisal rights under Delaware law and is qualified in its entirety by reference to the text of the relevant provisions of Delaware law, which are attached as </w:t>
      </w:r>
      <w:r>
        <w:rPr>
          <w:rFonts w:ascii="Times New Roman" w:hAnsi="Times New Roman"/>
          <w:i/>
          <w:sz w:val="20"/>
        </w:rPr>
        <w:t>Annex L</w:t>
      </w:r>
      <w:r>
        <w:rPr>
          <w:rFonts w:ascii="Times New Roman" w:hAnsi="Times New Roman"/>
          <w:sz w:val="20"/>
        </w:rPr>
        <w:t xml:space="preserve"> in this proxy statement/prospectus. Stockholders intending to exercise appraisal rights should carefully review </w:t>
      </w:r>
      <w:r>
        <w:rPr>
          <w:rFonts w:ascii="Times New Roman" w:hAnsi="Times New Roman"/>
          <w:i/>
          <w:sz w:val="20"/>
        </w:rPr>
        <w:t>Annex L</w:t>
      </w:r>
      <w:r>
        <w:rPr>
          <w:rFonts w:ascii="Times New Roman" w:hAnsi="Times New Roman"/>
          <w:sz w:val="20"/>
        </w:rPr>
        <w:t xml:space="preserve">. Failure to follow precisely any of the statutory procedures set forth in </w:t>
      </w:r>
      <w:r>
        <w:rPr>
          <w:rFonts w:ascii="Times New Roman" w:hAnsi="Times New Roman"/>
          <w:i/>
          <w:sz w:val="20"/>
        </w:rPr>
        <w:t>Annex L</w:t>
      </w:r>
      <w:r>
        <w:rPr>
          <w:rFonts w:ascii="Times New Roman" w:hAnsi="Times New Roman"/>
          <w:sz w:val="20"/>
        </w:rPr>
        <w:t xml:space="preserve"> may result in a termination or waiver of these rights. This summary does not constitute legal or other advice, nor does it constitute a recommendation that Korsana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Korsana will notify its stockholders that the Merger has been approved, the effective date of the Merger and that appraisal rights are available to any stockholder who has not approved the Merger. Holders of shares of Korsana capital stock who desire to exercise their appraisal rights must deliver a written demand for appraisal to Korsana within 20 days after the date of mailing of that notice, and that stockholder must not have delivered a written consent approving the Merger. A demand for appraisal must reasonably inform Korsana of the identity of the stockholder and that such stockholder intends thereby to demand appraisal of the shares of Korsana capital stock held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Failure to deliver a written consent approving the Merger will not in and of itself constitute a written demand for appraisal satisfying the requirements of Section 262. All demands for appraisal should be addressed to c/o Korsana Biosciences, Inc., 203 Crescent Street, Bldgs. #3/3A/4, Suite 503, Waltham, MA 02453, and should be executed by, or on behalf of, the record holder of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KORSANA WITHIN 20 DAYS AFTER THE DATE KORSANA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Korsana capital stock as provided for in the Merger Agreement, but you will have no appraisal rights with respect to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Korsana capital stock must be made by, or in the name of, the registered stockholder, fully and correctly, as the stockholder’s name appears on the stockholder’s stock certificate(s). Beneficial owners who do not also hold the shares of record may not directly make appraisal demands to Korsana.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Korsana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First Effective Time, any stockholder who has demanded an appraisal, but has neither commenced an appraisal proceeding nor joined an appraisal proceeding as a named party, has the right to withdraw such stockholder’s demand and accept the terms of the Merger by delivering a written withdrawal to Korsana. If, following a demand for appraisal, you have withdrawn your demand for appraisal in accordance with Section 262, you will have the right to receive the merger consideration for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of a copy of the petition must be made upon the surviving corporation. The surviving corporation has no obligation to file a petition in the Delaware Court of Chancery in the event there are dissenting stockholders, and Cyclerion,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First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First Effective Time, or if the stockholder delivers a written withdrawal of his or her demand for appraisal and an acceptance of the terms of the Merger within 60 days after the First Effective Time, then the right of that stockholder to appraisal will cease and that stockholder will be entitled to receive the merger consideration for shares of his or her Korsana capital stock pursuant to the Merger Agreement. Any withdrawal of a demand for appraisal made more than 60 days after the First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1069_8"/>
      <w:bookmarkEnd w:id="10"/>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including the amendment thereto,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Cyclerion, Korsana,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Cyclerion, First Merger Sub, and Second Merger Sub, on the one hand, and Korsana,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Cyclerion and Korsana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Cyclerion or Korsana, because they were made as of specific dates, may be intended merely as a risk allocation mechanism between Cyclerion, First Merger Sub, Second Merger Sub and Korsana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the DLLCA, and the MBCA, at the Closing, First Merger Sub, a wholly owned subsidiary of Cyclerion, will merge with and into Korsana, with Korsana surviving the First Merger as a wholly owned subsidiary of Cyclerion (the “First Merger”). Immediately following the First Merger, and as part of the same overall transaction, Korsana will merge with and into Second Merger Sub, a wholly owned subsidiary of Cyclerion, with Second Merger Sub surviving the Second Merger as the surviving entity (the “Second Merger”). Upon completion of the Second Merger, Second Merger Sub will be renamed “Korsana Biosciences Operating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Korsana stockholders and the approval by Cyclerion shareholders of the issuance of Cyclerion Common Stock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Cyclerion and Korsana and specified in the certificates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Korsana Common Stock and Korsana Series A Preferred Stock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in the event that they would receive, pursuant to the Exchange Ratio, a number of shares of Cyclerion Common Stock, that (when aggregated with all securities then beneficially owned by such person and its affiliates (as calculated pursuant to Section 13(d) of the Exchange Act and Rule 13d-3 promulgated thereunder)) would be in excess of a set beneficial ownership limitation applicable to such holder, Cyclerion Pre-Funded Warrants, equal to the Exchange Ratio (described in more detail below), and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No fractional shares of Cyclerion Common Stock will be issued in connection with the Merger, and no certificates or scrip for any such fractional shares will be issued. Any fractional shares of Cyclerion Common Stock resulting from the conversion of shares of Korsana capital stock (including shares of Korsana Common Stock issued in the Korsana Pre-Closing Financing) shall be issued as follows: (i) one share of Cyclerion Common Stock if the aggregate amount of fractional shares of Cyclerion Common Stock such holder of Korsana capital stock would otherwise be entitled to is equal to or exceeds 0.50; or (ii) no shares of Cyclerion Common Stock if the aggregate amount of fractional shares of Cyclerion Common Stock such holder of Company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Cyclerion and Korsana securityholders a percentage of the Combined Company. Based on Cyclerion’s and Korsana’s capitalization as of June 30, 2026, the Exchange Ratio was estimated to be equal to approximately 1.4735 shares of Cyclerion Common Stock for each share of Korsana Common Stock. This estimate is subject to adjustment prior to the closing of the Merger for Cyclerion’s Net Cash as of 11:59 p.m. on the business day prior to the anticipated closing date (the “Cash Determination Time”) (and as a result, Cyclerion securityholders could own less, and Korsana securityholders (including, for this purpose, investors in the Korsana Pre-Closing Financing) could own more, or vice versa, of the Combined Company).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Korsana Pre-Closing Financing, and certain other assumptions, immediately following the completion of the Merger, Cyclerion securityholders would own approximately 1.1% of the capital stock of the Combined Company post-Merger on a fully-diluted basis, and Korsana securityholders, including shares of Korsana Common Stock and Korsana Pre-Funded Warrants purchased in the Korsana Pre-Closing Financing, would own approximately 98.9% of the capital stock of the Combined Company post-Merger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There can be no assurance that any of these assumptions will be accurate at Closing when the final Exchange Ratio is determined. For more information on the Korsana Pre-Closing Financing,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number of Korsana Merger Shares by the Korsana Outstanding Shares,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Aggregate Valuation” means the sum of (i) the Korsana Valuation and (ii) the Cyclerion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sz w:val="20"/>
              </w:rPr>
              <w:t xml:space="preserve">Post-Closing Cyclerion Shares” means the quotient determined by dividing (i) the Cyclerion Outstanding Shares by (ii) the Cyclerion Allocation Percentage. The estimated Exchange Ratio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purposes of the unaudited pro forma condensed combined financial information was derived on a fully-diluted basis as of December 31, 2025 for Cyclerion and March 31, 2026 for Korsana, using a stipulated value of Korsana of $268.4 million (excluding the Korsana Pre-Closing Financing) and of Cyclerion of $10 million. For more information, see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Cyclerion Allocation Percentage” means the quotient (expressed as a percentage and rounded to four decimal places) determined by dividing (i) the Cyclerion Valuation by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Cyclerion Outstanding Shares” means, without duplication, (including, without limitation, the effects of the Nasdaq Reverse Split, if completed, prior to the First Effective Time) the total number of shares of Cyclerion capital stock outstanding immediately prior to the First Effective Time expressed on a fully-diluted basis and as converted to Cyclerion Common Stock basis and assuming, without limitation or duplication, (i) the issuance of shares of Cyclerion Common Stock in respect of all In-the-Money Cyclerion Options, warrants or other rights or commitments to receive shares of Cyclerion Common Stock or Cyclerion preferred stock (or securities convertible or exercisable into shares of Cyclerion Common Stock or Cyclerion preferred stock, but excluding any Cyclerion capital stock issued as Merger Consideration), whether conditional or unconditional, that are outstanding as of immediately prior to the First Effective Time, and (ii) the settlement in shares of Cyclerion Common Stock of Cyclerion RSAs outstanding as of immediately prior to the First Effective Time on a net settlement basis. Notwithstanding any of the foregoing, no Out-of-the-Money Cyclerion Options shall be included in the total number of shares of Cyclerion Common Stock outstanding for purposes of determining the Cyclerion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sz w:val="20"/>
              </w:rPr>
              <w:t xml:space="preserve">Cyclerion Valuation” means (i) $10,000,000, minus (ii) the amount by which Net Cash is less than $0, plus (iii) the amount by which Cyclerion’s Net Cash exceeds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Korsana Allocation Percentage” means the percentage (rounded to four decimal places) determined by subtracting the Cyclerion Allocation Percentage from 100%.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Korsana Equity Value” means $268,400,000.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sz w:val="20"/>
              </w:rPr>
              <w:t xml:space="preserve">Korsana Merger Shares” means the product determined by multiplying (i) the Post-Closing Cyclerion Shares by (ii) the Korsana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sz w:val="20"/>
              </w:rPr>
              <w:t xml:space="preserve">Korsana Outstanding Shares” means, without duplication, the total number of shares of Korsana capital stock outstanding immediately prior to the First Effective Time (including any shares of Korsana Common Stock or Korsana Preferred Stock that are issued in, or issuable upon the exercise or conversion of securities issued in, the Korsana Pre-Closing Financing), expressed on a fully diluted and as-converted-to-Korsana Common Stock basis assuming, without limitation or duplication, the exercise of all Korsana Options, Korsana RSUs, Korsana Warrants or other rights or commitments to receive shares of Korsana Common Stock or Korsana Preferred Stock (or securities convertible or exercisable into shares of Korsana Common Stock or Korsana Preferred Stock), whether conditional or unconditional or vested or unvested, that are outstanding as of immediately prior to the First Effective Time; provided that “Korsana Outstanding Shares” shall exclude any Korsana Options, Korsana RSUs, Korsana Warrants and any other equity awards issued under the Korsana 2025 Equity Incentive Plan (including any shares of Korsana Common Stock issuable upon the exercise of such Korsana Options, Korsana Pre-Funded Warrants or other equity awards) issued to directors, employees, consultants or other service providers following the date of the Merger Agreement but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t>“</w:t>
            </w:r>
            <w:r>
              <w:rPr>
                <w:rFonts w:ascii="Times New Roman" w:hAnsi="Times New Roman"/>
                <w:sz w:val="20"/>
              </w:rPr>
              <w:t xml:space="preserve">Korsana Valuation” means (i) the Korsana Equity Value, plus (ii) the amount of proceeds actually received by the Korsana from the Korsana Pre-Closing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Calculation of Cyclerion’s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Cyclerion’s “Net Cash” means, as of 11:59 p.m. Eastern Time on the last business day prior to the anticipated closing date,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unrestricted cash,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Cyclerion’s SEC filings or Cyclerion’s balance sheet (including any proceeds actually received from the sale, license, transfer, disposition, divestiture or other monetization transaction or winding down of Cyclerion’s legacy business) (each, a “Cyclerion Legacy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Cyclerion prepaid expenses set forth in Cyclerion’s disclosure letter, if any; minus the sum (without duplication)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unpaid consolidated short-term and long-term contractual obligations and liabilities accrued at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Cyclerion’s SEC filings and its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(without duplication) of all fees and expenses incurred by Cyclerion prior to the First Effective Time in connection with the negotiation, execution and delivery of the Merger Agreement and the contemplated transactions or any Cyclerion Legacy Transaction,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fees and expenses of legal counsel, accountants, financial advisors, investment bankers, brokers, consultants, tax advisors, and other professional advisors of Cyclerion in connection with the transactions contemplated by the Merger Agreement or any Cyclerion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paid to the SEC in connection with filing this registration statement and any amendments and supplements thereto,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and expenses incurred in connection with the printing, mailing and distribution of this proxy statement and any amendments and supplements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any Nasdaq fees related to the continued listing of Cyclerion, the listing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costs and fees associated with making the distribution of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4"/>
        <w:gridCol w:w="8270"/>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Cyclerion Legacy Transaction, together with any payroll taxes associated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5"/>
        <w:gridCol w:w="203"/>
        <w:gridCol w:w="8271"/>
      </w:tblGrid>
      <w:tr>
        <w:trPr/>
        <w:tc>
          <w:tcPr>
            <w:tcW w:w="14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obtaining the “D&amp;O tail policy” pursuant to Section 6.7 of the Merger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associated with the Pre-Closing Cash Dividend, to the extent declared and unpaid as of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accrued and unpaid taxes of Cyclerion and its subsidiaries for tax periods (or portions thereof) ending on or before the closing date, in accordance with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relating to the winding down of the Cyclerion legacy business, including any Cyclerion Legacy Transaction, and further including any costs incurred by the Combined Company following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paid to holders of In-the-Money Cyclerion Options pursuant to Section 6.6(d)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Cash Dividend amount, to the extent not declared and paid prior to the delivery of the Cyclerion’s Net Cash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before the date of the Cyclerion Shareholders Meeting set forth in the Proxy Statement, Cyclerion will deliver to Korsana a Net Cash schedule setting forth, in reasonable detail, Cyclerion’s good faith estimated calculation of its Net Cash as of 11:59 p.m. on the business day prior to the anticipated closing date, prepared and certified, via certificate in the form reasonably acceptable to Korsana, by Cyclerion’s chief financial officer (or if there is no chief financial officer, the principal financial and accounting officer), as the case may be, and, if requested, the relevant work papers and back-up materials used or useful in preparing the Net Cash schedule. No later than three business days after delivery of such Net Cash schedule (the last day of such period referred to as the response date), Korsana will have the right to dispute any part of the Net Cash schedule by delivering a written notice to that effect to Cyclerion (referred to herein as a “dispute notice”). Any dispute notice will identify, in reasonable detail and, to the extent known, the nature and amounts of any proposed revisions to Cyclerion’s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disputes the Net Cash schedule, the parties shall attempt in good faith to resolve the disputed items and negotiate an agreed-upon determination of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mutually agreed upon by Cyclerion and Korsana. The determination of the amount of Net Cash made by such auditor shall be final and binding on Cyclerion and Korsana. </w:t>
      </w:r>
    </w:p>
    <w:p>
      <w:pPr>
        <w:pStyle w:val="TextBody"/>
        <w:bidi w:val="0"/>
        <w:spacing w:before="240" w:after="0"/>
        <w:jc w:val="left"/>
        <w:rPr>
          <w:rFonts w:ascii="Times New Roman" w:hAnsi="Times New Roman"/>
          <w:sz w:val="20"/>
        </w:rPr>
      </w:pPr>
      <w:r>
        <w:rPr>
          <w:rFonts w:ascii="Times New Roman" w:hAnsi="Times New Roman"/>
          <w:sz w:val="20"/>
        </w:rPr>
        <w:t xml:space="preserve">Cyclerion’s Net Cash balance is subject to numerous factors, some of which are outside of Cyclerion’s control. The actual amount of Net Cash will depend significantly on the timing of the Closing. In addition, the Closing could be delayed if Cyclerion and Korsana are not able to agree upon the amount of Cyclerion’s Net Cash as of the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Option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Korsana Option assumed by Cyclerion in accordance with the terms of the Merger Agreement, such Korsana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Korsana Common Stock subsequent to the First Effective Time. Following the completion of the Merger, the Combined Company’s board of directors or a committee thereof will succeed to the authority and responsibility of the Korsana Board or any committee thereof with respect to each Korsana Option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 would otherwise be entitled to is equal to or exceeds 0.50, and otherwise rounded down. Each Korsana RSU assumed by Cyclerion will otherwise continue in full force and effect and the term, settlement, 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To the extent provided under the terms of a Korsana Warrant assumed by Cyclerion in accordance with the terms of the Merger Agreement, such Korsana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Cyclerion Board or a committee thereof will succeed to the authority and responsibility of the Korsana Board or any committee thereof with respect to each Korsana Warrant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Common Stock, Cyclerion Preferred Stock, Cyclerion Options and Cyclerion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Cyclerion Series A Preferred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and cancel each Cyclerion option that is not an In-the-Money Cyclerion Option. At the closing of the First Merger, (i) each In-the-Money Cyclerion Option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Korsana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(as defined herein), Cyclerion will deposit with the Exchange Agent evidence of book-entry shares representing the shares of Cyclerion Common Stock issuable pursuant to the terms of the Merger Agreement in exchange for shares of Korsana Common Stock and Korsana Series A Preferred Stock (including shares of Korsana Common Stock issued in the Korsana Pre-Closing Financing)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and Korsana Series A Preferred Stock (including shares of Korsana Common Stock issued in the Korsana Pre-Closing Financing) (excluding shares to be cancelled pursuant to the Merger Agreement and excluding dissenting shares) and each record holder of Korsana Series Seed Preferred Stock who will receive Cyclerion Series B Preferred Stock issuable in exchange for such Korsana Series Seed Preferred Stock pursuant to the terms, and calculated in accordance with, the Merger Agreement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Korsana Series Seed Preferred Stock, or Korsana Series A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KORSANA COMMON STOCK, KORSANA SERIES SEED PREFERRED STOCK, OR KORSANA SERIES A PREFERRED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Cyclerion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Cyclerion will resign effective as of the First Effective Time and the Cyclerion Board will thereafter consist of a total of six new directors designated by Korsana. Korsana has designated Andrew Gottesdiener, Heidi Henson, Tomas Kiselak, Michelle Pernice, Nimish Shah, and Dr. Jonathan Violin to serve as members of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Jonathan Violin, Ph.D. will serve as Chief Executive Officer and President of the Combined Company, Mark Vignola, Ph.D. will serve as Chief Financial Officer of the Combined Company, and Madelyn Zeylikman will serve as General Counsel and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Cyclerion Articles </w:t>
      </w:r>
    </w:p>
    <w:p>
      <w:pPr>
        <w:pStyle w:val="TextBody"/>
        <w:bidi w:val="0"/>
        <w:spacing w:before="120" w:after="0"/>
        <w:jc w:val="left"/>
        <w:rPr>
          <w:rFonts w:ascii="Times New Roman" w:hAnsi="Times New Roman"/>
          <w:sz w:val="20"/>
        </w:rPr>
      </w:pPr>
      <w:r>
        <w:rPr>
          <w:rFonts w:ascii="Times New Roman" w:hAnsi="Times New Roman"/>
          <w:sz w:val="20"/>
        </w:rPr>
        <w:t xml:space="preserve">Cyclerion agreed to amend the Cyclerion Articles to (i) change Cyclerion’s name to “Korsana Biosciences, Inc.”, (ii) effect the proposed reverse stock split, if needed, (iii) increase the number of shares of Cyclerion Common Stock that Cyclerion is authorized to the amount proposed in this proxy statement/prospectus, such amount determined by Korsana as being sufficient to allow for consummation of the Contemplated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Cyclerion, First Merger Sub and Second Merger Sub, on one hand, and Korsana, on the other hand, for a transaction of this type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subsidiaries and similar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Cyclerion Shareholders Meeting and that will be the subject of the Korsana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Cyclerion, documents filed with the SEC and the accuracy of information contained in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the validity of material contracts to which the parties or their subsidiaries are a party and any default of such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owed to financial advisors and similar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control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 ownership of Cyclerion capital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 the valid issuance in the Merger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Cyclerion and Korsana form the basis of certain of the conditions to the obligations of Cyclerion and Korsana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Cyclerion has agreed that,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Cyclerion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Cyclerion has also agreed that, subject to certain limited exceptions and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(other than the Pre-Closing Cash Dividend, if any, and the Closing Distribution, as defined in the Merger Agreement) or make any other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shares of its capital stock; or repurchase, redeem or otherwise reacquire any shares of capital stock or other securities (except for shares of Cyclerion Common Stock from terminated employees, directors or consultants of Cyclerion or in connection with the payment of the exercise price or withholding taxes incurred upon the exercise, settlement or vesting of any award or purchase rights granted under any Cyclerion equity incentive plan in accordance with the terms of such award in effect on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Cyclerion Common Stock issued upon the valid exercise of outstanding Cyclerion Options or Cyclerion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(except for the advancement of reasonable and customary expenses to employees, directors and consultants in the Ordinary Course of Business); incur or guarantee any indebtedness for borrowed money; guarantee any debt securities of others; or, other than the incurrence or payment of expenses pursuant to the terms of the Merger Agreement, make any capital expenditure or commitment in excess of 100,000;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or terminate any officer, employee or consultant;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intellectual property of Cyclerion (other than pursuant to non-exclusive licenses in the ordinary course of business or pursuant to the consummation of any Parent Legacy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or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or surrender any material claim for refund;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Cyclerion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Cyclerion or its subsidiaries, taken as a whole, or any equitable relief on, or the admission of wrongdoing by Cyclerion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Cyclerion or any of subsidiaries to its customers or licensees; or agree to materially change pricing or royalties or other payments set or charged by persons who have licensed intellectual property to Cyclerion or any of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Cyclerion or terminate any Cyclerion material contract outside of the ordinary course of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give Korsana the right, directly or indirectly, to control or direct the operations of Cyclerion prior to the First Effective Time. Prior to the First Effective Time, Cyclerion shall exercise, consistent with the terms and conditions of the Merger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Cyclerion is expressly permitted to engage in a Parent Legacy Transaction and is expressly permitted to declare and pay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Korsana has agreed that, except as contemplated or permitted by the Merger Agreement or the Securities Purchase Agreement, as required by law, or unless Cyclerion shall have provided its written consent, during the period commencing on the date of the Merger Agreement and continuing until the earlier to occur of the First Effective Time and the termination of the Merger Agreement, Korsana will use commercially reasonable efforts to conduct its business and operations in the ordinary course consistent with past practices and in material compliance with all applicable laws, regulations and certain contracts. Korsana has also agreed that, subject to certain limited exceptions without the consent of Cyclerion, during the period commencing on the date of the Merger Agreement and continuing until the earlier to occur of the First Effective Time and the termination of the Merger Agreement, it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Korsana Common Stock from terminated employees, directors or consultants of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sell, issue, grant, or authorize any of the foregoing actions with respect to the shares of Korsana capital stock outstanding as of the date of the Merger Agreement: any capital stock or other security of Korsana (except for shares of outstanding Korsana Common Stock issued upon the valid exercise or settlement of Korsana Options); any option, warrant or right to acquire any capital stock or any other security; or any instrument convertible into or exchangeable for any capital stock or other security of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acquire any equity interest or other interest in any other entity or enter into a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or guarantee any debt securities of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irrevocably dispose of any of its assets or properties, or grant any lien with respect to such assets or properties, except in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Korsana, other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Korsana, other than waivers, settlements or agreements (A) for an amount not in excess of $100,000 in the aggregate (excluding amounts to be paid under existing insurance policies or renewals thereof) and (B) that do not impose any material restrictions on the operations or businesses of Korsana or any equitable relief on, or the admission of wrongdoing by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Korsana or terminate any Korsana material contract, outside of the ordinary course of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that, except as described below, Cyclerion and Korsana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execute or enter into any letter of intent or any contract contemplating or otherwise relating to an Acquisition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non-public information (other than an inquiry, indication of interest or request for information made or submitted by Korsana, on the one hand, or Cyclerion, on the other hand, to the other Party) that could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any Cyclerion Legacy Transaction, any Interim Financing, or the Korsana Pre-Closing Financing)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Cyclerion shareholders or Korsana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Acquisition Proposal was not obtained or made as a direct or indirect result of a breach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Cyclerion and Korsana;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Cyclerion Board or Korsana Board, as applicable, determines in good faith, based on such matters that it deems relevant (including the likelihood of consummation thereof and the financing terms thereof), as well as any written offer by the other party to amend the terms of the Merger Agreement, and following consultation with its outside legal counsel and financial advisors, if any, are more favorable, from a financial point of view, to Cyclerion’s shareholders or Korsana’s stockholders, as applicable, than the terms of the Merger, (c) is not subject to any financing conditions (and if financing is required, such financing is then fully committed to the third party) and (d) is reasonably capable of being completed on the terms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receives any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Korsana and Cyclerion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 any Acquisition Proposal, Acquisition Inquiry, Acquisition Transaction or the consequences thereof, or (B) the fact, in and of itself, that such party meets or exceeds internal budgets, plans or forecasts of its revenues, earnings or other financial performance or results of operations or (C), solely with respect to Cyclerion, a Cyclerion Legacy Transaction) that affects the business, assets or operations of such party and occurs or arises after the date the Merger Agreement was executed (each, an “Intervening Event”), such party’s board of directors may amend, withdraw, or modify its recommendation in a manner adverse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Superior Offer, such party’s board of directors must first: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an Intervening Event,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Cyclerion’s Shareholders and Written Consent of Korsana’s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Cyclerion is obligated under the Merger Agreement to take all action necessary under applicable law to call, give notice of and hold a meeting of the holders of Cyclerion Common Stock for the purpose of considering and voting to approve the Merger Agreement and the transactions contemplated thereby (including the Merger) and amendments to the Cyclerion Articles as further described herein (the “Required Cyclerion Shareholder Vote”). The Cyclerion Shareholders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Korsana is required to obtain the approval by written consent from the holders of a majority of the outstanding shares of Korsana capital stock, voting together as a single class on an as-converted basis, and the holders of a majority of the outstanding shares of Korsana Preferred Stock, voting as a separate class,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(the “Required Korsana Stockholder Vote”). Reasonably promptly following receipt of such consents, Korsana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Cyclerion and the surviving entity in the Merger agreed to indemnify and hold harmless each person who is now, or has been at any time prior to the date of the Merger Agreement, or who becomes prior to the First Effective Time, a director or officer of Cyclerion or Korsana,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Cyclerion or of Korsana, whether asserted or claimed prior to, at or after the First Effective Time, in each case, to the fullest extent permitted under the DGCL or the MBCA, as applicable. From and after the First Effective Time, Cyclerion and the surviving corporation in the Merger will also fulfill Cyclerion’s and Korsana’s indemnity obligations, respectively, to each person who is, has been, or who becomes prior to the First Effective Time, a director or officer of Cyclerion or Korsana.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the Cyclerion Articles and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Cyclerion will maintain director and officers’ liability insurance policies, with an effective date as of the Closing Date, on commercially available terms and conditions and with coverage limits customary for U.S. public companies similarly situated to Cyclerion. In addition, Cyclerion will secure and purchase a six year “tail policy” on Cyclerion’s existing directors’ and officers’ liability insurance policy with an effective date as of the date of the closing of the First Merger.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Cyclerion is required if and to the extent it reasonably expects Cyclerion’s Net Cash to exceed $5,000,000, and it may otherwise elect to, in each case, prior to the First Effective Time, declare and pay a dividend on the shares of Cyclerion Common Stock and Cyclerion Preferred Stock outstanding (excluding for the avoidance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doubt any shares of Cyclerion capital stock issuable pursuant to the Merger) up to an amount by which Cyclerion’s Net Cash will exceed $0. Cyclerion does not expect to pay a Pre-Closing Cash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Cyclerion and Korsana have further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use its commercially reasonable efforts to maintain its listing on Nasdaq and cause the shares of Cyclerion Common Stock being issued in the Merger to be approved for listing on Nasdaq at or prior to the First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keep Korsana reasonably informed regarding any shareholder litigation against Cyclerion or any of its directors relating to the Merger Agreement or the transactions contemplated thereby. Cyclerion will (i) give Korsana the opportunity to participate in the defense, settlement or prosecution of any such litigation (ii) consult with Korsana with respect to the defense, settlement and prosecution of any such litigation and (iii) consider in good faith Korsana’s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periods (or any extensions thereof) under the U.S. Hart Scott-Rodino Antitrust Improvements Act of 1976, as amended, (if applicable) and any applicable foreign law relating to antitrust or competition matters shall have expired or otherwise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shall have obtained the Required Korsana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shall have obtained the Required Cyclerion Shareholder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Cyclerion Common Stock on Nasdaq shall have been approved by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lock-up agreements executed by certain securityholders of Korsana continuing to be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Securities Purchase Agreement being in full force and effect and proceeds of not less than $150,000,000 having been received by Korsana or will be received by Korsana substantially concurrently with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certain Cyclerion agreements have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Cyclerion must have filed articles of amendment with the Secretary of the Commonwealth of Massachusetts, containing at least such amendments as are necessary to consummate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if Cyclerion declares the Pre-Closing Cash Dividend, the Pre-Closing Cash Dividend amount having been deposited by Cyclerion with Cyclerion’s transfer agent for distribution to holders of Cyclerion Common Stock as of the record date of the Pre-Closing Cash Dividend.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Cyclerion and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Merger has not been consummated by October 1, 2026 (the “End Date”) (subject to possible extension as provided in the Merger Agreement);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provided, further, that if (i) the SEC has not declared this registration statement on Form S-4 effective, or (ii) the waiting periods (and extensions thereof) applicable to the Merger under the HSR Act have not expired or otherwise been terminated, by the date that is 90 days prior to the End Date, then either party may extend the End Date for an additional 90 days by notice to the other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the Korsana Required Stockholder Vote has not been obtained within two business days of the registration statement on Form S-4, of which this proxy statement/prospectus is a part, becoming effective; provided further, however, that this right to terminate the Merger Agreement will not be available to Cyclerion once Korsana obtains such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Cyclerion Shareholders Meeting has been held and completed and Cyclerion shareholders have taken a final vote on the Merger Proposals set forth herein to be considered at the Cyclerion Shareholders Meeting, and the Merger Proposals have not been approved by Cyclerion shareholders; provided that this right to terminate the Merger Agreement will not be available to Cyclerion where Cyclerion’s action or failure to act has been a principal cause of the failure to obtain the Cyclerion shareholder approval at the Cyclerion Shareholders Meeting and such action or failure to act constitutes a breach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Korsana, at any time prior to obtaining the approval by Cyclerion shareholders of the Merger Proposals set forth herein to be considered at the Cyclerion Shareholders Meeting, if any of the following circumstances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fails to include in this proxy statement/prospectus the Cyclerion Board’s recommendation that Cyclerion shareholders vote to approve the Merger Proposals set forth herein to be considered at the Cyclerion Shareholders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or any committee thereof, makes a Cyclerion board recommendation change in a manner adverse to Korsana (or publicly proposes to do so), or adopts, approves or recommends any Acquisition Proposal (or publicly proposes to do so);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Korsana Required Stockholder Vote, if any of the following circumstances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makes a board recommendation change in a manner adverse to Cyclerion;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or any committee thereof publicly approves, endorses or recommends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enters into any letter of intent or similar document or any contract relating to any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Korsana, if a Form 25 has been filed with respect to the Cyclerion Common Stock by Cyclerion or Nasdaq or any other cessation of listing of the Cyclerion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Korsana, if Cyclerion, First Merger Sub or Second Merger Sub have breached any of their representations, warranties, covenants or agreements contained in the Merger Agreement or if any representation or warranty of Cyclerion, First Merger Sub or Second Merger Sub has become inaccurate, in either case such that the conditions to the Closing would not be satisfied as of time of such breach or inaccuracy; provided that Korsana is not then in material breach of any representation, warranty covenant or agreement under the Merger Agreement; provided, further, if such breach or inaccuracy is curable, then Korsana shall not be permitted to terminate the Merger Agreement pursuant to this paragraph as a result of a particular breach or inaccuracy until the earlier of (i) the expiration of a 30-day period after delivery of written notice of such breach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inaccuracy from Korsana to Cyclerion, First Merger Sub or Second Merger Sub and Korsana’s intention to terminate pursuant to this paragraph and (ii) Cyclerion, First Merger Sub and Second Merger Sub (as applicable) ceasing to exercise commercially reasonable efforts to cure such breach following delivery of such written notice (it being understood that Korsana shall not be permitted to terminate the Merger Agreement pursuant to this paragraph as a result of such particular breach or inaccuracy if such breach by Cyclerion, First Merger Sub or Second Merger Sub is cured prior to such termination becoming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Korsana has breached any of its representations, warranties, covenants or agreements contained in the Merger Agreement or if any representation or warranty of Korsana has become inaccurate, in either case such that the conditions to the Closing would not be satisfied as of time of such breach or inaccuracy; provided that Cyclerion is not then in material breach of any representation, warranty covenant or agreement under the Merger Agreement; provided, further, if such breach or inaccuracy is curable, then Cyclerion shall not be permitted to terminate the Merger Agreement pursuant to this paragraph as a result of a particular breach or inaccuracy until the earlier of (i) the expiration of a 30-day period after delivery of written notice of such breach or inaccuracy from Cyclerion to Korsana and Cyclerion’s intention to terminate pursuant to this paragraph and (ii) Korsana ceasing to exercise commercially reasonable efforts to cure such breach following delivery of such written notice (it being understood that the Merger Agreement will not terminate pursuant to this paragraph as a result of such particular breach or inaccuracy if such breach by Korsana is cured prior to such termination becoming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Cyclerion Required Shareholder Vote), concurrently with Cyclerion’s entering into a definitive agreement for a Superior Offer, subject to certain conditions.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must pay Korsana a termination fee of $235,000 if (i) the Merger Agreement is terminated by Cyclerion or Korsana pursuant to clause (e) above or by Korsana pursuant to clause (f) above, (ii) at any time after the date of the Merger Agreement and prior to the Cyclerion Shareholders Meeting, an Acquisition Proposal with respect to Cyclerion will have been publicly announced, disclosed or otherwise communicated to the Cyclerion Board (and will not have been withdrawn), and (iii) within 12 months after the date of such termination, Cyclerion enters into a definitive agreement with respect to a subsequent transaction or consummates a subsequent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Korsana </w:t>
      </w:r>
    </w:p>
    <w:p>
      <w:pPr>
        <w:pStyle w:val="TextBody"/>
        <w:bidi w:val="0"/>
        <w:spacing w:before="120" w:after="0"/>
        <w:jc w:val="left"/>
        <w:rPr>
          <w:rFonts w:ascii="Times New Roman" w:hAnsi="Times New Roman"/>
          <w:sz w:val="20"/>
        </w:rPr>
      </w:pPr>
      <w:r>
        <w:rPr>
          <w:rFonts w:ascii="Times New Roman" w:hAnsi="Times New Roman"/>
          <w:sz w:val="20"/>
        </w:rPr>
        <w:t xml:space="preserve">Korsana must pay Cyclerion a termination fee of $10.736 million if (i) the Merger Agreement is terminated by Cyclerion pursuant to clause (d) or (g) above (ii) at any time after the date of the Merger Agreement and before obtaining the Korsana Required Stockholder Vote, an Acquisition Proposal with respect to Korsana will have been publicly announced, disclosed or otherwise communicated to the Korsana Board (and will not have been withdrawn), and (iii) within 12 months after the date of such termination, Korsana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184 of this proxy statement/prospectus, and except that Cyclerion and Korsana will share equally in any fees and 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1069_9"/>
      <w:bookmarkEnd w:id="11"/>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Korsana stockholders beneficially holding approximately 43.9% of the outstanding shares of Korsana capital stock have entered into Korsana Support Agreements with Cyclerion and Korsana to vote all of their shares of Korsana capital stock in favor of the adoption and approval of the Merger Agreement and the transactions contemplated thereby and against any alternative Acquisition Proposals. 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qualified in its entirety by the full text of the form of Cyclerion Support Agreement and the form of Korsana Support Agreement, which are attached to this proxy statement/prospectus as </w:t>
      </w:r>
      <w:r>
        <w:rPr>
          <w:rFonts w:ascii="Times New Roman" w:hAnsi="Times New Roman"/>
          <w:i/>
          <w:sz w:val="20"/>
        </w:rPr>
        <w:t xml:space="preserve">Annex C </w:t>
      </w:r>
      <w:r>
        <w:rPr>
          <w:rFonts w:ascii="Times New Roman" w:hAnsi="Times New Roman"/>
          <w:sz w:val="20"/>
        </w:rPr>
        <w:t xml:space="preserve">and </w:t>
      </w:r>
      <w:r>
        <w:rPr>
          <w:rFonts w:ascii="Times New Roman" w:hAnsi="Times New Roman"/>
          <w:i/>
          <w:sz w:val="20"/>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Korsana stockholders who have executed lock-up agreements beneficially owned, in the aggregate, approximately 43.9% of the outstanding shares of Korsana capital stock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to this proxy statement/prospectus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Investors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Under the Securities Purchase Agreement, the number of shares of Korsana Common Stock or Korsana Pre-Funded Warrants, as applicable, shall be determined at a purchase price per share or pre-funded warrant equal to (i) a valuation for Korsana equal to $268.4 million, divided by (ii) the number of fully diluted shares of Korsana Common Stock outstanding immediately prior to the First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Korsana Pre-Funded Warrants will have an exercise price per share equal to $0.0001 (as adjusted from time to time as provided in the form of Korsana Pre-Funded Warrant) and may be exercised at any time and from time to time after the original issue date. The Korsana Pre-Funded Warrants do not expire. The foregoing description of the form of Korsana Pre-Funded Warrant does not purport to be complete and is qualified in its entirety by the full text of the form of Korsana Pre-Funded Warrant, which is filed as Exhibit 4.2 to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Accordingly, by approving Proposal No. 1 relating to the Merger, Cyclerion shareholders will also be approving the issuance of shares of Cyclerion Common Stock to be issued in exchange for all shares of Korsana Common Stock and upon exercise of Korsana Pre-Funded Warrants that are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Korsana Common Stock and/or Korsana Pre-Funded Warrants from Korsana pursuant to the Securities Purchase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representations and warranties in the Securities Purchase Agreement being true and correct in all respects as of the effective date of the Securities Purchase Agreement and true and correct in all material respects as of the closing date for the Korsana Pre-Closing Financing,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performed and complied in all material respects with the obligations and conditions required to be performed or complied with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furnished all required materials to Cyclerion’s 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Korsana;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delivered the Registration Rights Agreement required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been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Korsana Pre-Closing Financing and other than those conditions which, by their nature, are to be satisfied at the Closing of the transactions contemplated by the Merger) and the Closing being set to occur substantially concurrently with the closing of the Korsana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obligation to sell shares of Korsana Common Stock or Korsana Pre-Funded Warrants, as applicable, to each purchaser pursuant to the Securities Purchase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closing date of the Korsana Pre-Closing Financing,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obligations and conditions required to be performed or complied with by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received payment in full from each investor as required by the Securities Purchase Agreement,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form of Securities Purchase Agreement is filed as Exhibit 10.3 to this registration statement on Form S-4 of which this proxy statement/prospectus is a part, and the foregoing description of the Securities Purchase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including the shares of Cyclerion Common Stock issued in exchange for shares of Korsana Common Stock sold in the Korsana Pre-Closing Financing or underlying Cyclerion Pre-Funded Warrants issued upon conversion of the Korsana Pre-Funded Warrants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Combined Company will agree to prepare and file a resale registration statement covering the resale of the Cyclerion Common Stock within 30 calendar days of the Closing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Cyclerion Common Stock under an effective registration statement on Form S-4, if available, or if unavailable, another appropriate form filed with the SEC, subject to certain exceptions, and (iv)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10.4 to this registration statement on Form S-4 of which this proxy statement/prospectus is a part, and the foregoing description of the Registration Rights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Cyclerion’s legacy assets and related activities, including seeking and negotiating and, with the prior written consent of the Combined Company (not to be unreasonably withheld, conditioned or delayed), executing agreements with respect to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Cyclerion CVR Agreement does not purport to be complete and is qualified in its entirety by the full text of the form of Cyclerion CVR Agreement, which is attached hereto as </w:t>
      </w:r>
      <w:r>
        <w:rPr>
          <w:rFonts w:ascii="Times New Roman" w:hAnsi="Times New Roman"/>
          <w:i/>
          <w:sz w:val="20"/>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Cyclerion CVRs to Holders of Cyclerion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receipt of the CVRs by Cyclerion shareholders pursuant to the Cyclerion CVR Agreement. This section applies only to persons that hold their Cyclerion capital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Cyclerion voting shares or five percent or more of the total value of all classes of shares of Cyclerion;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Cyclerion capital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Cyclerion capital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Cyclerion as part of a straddle, constructive sale, hedging, conversion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capital stock who exercise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Cyclerion capital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Cyclerion capital stock, the tax treatment of such partnership and any person treated as a partner of such partnership will generally depend on the status and activities of the partner and the activities of the partnership. If you are a partner of a partnership or other pass-through entity holding Cyclerion capital stock, you should consult your tax advisors regarding the tax consequences of the receipt of the Cyclerion CVRs and distributions of Cyclerion capital stock pursuant to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transactions effectuated before, after or at the same time as the receipt of the Cyclerion CVRs, whether or not they are in connection with the receipt of the Cyclerion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generally may not be transferred or assigned except for certain permitted transfers; accordingly, this discussion assumes the Cyclerion CVRs are not transferable or assignable and does not address any consequences of transferring, assigning or otherwise disposing of the Cyclerion CVRs or any interest therein. No ruling from the IRS has been or will be requested in connection with the distribution of the Cyclerion CVRs. Cyclerion shareholders should be aware that the IRS could adopt a position contrary to that set forth in this discussion and which could be sustained by a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RECEIPT OF THE CYCLERION CVRS ARISING UNDER THE U.S. FEDERAL ESTATE OR GIFT TAX LAWS OR UNDER THE LAWS OF ANY STATE, LOCAL OR NON-U.S. TAXING JURISDICTION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Cyclerion capital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have the authority to control all substantial decisions of the trust or (2) it has a valid election in place to be treated as a U.S. person.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U.S. Holders </w:t>
      </w:r>
    </w:p>
    <w:p>
      <w:pPr>
        <w:pStyle w:val="TextBody"/>
        <w:bidi w:val="0"/>
        <w:spacing w:before="120" w:after="0"/>
        <w:jc w:val="left"/>
        <w:rPr>
          <w:rFonts w:ascii="Times New Roman" w:hAnsi="Times New Roman"/>
          <w:sz w:val="20"/>
        </w:rPr>
      </w:pPr>
      <w:r>
        <w:rPr>
          <w:rFonts w:ascii="Times New Roman" w:hAnsi="Times New Roman"/>
          <w:sz w:val="20"/>
        </w:rPr>
        <w:t xml:space="preserve">Although the matter is not free from doubt, the Combined Company intends to treat the receipt of Cyclerion CVRs and the Cyclerion reverse stock split as separate transactions for U.S. federal income tax purposes, and the following discussion assumes this treatment will be respected. </w:t>
      </w:r>
    </w:p>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Cyclerion CVRs. Specifically, there is no authority directly addressing whether contingent value rights with characteristics similar to the Cyclerion CVRs should be treated as a distribution of property with respect to the corporation’s stock, a distribution of equity, a “debt instrument” or an “open transaction” for U.S. federal income tax purposes. Under applicable U.S. tax principles, such questions are inherently factual in nature. As a result, it is not possible to express a definitive conclusion as to the U.S. federal income tax treatment of the receipt of the Cyclerion CVRs or receipt of payments (if any) pursuant to the Cyclerion CVRs. Based on the specific characteristics of the Cyclerion CVRs, Cyclerion intends to report the issuance of the Cyclerion CVRs as a distribution of property with respect to its stock. Cyclerion U.S. Holders are urged to consult their tax advisors regarding the tax consequences to them of the receipt of Cyclerion CVRs. </w:t>
      </w:r>
    </w:p>
    <w:p>
      <w:pPr>
        <w:pStyle w:val="TextBody"/>
        <w:bidi w:val="0"/>
        <w:spacing w:before="240" w:after="0"/>
        <w:jc w:val="left"/>
        <w:rPr>
          <w:rFonts w:ascii="Times New Roman" w:hAnsi="Times New Roman"/>
          <w:sz w:val="20"/>
        </w:rPr>
      </w:pPr>
      <w:r>
        <w:rPr>
          <w:rFonts w:ascii="Times New Roman" w:hAnsi="Times New Roman"/>
          <w:sz w:val="20"/>
        </w:rPr>
        <w:t>Specifically, Cyclerion intends to report the issuance of the Cyclerion CVRs to Cyclerion U.S. Holders as a distribution of property with respect to its stock. Each Cyclerion U.S. Holder will be treated as receiving a distribution in an amount equal to the fair market value of the Cyclerion CVR issued to such Cyclerion U.S. Holder on the date of the issuance. This distribution generally should be treated first as a taxable dividend to the extent of the Cyclerion 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return of capital to the extent of the Cyclerion U.S. Holder’s basis in its Cyclerion capital stock, and finally as capital gain from the sale or exchange of Cyclerion capital stock with respect to any remaining value. Cyclerion U.S. Holders will receive a Form 1099-DIV notifying them of the portion of the Cyclerion CVR value that is treated as a dividend for U.S. federal income tax purposes. Although Cyclerion will estimate the value of the Cyclerion CVRs for purposes of reporting on Form 1099-DIV to Cyclerion U.S. Holders, the value of the Cyclerion CVRs is uncertain and the IRS or a court could determine that the value of the Cyclerion CVRs at the time of issuance was higher. In such case, the Cyclerion U.S. Holders could be treated as having additional income or gain upon receipt of the Cyclerion CVRs as described above. A Cyclerion U.S. Holder’s initial tax basis in such holder’s Cyclerion CVR should equal the fair market value of such Cyclerion CVR on the date of their issuance. The holding period of such Cyclerion CVR should begin on the day after the date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above treatment, the Combined Company intends to treat any future payments received by a Cyclerion U.S. Holder on a Cyclerion CVR as a non-taxable return of such Cyclerion U.S. Holder’s adjusted tax basis in the Cyclerion CVR to the extent thereof, and payments in excess of such amount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However, the treatment of such future payments is uncertain and alternative treatments are possible. One such possible treatment is that a Cyclerion CVR could be treated as one or more “debt instruments.” If that were to be the case, then payments received with respect to the Cyclerion CVRs could be treated as payments in repayment of a “debt instrument,” except to the extent interest is imputed under the Code. If those rules were to apply, interest generally should be imputed under complex rules. In such a case, a Cyclerion U.S. Holder would be required to include any such interest in income on an annual basis, whether or not currently paid.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a distribution of equity for U.S. federal income tax purposes, in which case Cyclerion U.S. Holders should not recognize gain or loss as a result of the issuance of the Cyclerion CVRs. Depending on the fair market value of the Cyclerion CVRs on the date of their issuance, each Cyclerion U.S. Holder’s tax basis in such holder’s Cyclerion capital stock would be allocated between such holder’s Cyclerion capital stock and such holder’s Cyclerion CVRs. The holding period of such Cyclerion CVRs should include the Cyclerion U.S. Holder’s holding period of such holder’s Cyclerion capital stock. Future payments on a Cyclerion CVR received by a Cyclerion U.S. Holder could be treated as dividends to the extent of the Cyclerion U.S. Holder’s pro rata share of Cyclerion’s current or accumulated earnings and profits (as determined for U.S. federal income tax purposes), then as a non-taxable return of capital to the extent of the Cyclerion U.S. Holder’s basis in the Cyclerion CVR, and finally as capital gain from the sale or exchange of the Cyclerion CVR with respect to any remaining value. As discussed above, Cyclerion does not intend to report the issuance of the Cyclerion CVRs as a distribution of equity and the IRS may disagree with any Cyclerion U.S. Holder reporting the Cyclerion CVR issuance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subject to the “open transaction” doctrine if the value of the Cyclerion CVRs on the closing date cannot be “reasonably ascertained.” If the receipt of Cyclerion CVRs were treated as an “open transaction” for U.S. federal income tax purposes, each Cyclerion U.S. Holder should not immediately take the Cyclerion CVRs into account in determining whether such holder must recognize income, if any, on the receipt of the Cyclerion CVRs and such holder would take no tax basis in the Cyclerion CVRs. Rather, the Cyclerion U.S. Holder’s U.S. federal income tax consequences would be determined at the time future payments, if any, with respect to the Cyclerion CVRs are received or deemed received, based on whether the Cyclerion CVRs are treated as a distribution of property or of equity, in accordance with the Cyclerion U.S. Holder’s regular method of accounting. As discussed above, Cyclerion does not intend to report the issuance of the Cyclerion CVRs as an open transaction and the IRS may disagree with any Cyclerion U.S. Holder reporting the Cyclerion CVR issuance as an open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should generally be treated as capital assets for U.S. federal income tax purposes once issued.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Cyclerion capital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As described above, there is substantial uncertainty as to the tax treatment of Cyclerion CVRs and payments made thereunder. Cyclerion intends to report the issuance of the Cyclerion CVRs to Cyclerion Non-U.S. Holders as a distribution of property with respect to its stock. Each Cyclerion Non-U.S. Holder will be treated as receiving a distribution in an amount equal to the fair market value of the Cyclerion CVR issued to such Cyclerion Non-U.S. Holder on the date of the issuance. This distribution generally should be treated first as a taxable dividend to the extent of the Cyclerion Non-U.S.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 of capital to the extent of the Cyclerion Non-U.S. Holder’s basis in its Cyclerion capital stock, and finally as capital gain from the sale or exchange of Cyclerion capital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Generally, if any portion of the distribution of Cyclerion CVRs made to Non-U.S. Holders is treated as a dividend for U.S. federal income tax purposes (as described above), such dividend will be subject to withholding at a rate of 30% (or at a lower rate under an applicable income tax treaty). Under the terms of the Cyclerion CVR Agreement, Cyclerion and the rights agent are permitted to deduct all applicable withholding taxes from the distribution of a Cyclerion CVR to a Non-U.S. Holder and from any payments under the Cyclerion CVR to a Non-U.S. Holder. Non-U.S. Holders should be aware that the U.S. federal income tax treatment of payments on the Cyclerion CVR is unclear, as described in more detail above, but Cyclerion intends to take the position that such payments will be treated as U.S. source income subject to U.S. withholding tax at a 30% rate, or at a lesser treaty rate. Under the Cyclerion CVR Agreement, Cyclerion and the rights agent are authorized to withhold this tax from payments to Non-U.S. Holders. To the extent that any payments made to a Non-U.S. Holder on a Cyclerion CVR are treated as interest (subject to certain exemptions for amounts treated as “portfolio interest” under the Code) or dividends, such amounts will be subject to U.S. federal withholding tax at a 30% rate, or at a lesser treaty rate.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backup withholding, if the issuance of the Cyclerion CVRs is effectively connected with a Cyclerion Non-U.S. Holder’s conduct of a trade or business within the United States (and, if required by an applicable income tax treaty, the Cyclerion Non-U.S. Holder maintains a permanent establishment in the United States to which the distribution of the Cyclerion CVRs is attributable), the Cyclerion Non-U.S. Holder will be exempt from U.S. federal withholding tax and the distribution of the Cyclerion CVRs generally will be subject to U.S. federal income tax on a net income basis in the same manner as if such Cyclerion Non-U.S. Holder were a U.S. Holder. To claim the exemption, the Cyclerion Non-U.S. Holder must furnish to the applicable withholding agent a valid IRS Form W-8ECI (or applicable successor form), certifying that the distribution is effectively connected with the Cyclerion Non-U.S. Holder’s conduct of a trade or business within the United States. A Cyclerion Non-U.S. Holder that is a corporation also may be subject to a branch profits tax at a rate of 30% (or such lower rate specified by an applicable income tax treaty) of all or a portion of its effectively connected earnings and profits for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portion of the issuance of the Cyclerion CVRs is treated as capital gain from the sale or exchange of Cyclerion capital stock, such gain generally will not be subject to U.S. federal income tax unless (i) such gain is effectively connected with the conduct by a Cyclerion Non-U.S. Holder of a trade or business in the United States (and, if an income tax treaty applies, the gain is generally attributable to a U.S. permanent establishment maintained by such Cyclerion Non-U.S. Holder), (ii) in the case of gain realized by a Cyclerion Non-U.S. Holder that is an individual, such Cyclerion Non-U.S. Holder is present in the United States for 183 days or more in the taxable year of the sale and certain other conditions are met or (iii) Cyclerion is or has been a USRPHC for U.S. federal income tax purposes and, if the shares are “regularly traded on an established securities market,” such Cyclerion Non-U.S. Holder owned, directly or indirectly, at any time during the five-year period ending on the date of the distribution, more than 5% of the shares of Cyclerion capital stock and such Cyclerion Non-U.S. Holder is not eligible for any treaty exemption. The shares will be considered “regularly traded” if they are traded on an established securities market located in the United States and are regularly quoted by brokers or dealers making a market in the shares. Cyclerion believes it is not, and has not been, a USRPHC for U.S. federal income tax purposes. In addition, although not free from doubt, Cyclerion believes that Cyclerion common shares currently should be considered to be regularly traded.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Cyclerion CVRs. Non-U.S. Holders are urged to consult their own tax advisors to determine the U.S. federal, state, local and non-U.S. income and other tax considerations that may be relevant to them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Alternative Treatment of the Receipt of Cyclerion CVRs and the Cyclerion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Cyclerion’s position that the receipt of Cyclerion CVRs and the Cyclerion reverse stock split are appropriately treated as separate transactions, it is possible that the IRS or a court could determine that the receipt of the Cyclerion CVRs and the Cyclerion reverse stock split constitute a single “recapitalization” for U.S. federal income tax purposes. In such case, the tax consequences of the receipt of Cyclerion CVRs and the Cyclerion reverse stock split would differ from those described above and would depend in part on many of the same considerations described above, including whether the Cyclerion CVRs should be treated as property, equity or debt instruments or should be subject to the “open transaction” doctrine. In general, if the Cyclerion CVRs are treated as property and are not subject to the “open transaction” doctrine, then a Cyclerion U.S. Holder should recognize gain (but not loss) equal to the lesser of (i) the fair market value of the Cyclerion CVRs received, and (ii) the excess (if any) of (A) the sum of (1) the fair market value of the Cyclerion CVRs received and (2) the fair market value of the Cyclerion shares received in the Cyclerion reverse stock split (treating fractional shares as received for this purpose), over (B) the Cyclerion U.S. Holder’s adjusted tax basis in the Cyclerion capital stock surrendered in the Cyclerion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RECEIPT OF THE CYCLERION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1069_10"/>
      <w:bookmarkEnd w:id="12"/>
      <w:r>
        <w:rPr>
          <w:rFonts w:ascii="Times New Roman" w:hAnsi="Times New Roman"/>
          <w:b/>
          <w:sz w:val="20"/>
        </w:rPr>
        <w:t xml:space="preserve">CYCLERION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June 30, 2026, concerning Cyclerion’s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Cyclerion’s directors and executive officers as of June 30, 2026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5"/>
        <w:gridCol w:w="247"/>
        <w:gridCol w:w="434"/>
        <w:gridCol w:w="247"/>
        <w:gridCol w:w="5112"/>
      </w:tblGrid>
      <w:tr>
        <w:trPr/>
        <w:tc>
          <w:tcPr>
            <w:tcW w:w="416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5112" w:type="dxa"/>
            <w:tcBorders/>
            <w:vAlign w:val="center"/>
          </w:tcPr>
          <w:p>
            <w:pPr>
              <w:pStyle w:val="TableContents"/>
              <w:bidi w:val="0"/>
              <w:spacing w:before="0" w:after="283"/>
              <w:jc w:val="left"/>
              <w:rPr>
                <w:sz w:val="4"/>
                <w:szCs w:val="4"/>
              </w:rPr>
            </w:pPr>
            <w:r>
              <w:rPr>
                <w:sz w:val="4"/>
                <w:szCs w:val="4"/>
              </w:rPr>
            </w:r>
          </w:p>
        </w:tc>
      </w:tr>
      <w:tr>
        <w:trPr/>
        <w:tc>
          <w:tcPr>
            <w:tcW w:w="416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Name</w:t>
            </w:r>
          </w:p>
        </w:tc>
        <w:tc>
          <w:tcPr>
            <w:tcW w:w="247" w:type="dxa"/>
            <w:tcBorders/>
            <w:vAlign w:val="bottom"/>
          </w:tcPr>
          <w:p>
            <w:pPr>
              <w:pStyle w:val="TableContents"/>
              <w:bidi w:val="0"/>
              <w:spacing w:before="0" w:after="283"/>
              <w:jc w:val="left"/>
              <w:rPr/>
            </w:pPr>
            <w:r>
              <w:rPr/>
              <w:t>  </w:t>
            </w:r>
          </w:p>
        </w:tc>
        <w:tc>
          <w:tcPr>
            <w:tcW w:w="434"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7" w:type="dxa"/>
            <w:tcBorders/>
            <w:vAlign w:val="bottom"/>
          </w:tcPr>
          <w:p>
            <w:pPr>
              <w:pStyle w:val="TableContents"/>
              <w:bidi w:val="0"/>
              <w:spacing w:before="0" w:after="283"/>
              <w:jc w:val="left"/>
              <w:rPr/>
            </w:pPr>
            <w:r>
              <w:rPr/>
              <w:t>  </w:t>
            </w:r>
          </w:p>
        </w:tc>
        <w:tc>
          <w:tcPr>
            <w:tcW w:w="51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Position</w:t>
            </w:r>
          </w:p>
        </w:tc>
      </w:tr>
      <w:tr>
        <w:trPr/>
        <w:tc>
          <w:tcPr>
            <w:tcW w:w="4165" w:type="dxa"/>
            <w:tcBorders/>
          </w:tcPr>
          <w:p>
            <w:pPr>
              <w:pStyle w:val="TableContents"/>
              <w:bidi w:val="0"/>
              <w:spacing w:before="0" w:after="283"/>
              <w:jc w:val="left"/>
              <w:rPr/>
            </w:pPr>
            <w:r>
              <w:rPr/>
              <w:t>Regina M. Graul, Ph.D.</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49</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President, Chief Executive Officer and Director</w:t>
            </w:r>
          </w:p>
        </w:tc>
      </w:tr>
      <w:tr>
        <w:trPr/>
        <w:tc>
          <w:tcPr>
            <w:tcW w:w="4165" w:type="dxa"/>
            <w:tcBorders/>
          </w:tcPr>
          <w:p>
            <w:pPr>
              <w:pStyle w:val="TableContents"/>
              <w:bidi w:val="0"/>
              <w:spacing w:before="0" w:after="283"/>
              <w:jc w:val="left"/>
              <w:rPr/>
            </w:pPr>
            <w:r>
              <w:rPr/>
              <w:t>Rhonda Chicko</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60</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Chief Financial Officer and Secretary</w:t>
            </w:r>
          </w:p>
        </w:tc>
      </w:tr>
      <w:tr>
        <w:trPr/>
        <w:tc>
          <w:tcPr>
            <w:tcW w:w="4165" w:type="dxa"/>
            <w:tcBorders/>
          </w:tcPr>
          <w:p>
            <w:pPr>
              <w:pStyle w:val="TableContents"/>
              <w:bidi w:val="0"/>
              <w:spacing w:before="0" w:after="283"/>
              <w:jc w:val="left"/>
              <w:rPr/>
            </w:pPr>
            <w:r>
              <w:rPr/>
              <w:t>Errol B. De Souza, Ph.D. (1) (2)</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72</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Chairman of the Board of Directors</w:t>
            </w:r>
          </w:p>
        </w:tc>
      </w:tr>
      <w:tr>
        <w:trPr/>
        <w:tc>
          <w:tcPr>
            <w:tcW w:w="4165" w:type="dxa"/>
            <w:tcBorders/>
          </w:tcPr>
          <w:p>
            <w:pPr>
              <w:pStyle w:val="TableContents"/>
              <w:bidi w:val="0"/>
              <w:spacing w:before="0" w:after="283"/>
              <w:jc w:val="left"/>
              <w:rPr/>
            </w:pPr>
            <w:r>
              <w:rPr/>
              <w:t>Peter M. Hecht, Ph.D.</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62</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Director</w:t>
            </w:r>
          </w:p>
        </w:tc>
      </w:tr>
      <w:tr>
        <w:trPr/>
        <w:tc>
          <w:tcPr>
            <w:tcW w:w="4165" w:type="dxa"/>
            <w:tcBorders/>
          </w:tcPr>
          <w:p>
            <w:pPr>
              <w:pStyle w:val="TableContents"/>
              <w:bidi w:val="0"/>
              <w:spacing w:before="0" w:after="283"/>
              <w:jc w:val="left"/>
              <w:rPr/>
            </w:pPr>
            <w:r>
              <w:rPr/>
              <w:t>Michael J. Higgins(1)(2)</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63</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Director</w:t>
            </w:r>
          </w:p>
        </w:tc>
      </w:tr>
      <w:tr>
        <w:trPr/>
        <w:tc>
          <w:tcPr>
            <w:tcW w:w="4165" w:type="dxa"/>
            <w:tcBorders/>
          </w:tcPr>
          <w:p>
            <w:pPr>
              <w:pStyle w:val="TableContents"/>
              <w:bidi w:val="0"/>
              <w:spacing w:before="0" w:after="283"/>
              <w:jc w:val="left"/>
              <w:rPr/>
            </w:pPr>
            <w:r>
              <w:rPr/>
              <w:t>Steven E. Hyman, M.D.(1)(3)</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73</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Director</w:t>
            </w:r>
          </w:p>
        </w:tc>
      </w:tr>
      <w:tr>
        <w:trPr/>
        <w:tc>
          <w:tcPr>
            <w:tcW w:w="4165" w:type="dxa"/>
            <w:tcBorders/>
          </w:tcPr>
          <w:p>
            <w:pPr>
              <w:pStyle w:val="TableContents"/>
              <w:bidi w:val="0"/>
              <w:spacing w:before="0" w:after="283"/>
              <w:jc w:val="left"/>
              <w:rPr/>
            </w:pPr>
            <w:r>
              <w:rPr/>
              <w:t>Dina Katabi, Ph.D.(3)</w:t>
            </w:r>
          </w:p>
        </w:tc>
        <w:tc>
          <w:tcPr>
            <w:tcW w:w="247"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center"/>
              <w:rPr/>
            </w:pPr>
            <w:r>
              <w:rPr/>
              <w:t>54</w:t>
            </w:r>
          </w:p>
        </w:tc>
        <w:tc>
          <w:tcPr>
            <w:tcW w:w="247" w:type="dxa"/>
            <w:tcBorders/>
            <w:vAlign w:val="bottom"/>
          </w:tcPr>
          <w:p>
            <w:pPr>
              <w:pStyle w:val="TableContents"/>
              <w:bidi w:val="0"/>
              <w:spacing w:before="0" w:after="283"/>
              <w:jc w:val="left"/>
              <w:rPr/>
            </w:pPr>
            <w:r>
              <w:rPr/>
              <w:t>  </w:t>
            </w:r>
          </w:p>
        </w:tc>
        <w:tc>
          <w:tcPr>
            <w:tcW w:w="5112" w:type="dxa"/>
            <w:tcBorders/>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Regina Graul, Ph.D.</w:t>
      </w:r>
      <w:r>
        <w:rPr>
          <w:rFonts w:ascii="Times New Roman" w:hAnsi="Times New Roman"/>
          <w:sz w:val="20"/>
        </w:rPr>
        <w:t xml:space="preserve"> has served on the Cyclerion Board since August 2024, as Cyclerion’s President since December 2023 and as Cyclerion’s President and Chief Executive Officer since August 2024. Before joining Cyclerion as President, Dr. Graul served as vice president, program executive at EQRx Therapeutics, Inc. from February 2021 where she led multiple portfolios and cross-functional research and development teams in oncology. From April 2019 through February 2021, Dr. Graul served as senior director, global development leader at Cyclerion and lead the olinciguat franchise. From 2004 through February 2021, Dr. Graul served in numerous roles of increasing responsibility across the organization at Ironwood Pharmaceuticals, Inc., most recently as the head of internal innovation and senior director of research and development. Dr. Graul did her post-doctoral work at MIT, received her Ph.D. in synthetic organic chemistry from Rice University and a B.A. in chemistry from Saint Anselm College. Dr. Graul brings extensive drug research and development experience in the bio-pharmaceutical industry over the past 22 years, which makes her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Rhonda M. Chicko, C.P.A.</w:t>
      </w:r>
      <w:r>
        <w:rPr>
          <w:rFonts w:ascii="Times New Roman" w:hAnsi="Times New Roman"/>
          <w:sz w:val="20"/>
        </w:rPr>
        <w:t xml:space="preserve"> is a consultant to Cyclerion and has served as its Chief Financial Officer since January 2024. Ms. Chicko has been consulting as a chief financial officer to various life science companies since October 2019. Ms. Chicko previously served as chief financial officer of Scholar Rock from April 2018 through October 2019 and vice president of finance at Editas Medicine from September 2015 through March 2018. From 2005 to 2015, Ms. Chicko worked at Ironwood Pharmaceuticals, Inc. in financial roles of increasing responsibility, culminating as senior director, finance and tax. Earlier in her career, Ms. Chicko held a range of positions at investment management and accounting firms, including Wellington Management Company, LLP and PricewaterhouseCoopers, LLP. Ms. Chicko holds a M.S.T. from Bentley University and a B.S. in accounting from Le Moyne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Errol B. De Souza, Ph.D</w:t>
      </w:r>
      <w:r>
        <w:rPr>
          <w:rFonts w:ascii="Times New Roman" w:hAnsi="Times New Roman"/>
          <w:b/>
          <w:i/>
          <w:sz w:val="20"/>
        </w:rPr>
        <w:t>.</w:t>
      </w:r>
      <w:r>
        <w:rPr>
          <w:rFonts w:ascii="Times New Roman" w:hAnsi="Times New Roman"/>
          <w:sz w:val="20"/>
        </w:rPr>
        <w:t xml:space="preserve"> has served as a member of the Cyclerion Board since April 2021 and is the current Chairman of the Cyclerion Board. Dr. De Souza was the executive chairman of Neuphoria Therapeutics Inc. (formerly known as Bionomics Limited) from November 2018 to December 2022, non-executive chairman from January 2023 to June 2023 and a member of its board of directors until November 2023. Previously, Dr. De Souza served as president, chief executive officer, and member of the board of directors of several companies, including Neuropore Therapies, Inc. from January 2017 to December 2019, Biodel, Inc. from March 2010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January 2016, Archemix Corp from April 2003 to March 2009 and Synaptic Pharmaceutical Corporation from September 2002 to March 2003. From September 1998 to September 2002, Dr. De Souza held senior vice president roles at Hoechst Marion Roussel Pharmaceuticals, Inc. and Aventis Pharmaceuticals, Inc. He was also founder, chief scientific officer and member of the board of directors at Neurocrine Biosciences, Inc. from October 1992 to August 1998 and head of CNS Diseases Research at DuPont Merck from May 1990 to October 1992. Dr. De Souza is currently a member of the board of directors of Alector Inc. and Royalty Pharma, Inc. He has previously served on the board of directors of Catalyst Biosciences, Inc., Targacept, Inc., IDEXX Laboratories, Palatin Technologies, Inc. and a number of private company boards. Dr. De Souza received a B.A. in physiology and a Ph.D. in endocrinology from the University of Toronto. Dr. De Souza brings extensive strategic and CNS experience as an executive in the bio-pharmaceutical industry, having founded companies and served as executive chairman, president, and chief executive officer of several private and public bio-pharmaceutical companies,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Peter M. Hecht, Ph.D.</w:t>
      </w:r>
      <w:r>
        <w:rPr>
          <w:rFonts w:ascii="Times New Roman" w:hAnsi="Times New Roman"/>
          <w:sz w:val="20"/>
        </w:rPr>
        <w:t xml:space="preserve"> has been a member of the Cyclerion Board since Cyclerion commenced operations as an independent company in April 2019 and was Cyclerion’s Chief Executive Officer from April 2019 to November 2023. Dr. Hecht presently serves as the chief executive officer of Tisento Therapeutics, Inc., a privately-held biotechnology company and as a member of its board of directors. Previously, he served as the chief executive officer of Ironwood Pharmaceuticals, Inc. and as a member of its board of directors from its founding in 1998 to March 2019. Under Dr. Hecht’s leadership, the Ironwood Pharmaceuticals, Inc. team built a robust pipeline and grew it into a commercial biotechnology company that discovered, developed, and is now commercializing LINZESS® - the blockbuster branded prescription market leader in its class. Prior to co-founding Ironwood Pharmaceuticals Inc, Dr. Hecht was a research fellow at Whitehead Institute for Biomedical Research. Dr. Hecht also serves on the boards of directors of Kallyope Inc. and Mythic Therapeutics, both privately held biotechnology companies. Dr. Hecht earned a B.S. in Mathematics and an M.S. in Biology from Stanford University, and a Ph.D. in molecular biology from the University of California at Berkeley. Dr. Hecht’s experiences as the founder of several innovative biotechnology companies, his tenure as the chief executive officer and a board member of each of Microbia, Ironwood Pharmaceuticals, Inc., Cyclerion and Tisento Therapeutics, Inc., and his extensive scientific background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Michael J. Higgins</w:t>
      </w:r>
      <w:r>
        <w:rPr>
          <w:rFonts w:ascii="Times New Roman" w:hAnsi="Times New Roman"/>
          <w:sz w:val="20"/>
        </w:rPr>
        <w:t xml:space="preserve"> has been a member of the Cyclerion Board since November 2023. Mr. Higgins was appointed chairman of the board of directors of Voyager Therapeutics, Inc., in June 2019 and also served as Voyager Therapeutics, Inc.’s interim president and chief executive officer from June 2021 to March 2022. Mr. Higgins has served as chairman of the board of directors of Pulmatrix, Inc., since April 2020, and has served as a member of the boards of directors of Nocion Therapeutics, Inc., a privately held biopharmaceutical company, since September 2020; Camp4 Therapeutics Corporation, since October 2017; Sea Pharmaceuticals, LLC, a privately held pharmaceutical company, since October 2016; and KinDex Pharmaceuticals, Inc., a privately held biotechnology company, since March 2016. Mr. Higgins previously served as a member of the board of directors of Genocea Biosciences Inc. from February 2015 to May 2022. Mr. Higgins is a serial entrepreneur who has helped launch and build numerous companies during his career. He served as entrepreneur-in-residence at Polaris Partners, an investment company, from 2015 to 2020. From 2003 to 2014 he served as senior vice president, chief operating officer at Ironwood Pharmaceuticals, Inc.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Mr. Higgins’ financial and business expertise, including his diversified background as an executive officer in public pharmaceuticals companies, qualifies him to serve as a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Steven E. Hyman, M.D.</w:t>
      </w:r>
      <w:r>
        <w:rPr>
          <w:rFonts w:ascii="Times New Roman" w:hAnsi="Times New Roman"/>
          <w:sz w:val="20"/>
        </w:rPr>
        <w:t xml:space="preserve"> has served as a member of the Cyclerion Board since July 2022. Dr. Hyman is a Distinguished Service Professor and Harald McPike Professor of Stem Cell and Regenerative Biology at Harvard University and a Core Institute Member of the Broad Institute of MIT and Harvard where he directs the Broad Program in Brain Health. Dr. Hyman also serves as chairman of the board of directors of the Charles A. Dana Foundation (NY). In the private sector, Dr. Hyman is founder of Emugen Therapeutics, a director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Voyager Therapeutics, Q-State Biosciences and Vesalius, and serves on the scientific advisory boards of Janssen and F-Prime Capital. From 2001 to 2011, Dr. Hyman served as Provost (Chief Academic Officer) of Harvard University, and from 1996 to 2001, as Director of the National Institute of Mental Health (NIMH), a component of the US National Institutes of Health. Dr. Hyman has served as Editor of the Annual Review of Neuroscience (2002-2016), founding President of the International Neuroethics Society (2008-2013), President of the Society for Neuroscience (2015), and President of the American College of Neuropsychopharmacology (2018). Dr. Hyman is a fellow of the American Academy of Arts and Sciences, a fellow of the American Association for the Advancement of Science, and a member of the National Academy of Medicine. Dr. Hyman received his B.A. from Yale College, an M.A. from the University of Cambridge, which Dr. Hyman attended as a Mellon fellow studying history and philosophy of science, and an M.D. from Harvard Medical School. Dr. Hyman brings a deep expertise as a world-renowned leader in neuroscience leading large-scale, collaborative research programs aimed to discover and develop novel biomarkers and therapeutics for neuropsychiatric diseases,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Dina Katabi, Ph.D.</w:t>
      </w:r>
      <w:r>
        <w:rPr>
          <w:rFonts w:ascii="Times New Roman" w:hAnsi="Times New Roman"/>
          <w:sz w:val="20"/>
        </w:rPr>
        <w:t xml:space="preserve"> has been a member of the Cyclerion Board since November 2023. Dr. Katabi is the co-founder and president of Emerald Innovations, a health analytics company that specializes in digital health solutions for passive, contactless in-home monitoring. Dr. Katabi is also the inaugural Thuan and Nicole Pham Professor of Electrical Engineering and Computer Science and the Director of the Massachusetts Institute of Technology’s Center for Wireless Networks and Mobile Computing. Dr. Katabi is a MacArthur Fellow and a member of the National Academy of Engineering (NAE), the National Academy of Sciences (NAS), and the American Association of Arts and Sciences (AAAS). Dr. Katabi’s research focuses on advanced wireless sensing, applied machine learning, and digital health. Several startups have been spun out of Dr. Katabi’s lab. Dr. Katabi has received three honorary degrees from the American University of Beirut, the American University of Cairo, and the Catholic University of America. Dr. Katabi received her Ph.D. and M.S. in computer science from MIT and her B.S. from Damascus University. Dr. Katabi’s scientific background and experiences make her a valuable member of the Cyclerion Board.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required under the listing standards of the Nasdaq Capital Market, a majority of the members of a listed company’s Board of Directors must qualify as “independent,” as affirmatively determined by the Board of Directors. The Cyclerion Board consults with Cyclerion’s counsel to ensure that the Cyclerion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identified transactions or relationships between each director, or any of his or her family members, and Cyclerion, its senior management and its independent auditors, the Cyclerion Board has affirmatively determined that the following four directors satisfy the independence standard established by the Nasdaq listing standards, as well as the Corporate Governance Guidelines adopted by the Cyclerion Board: Drs. Hyman, Katabi and De Souza and Mr. Higgins. In making this determination, the Cyclerion Board found that none of these individuals had a material or other disqualifying relationship with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an independent Chairman, Dr. De Souza, who has authority, among other things, to call and preside over Cyclerion Board meetings, including meetings of the independent directors, to set meeting agendas and to determine materials to be distributed to the Cyclerion Board. Accordingly, the Cyclerion Board Chairman has substantial ability to shape the work of the Cyclerion Board. Cyclerion believes that separation of the positions of Board Chairman and Chief Executive Officer or President reinforces the independence of the Cyclerion Board in its oversight of the business and affairs of Cyclerion. In addition, Cyclerion believes that having an independent Board Chairman creates an environment that is more conducive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 evaluation and oversight of management’s performance, increasing management accountability and improving the ability of the Cyclerion Board to monitor whether management’s actions are in the best interests of Cyclerion and its shareholders. As a result, Cyclerion believes that having an independent Board Chairman can enhance the effectiveness of the Cyclerion Board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Cyclerion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Cyclerion Board’s functions is informed, tailored oversight of Cyclerion’s risk management process. The Cyclerion Board oversees risk directly through the Cyclerion Board as a whole, as well as through various Cyclerion Board standing committees that address risks specific to their respective areas of oversight. In particular, the Cyclerion Board is responsible for monitoring and assessing strategic risk exposure, including a determination of the nature and level of risk appropriate for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has implemented and continues to refine an enterprise risk management process. On an ongoing basis, Cyclerion identifies key risks, assess their potential impact and likelihood, and, where appropriate, implement operational measures and controls or purchase insurance coverage in order to help ensure adequate risk mitigation. Periodically, key risks, status of mitigation activities, and potential new or emerging risks are reported to and discussed with senior management and further addressed with the Cyclerion Board, as necessary. On at least an annual basis, a long-term comprehensive enterprise risk management update is provided to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Cyclerion’s Audit Committee has the responsibility to consider and discuss Cyclerion’s major financial and IT risk exposure and the approach management uses to monitor and control this exposure, including guidelines and policies to govern the risk management processes. The Audit Committee also monitors compliance with legal and regulatory requirements, in addition to oversight of the performance of our internal audit function. </w:t>
      </w:r>
    </w:p>
    <w:p>
      <w:pPr>
        <w:pStyle w:val="TextBody"/>
        <w:bidi w:val="0"/>
        <w:spacing w:before="240" w:after="0"/>
        <w:jc w:val="left"/>
        <w:rPr>
          <w:rFonts w:ascii="Times New Roman" w:hAnsi="Times New Roman"/>
          <w:sz w:val="20"/>
        </w:rPr>
      </w:pPr>
      <w:r>
        <w:rPr>
          <w:rFonts w:ascii="Times New Roman" w:hAnsi="Times New Roman"/>
          <w:sz w:val="20"/>
        </w:rPr>
        <w:t xml:space="preserve">Cyclerion’s Nominating and Corporate Governance Committee monitors the effectiveness of Cyclerion’s Corporate Governance Guidelines, including whether they are successful in preventing illegal or improper liability-creating conduct.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Committee oversees and reviews Cyclerion’s compensation policies and programs to ensure that they encourage an appropriate balance of risk and reward, and that they align management’s incentives with those of Cyclerion’s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of Directors, Attendance and Overboarding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met eight times and acted by written consent on several occasions in 2025. No director attended less than 75% of the meetings of the Cyclerion Board and its committees on which he or she served.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provided in Cyclerion’s Corporate Governance Guidelines, all directors are expected to be able to dedicate sufficient time to ensure the diligent performance of his or her duties on Cyclerion’s behalf, including attending Cyclerion Board and applicable committee meetings as well as the annual meetings of shareholders. All of Cyclerion’s directors attended the 2025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Cyclerion’s Corporate Governance Guidelines also provide that directors should not serve on more than a total of four public company boards of directors and that directors who hold the position of Chief Executive Officer of a public company should not serve on more than a total of two public company boards of directors (including the board of his or her own company). Cyclerion also expects that each director will avoid circumstances that create an actual or perceived conflict of interest and has a process in place to appropriately evaluate any perceived conflict of interest. Cyclerion’s Nominating and Corporate Governance Committee and the Cyclerion Board regularly evaluate its directors’ commitments at other public companies to confirm compliance with Cyclerion’s overboarding policy, discussed above, and to ensure that they are able to devote sufficient time to their duties at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Regarding Committees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three committees: (a) an Audit Committee, (b) a Compensation Committee and (c) a Nominating and Corporate Governance Committee, each of which operates pursuant to a charter adopted by the Cyclerion Board. The following table provides membership of each Cyclerion Board committee.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7"/>
        <w:gridCol w:w="466"/>
        <w:gridCol w:w="1145"/>
        <w:gridCol w:w="466"/>
        <w:gridCol w:w="1491"/>
        <w:gridCol w:w="466"/>
        <w:gridCol w:w="3094"/>
      </w:tblGrid>
      <w:tr>
        <w:trPr/>
        <w:tc>
          <w:tcPr>
            <w:tcW w:w="3077"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0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66"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83"/>
              <w:jc w:val="center"/>
              <w:rPr/>
            </w:pPr>
            <w:r>
              <w:rPr>
                <w:b/>
              </w:rPr>
              <w:t>Audit</w:t>
            </w:r>
            <w:r>
              <w:rPr/>
              <w:br/>
            </w:r>
            <w:r>
              <w:rPr>
                <w:b/>
              </w:rPr>
              <w:t>Committee</w:t>
            </w:r>
          </w:p>
        </w:tc>
        <w:tc>
          <w:tcPr>
            <w:tcW w:w="466" w:type="dxa"/>
            <w:tcBorders/>
            <w:vAlign w:val="bottom"/>
          </w:tcPr>
          <w:p>
            <w:pPr>
              <w:pStyle w:val="TableContents"/>
              <w:bidi w:val="0"/>
              <w:spacing w:before="0" w:after="283"/>
              <w:jc w:val="left"/>
              <w:rPr/>
            </w:pPr>
            <w:r>
              <w:rPr/>
              <w:t>  </w:t>
            </w:r>
          </w:p>
        </w:tc>
        <w:tc>
          <w:tcPr>
            <w:tcW w:w="1491" w:type="dxa"/>
            <w:tcBorders>
              <w:bottom w:val="single" w:sz="8" w:space="0" w:color="000000"/>
            </w:tcBorders>
            <w:tcMar>
              <w:bottom w:w="28" w:type="dxa"/>
            </w:tcMar>
            <w:vAlign w:val="bottom"/>
          </w:tcPr>
          <w:p>
            <w:pPr>
              <w:pStyle w:val="TableContents"/>
              <w:bidi w:val="0"/>
              <w:spacing w:before="0" w:after="283"/>
              <w:jc w:val="center"/>
              <w:rPr/>
            </w:pPr>
            <w:r>
              <w:rPr>
                <w:b/>
              </w:rPr>
              <w:t>Compensation</w:t>
            </w:r>
            <w:r>
              <w:rPr/>
              <w:br/>
            </w:r>
            <w:r>
              <w:rPr>
                <w:b/>
              </w:rPr>
              <w:t>Committee</w:t>
            </w:r>
          </w:p>
        </w:tc>
        <w:tc>
          <w:tcPr>
            <w:tcW w:w="466" w:type="dxa"/>
            <w:tcBorders/>
            <w:vAlign w:val="bottom"/>
          </w:tcPr>
          <w:p>
            <w:pPr>
              <w:pStyle w:val="TableContents"/>
              <w:bidi w:val="0"/>
              <w:spacing w:before="0" w:after="283"/>
              <w:jc w:val="left"/>
              <w:rPr/>
            </w:pPr>
            <w:r>
              <w:rPr/>
              <w:t>  </w:t>
            </w:r>
          </w:p>
        </w:tc>
        <w:tc>
          <w:tcPr>
            <w:tcW w:w="309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Nominating and</w:t>
            </w:r>
          </w:p>
          <w:p>
            <w:pPr>
              <w:pStyle w:val="TableContents"/>
              <w:bidi w:val="0"/>
              <w:spacing w:before="0" w:after="0"/>
              <w:jc w:val="center"/>
              <w:rPr>
                <w:rFonts w:ascii="Times New Roman" w:hAnsi="Times New Roman"/>
                <w:b/>
                <w:sz w:val="16"/>
              </w:rPr>
            </w:pPr>
            <w:r>
              <w:rPr>
                <w:rFonts w:ascii="Times New Roman" w:hAnsi="Times New Roman"/>
                <w:b/>
                <w:sz w:val="16"/>
              </w:rPr>
              <w:t>Corporate Governance</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466"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center"/>
              <w:rPr/>
            </w:pPr>
            <w:r>
              <w:rPr/>
              <w:t>I</w:t>
            </w:r>
          </w:p>
        </w:tc>
        <w:tc>
          <w:tcPr>
            <w:tcW w:w="46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center"/>
              <w:rPr/>
            </w:pPr>
            <w:r>
              <w:rPr/>
              <w:t>C</w:t>
            </w:r>
          </w:p>
        </w:tc>
        <w:tc>
          <w:tcPr>
            <w:tcW w:w="466" w:type="dxa"/>
            <w:tcBorders/>
            <w:shd w:fill="CCEEFF" w:val="clear"/>
            <w:vAlign w:val="bottom"/>
          </w:tcPr>
          <w:p>
            <w:pPr>
              <w:pStyle w:val="TableContents"/>
              <w:bidi w:val="0"/>
              <w:spacing w:before="0" w:after="283"/>
              <w:jc w:val="left"/>
              <w:rPr/>
            </w:pPr>
            <w:r>
              <w:rPr/>
              <w:t>  </w:t>
            </w:r>
          </w:p>
        </w:tc>
        <w:tc>
          <w:tcPr>
            <w:tcW w:w="3094" w:type="dxa"/>
            <w:tcBorders/>
            <w:shd w:fill="CCEEFF" w:val="clear"/>
            <w:vAlign w:val="bottom"/>
          </w:tcPr>
          <w:p>
            <w:pPr>
              <w:pStyle w:val="TableContents"/>
              <w:bidi w:val="0"/>
              <w:spacing w:before="0" w:after="283"/>
              <w:jc w:val="left"/>
              <w:rPr>
                <w:sz w:val="4"/>
                <w:szCs w:val="4"/>
              </w:rPr>
            </w:pPr>
            <w:r>
              <w:rPr>
                <w:sz w:val="4"/>
                <w:szCs w:val="4"/>
              </w:rPr>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Michael J. Higgins.</w:t>
            </w:r>
          </w:p>
        </w:tc>
        <w:tc>
          <w:tcPr>
            <w:tcW w:w="466"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center"/>
              <w:rPr/>
            </w:pPr>
            <w:r>
              <w:rPr/>
              <w:t>C</w:t>
            </w:r>
          </w:p>
        </w:tc>
        <w:tc>
          <w:tcPr>
            <w:tcW w:w="46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center"/>
              <w:rPr/>
            </w:pPr>
            <w:r>
              <w:rPr/>
              <w:t>I</w:t>
            </w:r>
          </w:p>
        </w:tc>
        <w:tc>
          <w:tcPr>
            <w:tcW w:w="466" w:type="dxa"/>
            <w:tcBorders/>
            <w:vAlign w:val="bottom"/>
          </w:tcPr>
          <w:p>
            <w:pPr>
              <w:pStyle w:val="TableContents"/>
              <w:bidi w:val="0"/>
              <w:spacing w:before="0" w:after="283"/>
              <w:jc w:val="left"/>
              <w:rPr/>
            </w:pPr>
            <w:r>
              <w:rPr/>
              <w:t>  </w:t>
            </w:r>
          </w:p>
        </w:tc>
        <w:tc>
          <w:tcPr>
            <w:tcW w:w="3094" w:type="dxa"/>
            <w:tcBorders/>
            <w:vAlign w:val="bottom"/>
          </w:tcPr>
          <w:p>
            <w:pPr>
              <w:pStyle w:val="TableContents"/>
              <w:bidi w:val="0"/>
              <w:spacing w:before="0" w:after="283"/>
              <w:jc w:val="left"/>
              <w:rPr>
                <w:sz w:val="4"/>
                <w:szCs w:val="4"/>
              </w:rPr>
            </w:pPr>
            <w:r>
              <w:rPr>
                <w:sz w:val="4"/>
                <w:szCs w:val="4"/>
              </w:rPr>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466"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center"/>
              <w:rPr/>
            </w:pPr>
            <w:r>
              <w:rPr/>
              <w:t>I  </w:t>
            </w:r>
          </w:p>
        </w:tc>
        <w:tc>
          <w:tcPr>
            <w:tcW w:w="46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left"/>
              <w:rPr>
                <w:sz w:val="4"/>
                <w:szCs w:val="4"/>
              </w:rPr>
            </w:pPr>
            <w:r>
              <w:rPr>
                <w:sz w:val="4"/>
                <w:szCs w:val="4"/>
              </w:rPr>
            </w:r>
          </w:p>
        </w:tc>
        <w:tc>
          <w:tcPr>
            <w:tcW w:w="466" w:type="dxa"/>
            <w:tcBorders/>
            <w:shd w:fill="CCEEFF" w:val="clear"/>
            <w:vAlign w:val="bottom"/>
          </w:tcPr>
          <w:p>
            <w:pPr>
              <w:pStyle w:val="TableContents"/>
              <w:bidi w:val="0"/>
              <w:spacing w:before="0" w:after="283"/>
              <w:jc w:val="left"/>
              <w:rPr/>
            </w:pPr>
            <w:r>
              <w:rPr/>
              <w:t>  </w:t>
            </w:r>
          </w:p>
        </w:tc>
        <w:tc>
          <w:tcPr>
            <w:tcW w:w="3094" w:type="dxa"/>
            <w:tcBorders/>
            <w:shd w:fill="CCEEFF" w:val="clear"/>
            <w:vAlign w:val="bottom"/>
          </w:tcPr>
          <w:p>
            <w:pPr>
              <w:pStyle w:val="TableContents"/>
              <w:bidi w:val="0"/>
              <w:spacing w:before="0" w:after="283"/>
              <w:jc w:val="center"/>
              <w:rPr/>
            </w:pPr>
            <w:r>
              <w:rPr/>
              <w:t>C</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466"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3094" w:type="dxa"/>
            <w:tcBorders/>
            <w:vAlign w:val="bottom"/>
          </w:tcPr>
          <w:p>
            <w:pPr>
              <w:pStyle w:val="TableContents"/>
              <w:bidi w:val="0"/>
              <w:spacing w:before="0" w:after="283"/>
              <w:jc w:val="center"/>
              <w:rPr/>
            </w:pPr>
            <w:r>
              <w:rPr/>
              <w:t>I</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
        <w:gridCol w:w="204"/>
        <w:gridCol w:w="9696"/>
      </w:tblGrid>
      <w:tr>
        <w:trPr/>
        <w:tc>
          <w:tcPr>
            <w:tcW w:w="3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sz w:val="20"/>
              </w:rPr>
            </w:pPr>
            <w:r>
              <w:rPr>
                <w:sz w:val="20"/>
              </w:rPr>
              <w:t>C=</w:t>
            </w:r>
          </w:p>
        </w:tc>
        <w:tc>
          <w:tcPr>
            <w:tcW w:w="204"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Committee Chairperson</w:t>
            </w:r>
          </w:p>
        </w:tc>
      </w:tr>
      <w:tr>
        <w:trPr>
          <w:trHeight w:val="120" w:hRule="atLeast"/>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I=</w:t>
            </w:r>
          </w:p>
        </w:tc>
        <w:tc>
          <w:tcPr>
            <w:tcW w:w="204"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Independent Committee Member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the Cyclerion Audit Committee, the Compensation Committee, and the Nominating and Corporate Governance Committee. Each such committee has authority to engage legal counsel or other experts or consultants, as it deems necessary to carry out its responsibilities. The Cyclerion Board has determined that each member of each such committee meets the applicable Nasdaq rules and regulations regarding “independence” and each member is free of any relationship that would impair his or her individual exercise of independent judgment with regard to Cyclerion. </w:t>
      </w:r>
    </w:p>
    <w:p>
      <w:pPr>
        <w:pStyle w:val="TextBody"/>
        <w:bidi w:val="0"/>
        <w:spacing w:before="36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Cyclerion Board was established by the Cyclerion Board in accordance with Section 3(a)(58)(A) of the Exchange Act, to oversee Cyclerion’s corporate accounting and financial reporting processes and audits of its financial statements. For this purpose, the Audit Committee performs several functions. The Audit Committee is responsible for,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2"/>
        <w:gridCol w:w="9395"/>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Cyclerion’s annual and quarterly financial statements, earnings releases and related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the quality and adequacy of internal controls and internal auditing procedures, including any material weaknesses in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any significant risks or exposures facing Cyclerion and the related mitigation plans, and reviewing Cyclerion’s compliance with such mitigation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the quality and acceptability of Cyclerion’s accounting policies and all material correcting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retaining, overseeing and approving the compensation for and, when necessary, terminating Cyclerion’s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all audit services and all permitted non-audit, tax and other services to be performed by Cyclerion’s independent registered public accounting firm, in each case, in accordance with the Audit Committee’s pre-approval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Cyclerion’s independent registered public accounting firm its independence and ensuring that it receives the written disclosures regarding these communications required by the Public Company Accounting Oversight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whether the audited financial statements should be included in Cyclerion’s annual report and preparing the report of Cyclerion’s Audit Committee required by SEC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Cyclerion’s independent registered public accounting firm all material communications between Cyclerion’s management and Cyclerion’s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updating and recommending to the Cyclerion Board changes to Cyclerion’s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integrity of Cyclerion’s information technology systems, processes and data and reviewing and assessing with management the adequacy of security for such technology systems, processes and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investigation and treatment of accounting related complaints and concerns.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is currently composed of three directors: Mr. Higgins, who serves as Chair, Dr. De Souza and Dr. Hyman. Each member of the Audit Committee is financially literate and has accounting or related financial management expertise. The Audit Committee met five times during fiscal year 2025. The Cyclerion Board has adopted a written Audit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Cyclerion reviews the Nasdaq listing standards definition of independence for Audit Committee members on an annual basis and has determined that all members of Cyclerion’s Audit Committee are independent (as independence is currently defined in Rule 5605(c)(2)(A)(i) and (ii) of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also determined that Mr. Higgins qualifies as an “audit committee financial expert,” as defined under applicable SEC rules. The Cyclerion Board made a qualitative assessment of Mr. Higgins’ level of knowledge and experience based on a number of factors, including his formal education and prior experience at public reporting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the Cyclerion Board acts on behalf of the Cyclerion Board to, among other things, administer Cyclerion’s compensation policies and human resources philosophy, and to enable Cyclerion to attract and motivate qualified personnel and advise the Cyclerion Board regarding, and facilitate the Cyclerion Board’s oversight of, the compensation of members of the Cyclerion Board and Cyclerion’s CEO and other executive officers. The Compensation Committee is responsible for,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Cyclerion Board annually, corporate goals and objectives relevant to executive officer compensation and evaluating and approving the performance of executive officers in light of those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executive officer compensation, including salary, bonus and incentive compensation, deferred compensation, perquisites, equity compensation, benefits provided upon retirement, severance or other termination of employment and any other forms of executive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Cyclerion’s President and Chief Executive Officer’s compensation based on its evaluation of Cyclerion’s President and Chief Executive Officer’s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Cyclerion Board, or approving, any contracts or other transactions with Cyclerion’s current or former executive officers, including consulting arrangements, employment contracts, severance or termination arrangements and loans to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Cyclerion’s incentive compensation plans and equity-based plans and recommending to the Cyclerion Board the adoption of new incentive compensation plans and equity-based plans and any amendments to Cyclerion’s existing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compensation and benefits paid to directors for service on the Cyclerion Board the committees thereof and recommending any changes in such compensation and benefits to the Cyclerion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Cyclerion’s management succession and development plans, including plans with respect to Cyclerion’s Chief Executive Officer and President;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any compensation related material required to be included in Cyclerion’s filings with the SEC and recommending to the Cyclerion Board whether such compensation related material should be included in such filings.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currently composed of two directors: Dr. De Souza, who serves as Chair and Mr. Higgins. All members of Cyclerion’s Compensation Committee are independent (as independence is currently defined in Rule 5605(d)(2) of the Nasdaq listing standards), and each of whom qualifies as a “non-employee director” (within the meaning of Rule 16b-3 of the Exchange Act) and an “outside director” (within the meaning of Section 162(m) of the Internal Revenue Code of 1986, as amended (the “Code”)). The Compensation Committee met three times and acted by written consent on several occasions during fiscal year 2025. The Cyclerion Board has adopted a written Compensation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Typically, the Compensation Committee meets twice per year and with greater frequency if necessary. The agenda for each meeting is usually developed by the Chair of the Compensation Committee, in consultation with the Chief Executive Officer and President. The Compensation Committee does not currently retain a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and President may not participate in, or be present during, any deliberations or determinations of the Compensation Committee regarding her compensation or individual performance objectives. Under the Compensation Committee’s charter, it has the authority to obtain, at the expense of the Company, advice and assistance from compensation consultants and legal, accounting or other advisors that the Compensation Committee considers necessary or appropriate in the performance of its duties. In particular, the Compensation Committee has the authority to retain, in its sole discretion, compensation consultants to assist in its evaluation of executive and director compensation, including the authority to approve the consultant’s fees and other retention terms. Under the charter, the Compensation Committee may select, or receive advice from, a compensation consultant, legal counsel or other adviser to the Compensation Committee, and certain other types of advisers, only after taking into consideration six factors, prescribed by the SEC and Nasdaq, that bear upon the adviser’s independence; however, there is no requirement that such independence assessment be undertaken when the advisers role is limited to consulting on broad based plans generally available to all salaried employees, or providing non-customized information. </w:t>
      </w:r>
    </w:p>
    <w:p>
      <w:pPr>
        <w:pStyle w:val="TextBody"/>
        <w:bidi w:val="0"/>
        <w:spacing w:before="36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of the Board of Directors is responsible for,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Cyclerion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the persons to be nominated for election 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Cyclerion Board in recruiting such nominees;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qualified individuals to serve as committee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performing an annual evaluation of the Cyclerion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need and, if necessary, creating a plan for the continuing education of Cyclerion’s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approving any requests from Cyclerion’s executive officers to serve on the board of directors of another for-profit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and reviewing Cyclerion’s Corporate Governance Guidelines and recommending any changes to the Cyclerion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is composed of two directors: Dr. Hyman, who serves as Chair, and Dr. Katabi. Each member of the Nominating and Corporate Governance Committee is independent (as independence is currently defined in Rule 5605(a)(2) of the Nasdaq listing standards). The Nominating and Corporate Governance Committee met three times during fiscal 2025 and took action by written consent once. The Cyclerion Board has adopted a written Nominating and Corporate Governance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the policy of the Cyclerion Board that directors should possess strong personal and professional ethics, integrity and values, demonstrate a keen understanding of, and enthusiasm for, Cyclerion, its business and its industry, and be committed to representing the long-term interests of Cyclerion’s shareholders. The composition of the Cyclerion Board should also encompass a range of talents, ages, skills, diversity, business experience and clinical/scientific expertise sufficient to provide sound and prudent oversight with respect to the operations and interests of Cyclerion.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potential nominees for director, the Nominating and Corporate Governance Committee looks to maintain a balance of perspectives, qualifications, qualities and skills on the Cyclerion Board, and will look for nominees who exhibit, among other qualities: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highest professional and personal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 experience in business, the biopharmaceutical industry, government or science;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provide insights and practical wisdom based on their experience and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enhancing shareholder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time to carry out their duties effectively (their service on other boards of public companies should be limited as set forth in Cyclerion’s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develop a good working relationship with other Cyclerion Board members and contribute to the Cyclerion Board’s working relationship with senior management of Cyclerion;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exceptional cases, satisfy the independence standards established by the Nasdaq listing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such other factors as it may deem are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 is committed to inclusion and diversity within the Cyclerion Board and confirms that its policy of non-discrimination based on race, color, religion, gender, national origin, ethnicity, age, disability, veteran status, pregnancy, marital status, sexual orientation or any other reason prohibited by applicable law applies in the assessment and selection of all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 may use any process it deems appropriate for the purpose of evaluating candidates that is consistent with the policies set forth in the Cyclerion Organizational Documents, Cyclerion’s Corporate Governance Guidelines and Cyclerion’s policy, which process may include, without limitation, personal interviews, background checks, written submissions by the candidates and third-party references. Although the Nominating and Corporate Governance Committee may seek candidates that have different qualities and experiences at different times in order to maximize the aggregate experience, qualities and strengths of the Cyclerion Board members, nominees for each election or appointment of directors shall be evaluated using a substantially similar process and under no circumstances shall the Nominating and Corporate Governance Committee evaluate nominees recommended by a shareholder of Cyclerion pursuant to a process substantially different than that used for other nominees for the same election or appointment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will consider any written or electronic communication from Cyclerion’s shareholders to the Cyclerion Board, a committee of the Cyclerion Board or any individual director. Any shareholder who wishes to communicate to the Cyclerion Board, a committee of the Cyclerion Board or any individual director should submit written or electronic communications to our secretary at our principal offices, which shall include contact information for such shareholder. All communications from shareholders received shall be forwarded by Cyclerion’s secretary to the appropriate recipient(s) on a periodic basis, but in any event no later than the Cyclerion Board’s next scheduled meeting. The appropriate recipient(s) will consider and review carefully any communications from shareholders forwarded by Cyclerion’s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Code of Business Conduct and Ethics, Insider Trading Policy and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adopted Corporate Governance Guidelines that set forth the responsibilities of the Cyclerion Board and the qualifications and independence of its members and the members of its standing committees. In addition, the Cyclerion Board adopted a Code of Business Conduct and Ethics setting forth standards applicable to all of Cyclerion’s directors, officers and employees. The Corporate Governance Guidelines and Code of Business Conduct and Ethics are available on Cyclerion’s website at </w:t>
      </w:r>
      <w:r>
        <w:rPr>
          <w:rFonts w:ascii="Times New Roman" w:hAnsi="Times New Roman"/>
          <w:i/>
          <w:sz w:val="20"/>
        </w:rPr>
        <w:t>www.cyclerion.com</w:t>
      </w:r>
      <w:r>
        <w:rPr>
          <w:rFonts w:ascii="Times New Roman" w:hAnsi="Times New Roman"/>
          <w:sz w:val="20"/>
        </w:rPr>
        <w:t xml:space="preserve">. Cyclerion expects that any amendment to the code, or any waivers of its requirements, which apply to Cyclerion’s Chief Executive Officer or President, Chief Financial Officer, Chief Accounting Officer, or Corporate Controller, if any, will be disclosed on Cyclerion’s website. </w:t>
      </w:r>
    </w:p>
    <w:p>
      <w:pPr>
        <w:pStyle w:val="TextBody"/>
        <w:bidi w:val="0"/>
        <w:spacing w:before="240" w:after="0"/>
        <w:jc w:val="left"/>
        <w:rPr>
          <w:rFonts w:ascii="Times New Roman" w:hAnsi="Times New Roman"/>
          <w:sz w:val="20"/>
        </w:rPr>
      </w:pPr>
      <w:r>
        <w:rPr>
          <w:rFonts w:ascii="Times New Roman" w:hAnsi="Times New Roman"/>
          <w:sz w:val="20"/>
        </w:rPr>
        <w:t xml:space="preserve">Cyclerion has adopted an Insider Trading Prevention Policy that applies to all of Cyclerion’s employees, officers and directors, including its Chief Executive Officer and other executive officers, which prohibits such individuals from purchasing financial instruments, or otherwise engaging in transactions, that hedge or offset, or are designed to hedge or offset, any decrease in market value of Cyclerion’s common stock, such as prepaid variable forward contracts, equity swaps, collars, forward sale contracts and exchange funds. Cyclerion’s Insider Trading Prevention Policy also prohibits Cyclerion from transacting in its securities unless in compliance with applicable U.S. securities laws, rules and regulations and applicable stock exchange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Cyclerion’s insider trading compliance officer, as designated by the Cyclerion Board, a committee thereof or an executive officer of Cyclerion (the “Compliance Officer”) assists with implementing, interpreting and enforcing Cyclerion’s Insider Trading Prevention Policy, pre-clearing trading activities of certain people, and pre-approving any 10b5-1 plans; provided that if the designated Compliance Officer’s service with Cyclerion is terminated, or no one else has been designated as a Compliance Officer by the Cyclerion Board, a committee thereof or an executive officer of Cyclerion, then Cyclerion’s outside general counsel will be deemed to be the Compliance Officer for the purposes of Cyclerion’s Insider Trading Prevention Policy. Cyclerion’s Insider Trading Prevention Policy is included as Exhibit 19 to Cyclerion’s Annual Report on Form 10-K for the year ended December 31, 2025, filed with the SEC on March 30, 2026. Cyclerion will furnish to any person without charge, upon written request, a copy of Cyclerion’s Insider Trading Prevention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has adopted a Clawback Policy that applies to Executive Officers (as defined in the Clawback Policy). The Clawback Policy is included as Exhibit 97.1 to Cyclerion’s Annual Report on Form 10-K for the year ended December 31, 2025, filed with the SEC on March 30, 2026. Cyclerion will furnish to any person without charge, upon written request, a copy of the Clawback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11069_11"/>
      <w:bookmarkEnd w:id="13"/>
      <w:r>
        <w:rPr>
          <w:rFonts w:ascii="Times New Roman" w:hAnsi="Times New Roman"/>
          <w:b/>
          <w:sz w:val="20"/>
        </w:rPr>
        <w:t xml:space="preserve">CYCLERION EXECUTIVE COMPENSATION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a smaller reporting company,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Compensation Discussion and Analysis, and provide information relating to the ratio of total compensation of our Chief Executive Officer or President to the median of the annual total compensation of all of our employees.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named executive officers with respect to the years ended December 31, 2025 and December 31, 2024. Regina M. Graul, Ph.D., our President and Chief Executive Officer, joined the Company on December 1, 2023 and Rhonda M. Chicko, a consultant who serves as our Chief Financial Officer, commenced services to the Company in January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8"/>
        <w:gridCol w:w="174"/>
        <w:gridCol w:w="60"/>
        <w:gridCol w:w="500"/>
        <w:gridCol w:w="60"/>
        <w:gridCol w:w="174"/>
        <w:gridCol w:w="60"/>
        <w:gridCol w:w="808"/>
        <w:gridCol w:w="60"/>
        <w:gridCol w:w="174"/>
        <w:gridCol w:w="60"/>
        <w:gridCol w:w="808"/>
        <w:gridCol w:w="60"/>
        <w:gridCol w:w="173"/>
        <w:gridCol w:w="60"/>
        <w:gridCol w:w="808"/>
        <w:gridCol w:w="60"/>
        <w:gridCol w:w="174"/>
        <w:gridCol w:w="150"/>
        <w:gridCol w:w="944"/>
        <w:gridCol w:w="60"/>
        <w:gridCol w:w="174"/>
        <w:gridCol w:w="85"/>
        <w:gridCol w:w="1020"/>
        <w:gridCol w:w="60"/>
        <w:gridCol w:w="174"/>
        <w:gridCol w:w="60"/>
        <w:gridCol w:w="808"/>
        <w:gridCol w:w="69"/>
      </w:tblGrid>
      <w:tr>
        <w:trPr/>
        <w:tc>
          <w:tcPr>
            <w:tcW w:w="2328"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28" w:type="dxa"/>
            <w:tcBorders/>
            <w:vAlign w:val="bottom"/>
          </w:tcPr>
          <w:p>
            <w:pPr>
              <w:pStyle w:val="TableContents"/>
              <w:bidi w:val="0"/>
              <w:spacing w:before="0" w:after="283"/>
              <w:jc w:val="left"/>
              <w:rPr>
                <w:b/>
              </w:rPr>
            </w:pPr>
            <w:r>
              <w:rPr>
                <w:b/>
              </w:rPr>
              <w:t>Name and Principal Position</w:t>
            </w:r>
          </w:p>
        </w:tc>
        <w:tc>
          <w:tcPr>
            <w:tcW w:w="174"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Salary</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Bonus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Severance and</w:t>
            </w:r>
          </w:p>
          <w:p>
            <w:pPr>
              <w:pStyle w:val="TableContents"/>
              <w:bidi w:val="0"/>
              <w:spacing w:before="0" w:after="0"/>
              <w:jc w:val="center"/>
              <w:rPr>
                <w:rFonts w:ascii="Times New Roman" w:hAnsi="Times New Roman"/>
                <w:b/>
                <w:sz w:val="16"/>
              </w:rPr>
            </w:pPr>
            <w:r>
              <w:rPr>
                <w:rFonts w:ascii="Times New Roman" w:hAnsi="Times New Roman"/>
                <w:b/>
                <w:sz w:val="16"/>
              </w:rPr>
              <w:t>Separation</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All Other</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9"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420,000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52,153</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572,153</w:t>
            </w:r>
          </w:p>
        </w:tc>
        <w:tc>
          <w:tcPr>
            <w:tcW w:w="69"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390,831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125,000</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323,665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35,327</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874,823</w:t>
            </w:r>
          </w:p>
        </w:tc>
        <w:tc>
          <w:tcPr>
            <w:tcW w:w="69" w:type="dxa"/>
            <w:tcBorders/>
            <w:vAlign w:val="bottom"/>
          </w:tcPr>
          <w:p>
            <w:pPr>
              <w:pStyle w:val="TableContents"/>
              <w:bidi w:val="0"/>
              <w:spacing w:before="0" w:after="283"/>
              <w:jc w:val="left"/>
              <w:rPr/>
            </w:pPr>
            <w:r>
              <w:rPr/>
              <w:t> </w:t>
            </w:r>
          </w:p>
        </w:tc>
      </w:tr>
      <w:tr>
        <w:trPr/>
        <w:tc>
          <w:tcPr>
            <w:tcW w:w="2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Rhonda M. Chicko (4)</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355,425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53,553</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408,978</w:t>
            </w:r>
          </w:p>
        </w:tc>
        <w:tc>
          <w:tcPr>
            <w:tcW w:w="69" w:type="dxa"/>
            <w:tcBorders/>
            <w:shd w:fill="CCEEFF" w:val="clear"/>
            <w:vAlign w:val="bottom"/>
          </w:tcPr>
          <w:p>
            <w:pPr>
              <w:pStyle w:val="TableContents"/>
              <w:bidi w:val="0"/>
              <w:spacing w:before="0" w:after="283"/>
              <w:jc w:val="left"/>
              <w:rPr/>
            </w:pPr>
            <w:r>
              <w:rPr/>
              <w:t> </w:t>
            </w:r>
          </w:p>
        </w:tc>
      </w:tr>
      <w:tr>
        <w:trPr/>
        <w:tc>
          <w:tcPr>
            <w:tcW w:w="2328"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Financial Officer and Corporate Secretary</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249,900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249,900</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cash bonuses paid to Dr. Graul in 2024 and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 the fair value of a stock option award on the date of grant issued in 2024 and 2025 calculated in accordance with the provisions of Financial Accounting Standards Board Accounting Standard Codification Topic 718, Compensation—Stock Compensation, and (ii) the value of restricted stock awards based on the market value of the Company’s Common Stock on the date of grant in 2024. Each of the option grant and stock awards vest over a four-year period. For a discussion of the assumptions used in the valuation of awards, see Note 7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amounts for reimbursement for medical insurance premiums, the employer contribution to the Company’s 401(k) plan for Dr. Graul and a work from home stipend.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Chicko currently serves as a consultant to the Company and does not receive employee benefits.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our Board of Directors determines our executives’ compensation and determines the compensation of our named executive officers. For 2025, our Compensation Committee reviewed and discussed management’s proposed compensation. The three primary elements of our executive officer compensation program for Dr. Graul, our President and Chief Executive Officer, are annual base salary, non-equity incentive plan compensation, and long-term equity incentive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Base Salary and Employment Arrangements </w:t>
      </w:r>
    </w:p>
    <w:p>
      <w:pPr>
        <w:pStyle w:val="TextBody"/>
        <w:bidi w:val="0"/>
        <w:spacing w:before="120" w:after="0"/>
        <w:jc w:val="left"/>
        <w:rPr>
          <w:rFonts w:ascii="Times New Roman" w:hAnsi="Times New Roman"/>
          <w:sz w:val="20"/>
        </w:rPr>
      </w:pPr>
      <w:r>
        <w:rPr>
          <w:rFonts w:ascii="Times New Roman" w:hAnsi="Times New Roman"/>
          <w:sz w:val="20"/>
        </w:rPr>
        <w:t>Dr. Graul joined the Company and became President on December 1, 2023. Her base salary was initially set at $372,000 per year and increased in August 2024 to $420,000 per year. She received a one-time cash bonus of $75,000 in January 2024 and a one-time cash bonus of $50,000 in December 2024 and a one-time cash bonus of $20,000 in January 2025 and $80,000 in October 2025. In the event that Dr. Graul’s employment is terminated by the Company without “cause” (as defined in her offer letter, as amended), Dr. Graul is entitled to nine months base salary, twelve months of health insurance premiums, and any Company equity or equity-based awards held shall immediately accelerate and become fully vested and exercisable. Ms. Graul is also entitled to a bonus of up to $150,000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hAnsi="Times New Roman"/>
          <w:sz w:val="20"/>
          <w:u w:val="single"/>
        </w:rPr>
        <w:t>Change of Control</w:t>
      </w:r>
      <w:r>
        <w:rPr>
          <w:rFonts w:ascii="Times New Roman" w:hAnsi="Times New Roman"/>
          <w:sz w:val="20"/>
        </w:rPr>
        <w:t xml:space="preserve">”)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Ms. Chicko joined the Company in January 2024 as our Chief Financial Officer. Ms. Chicko performs her services on a part-time basis as an independent consultant and is compensated on an hourly basis for her services. In August 2025, Ms. Chicko received a stock option to purchase up to 25,000 shares, subject to certain vesting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base cash compensation of our named executive officers have been determined and approved (and are periodically reviewed) by our Compensation Committee in order to compensate our named executive officers for the satisfactory performance of duties to the Company. For Ms. Graul, annual base salary is intended to provide a fixed component of compensation, reflecting her skill set, experience, roles and responsibilities. Cash compensation for our named executive officers have been set at levels deemed necessary to attract and retain individuals with superior talent and are in line with cash compensation for similar roles at our peer group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Grants to Dr. Graul </w:t>
      </w:r>
    </w:p>
    <w:p>
      <w:pPr>
        <w:pStyle w:val="TextBody"/>
        <w:bidi w:val="0"/>
        <w:spacing w:before="120" w:after="0"/>
        <w:jc w:val="left"/>
        <w:rPr>
          <w:rFonts w:ascii="Times New Roman" w:hAnsi="Times New Roman"/>
          <w:sz w:val="20"/>
        </w:rPr>
      </w:pPr>
      <w:r>
        <w:rPr>
          <w:rFonts w:ascii="Times New Roman" w:hAnsi="Times New Roman"/>
          <w:sz w:val="20"/>
        </w:rPr>
        <w:t xml:space="preserve">Dr. Graul was granted 50,000 shares of restricted stock of the Company under the Company’s 2019 Equity Plan, pursuant to the terms and conditions of the Company’s standard form of restricted stock agreement (the “Initial Restricted Stock Grant”). The shares of the Initial Restricted Stock Grant vest based on her continued employment by the Company on each vest date: 10,000 shares of the Initial Restricted Stock Grant vested on December 1, 2023, and an additional 833 shares of the Initial Restricted Stock Grant vest on the first day of each subsequent month, for forty-seven (47) successive months, with the remaining 849 shares of the Initial Restricted Stock Grant vesting on December 1, 2027, subject to continued service through each such vesting date. Pursuant to the Company’s 2019 Equity Plan, the Compensation Committee may accelerate the vesting of all unvested restricted shares at its option.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January 1, 2024, Dr. Graul was granted an additional 50,000 shares of restricted stock of the Company under the Company’s 2019 Equity Plan, pursuant to the terms and conditions of the Company’s standard form of restricted stock agreement (the “Second Restricted Stock Grant”). The shares issued under the Second Restricted Stock Grant vest based on Dr. Graul’s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vest on January 1, 2028, subject to continued service through each such vesting date. Pursuant to the Company’s 2019 Equity Plan, the Compensation Committee may accelerate the vesting of all unvested restricted shares at its option. </w:t>
      </w:r>
    </w:p>
    <w:p>
      <w:pPr>
        <w:pStyle w:val="TextBody"/>
        <w:bidi w:val="0"/>
        <w:spacing w:before="360" w:after="0"/>
        <w:jc w:val="left"/>
        <w:rPr>
          <w:rFonts w:ascii="Times New Roman" w:hAnsi="Times New Roman"/>
          <w:b/>
          <w:sz w:val="20"/>
        </w:rPr>
      </w:pPr>
      <w:r>
        <w:rPr>
          <w:rFonts w:ascii="Times New Roman" w:hAnsi="Times New Roman"/>
          <w:b/>
          <w:sz w:val="20"/>
        </w:rPr>
        <w:t xml:space="preserve">Other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equity-based incentive awards granted to our named executive officers are designed to align the interests of our named executive officers with those of our shareholders. Vesting of equity awards is generally tied to each officer’s continuous service with us and serves as an additional incentive measure. Our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are awarded an initial new hire grant upon commencement of employment and are typically awarded annual grants in line with the practice of our peer group. Additional grants may occur periodically in order to specifically incentivize executives with respect to achieving certain corporate goals or to reward executives for exceptional performance. We generally avoid granting stock options, stock appreciation rights or similar option-like instruments in relation to the disclosure of material non-public information except to new hires or in connection with the promotion of any employee to a new position. No option was granted within four business days before and one business day after the filing of a periodic report or the filing of furnishing of a current report on Form 8-K that contains material nonpublic information (other than disclosure of a material new option award grant under Item 5.02(e) of Form 8-K).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92"/>
        <w:gridCol w:w="498"/>
        <w:gridCol w:w="105"/>
        <w:gridCol w:w="1190"/>
        <w:gridCol w:w="60"/>
        <w:gridCol w:w="498"/>
        <w:gridCol w:w="125"/>
        <w:gridCol w:w="1175"/>
        <w:gridCol w:w="60"/>
        <w:gridCol w:w="498"/>
        <w:gridCol w:w="60"/>
        <w:gridCol w:w="1546"/>
        <w:gridCol w:w="65"/>
      </w:tblGrid>
      <w:tr>
        <w:trPr/>
        <w:tc>
          <w:tcPr>
            <w:tcW w:w="2692"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5317" w:type="dxa"/>
            <w:gridSpan w:val="10"/>
            <w:tcBorders/>
            <w:vAlign w:val="bottom"/>
          </w:tcPr>
          <w:p>
            <w:pPr>
              <w:pStyle w:val="TableContents"/>
              <w:bidi w:val="0"/>
              <w:spacing w:before="0" w:after="283"/>
              <w:jc w:val="center"/>
              <w:rPr>
                <w:b/>
              </w:rPr>
            </w:pPr>
            <w:r>
              <w:rPr>
                <w:b/>
              </w:rPr>
              <w:t>Grants of Plan-Based Option Awards</w:t>
            </w:r>
          </w:p>
        </w:tc>
        <w:tc>
          <w:tcPr>
            <w:tcW w:w="65" w:type="dxa"/>
            <w:tcBorders/>
            <w:vAlign w:val="bottom"/>
          </w:tcPr>
          <w:p>
            <w:pPr>
              <w:pStyle w:val="TableContents"/>
              <w:bidi w:val="0"/>
              <w:spacing w:before="0" w:after="283"/>
              <w:jc w:val="left"/>
              <w:rPr/>
            </w:pPr>
            <w:r>
              <w:rPr/>
              <w:t> </w:t>
            </w:r>
          </w:p>
        </w:tc>
      </w:tr>
      <w:tr>
        <w:trPr/>
        <w:tc>
          <w:tcPr>
            <w:tcW w:w="2692" w:type="dxa"/>
            <w:tcBorders/>
            <w:vAlign w:val="bottom"/>
          </w:tcPr>
          <w:p>
            <w:pPr>
              <w:pStyle w:val="TableContents"/>
              <w:bidi w:val="0"/>
              <w:spacing w:before="0" w:after="283"/>
              <w:jc w:val="left"/>
              <w:rPr>
                <w:b/>
              </w:rPr>
            </w:pPr>
            <w:r>
              <w:rPr>
                <w:b/>
              </w:rPr>
              <w:t>Name of Optionee</w:t>
            </w:r>
          </w:p>
        </w:tc>
        <w:tc>
          <w:tcPr>
            <w:tcW w:w="498"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Exercisable Stock</w:t>
            </w:r>
          </w:p>
          <w:p>
            <w:pPr>
              <w:pStyle w:val="TableContents"/>
              <w:bidi w:val="0"/>
              <w:spacing w:before="0" w:after="0"/>
              <w:jc w:val="center"/>
              <w:rPr>
                <w:rFonts w:ascii="Times New Roman" w:hAnsi="Times New Roman"/>
                <w:b/>
                <w:sz w:val="16"/>
              </w:rPr>
            </w:pPr>
            <w:r>
              <w:rPr>
                <w:rFonts w:ascii="Times New Roman" w:hAnsi="Times New Roman"/>
                <w:b/>
                <w:sz w:val="16"/>
              </w:rPr>
              <w:t>Options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 Share Option</w:t>
            </w:r>
          </w:p>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Expiration</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5" w:type="dxa"/>
            <w:tcBorders/>
            <w:vAlign w:val="bottom"/>
          </w:tcPr>
          <w:p>
            <w:pPr>
              <w:pStyle w:val="TableContents"/>
              <w:bidi w:val="0"/>
              <w:spacing w:before="0" w:after="283"/>
              <w:jc w:val="left"/>
              <w:rPr/>
            </w:pPr>
            <w:r>
              <w:rPr/>
              <w:t> </w:t>
            </w:r>
          </w:p>
        </w:tc>
      </w:tr>
      <w:tr>
        <w:trPr/>
        <w:tc>
          <w:tcPr>
            <w:tcW w:w="2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Ph.D.(1)</w:t>
            </w:r>
          </w:p>
        </w:tc>
        <w:tc>
          <w:tcPr>
            <w:tcW w:w="49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19,771</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August 4, 2034</w:t>
            </w:r>
          </w:p>
        </w:tc>
        <w:tc>
          <w:tcPr>
            <w:tcW w:w="65" w:type="dxa"/>
            <w:tcBorders/>
            <w:shd w:fill="CCEEFF" w:val="clear"/>
            <w:vAlign w:val="bottom"/>
          </w:tcPr>
          <w:p>
            <w:pPr>
              <w:pStyle w:val="TableContents"/>
              <w:bidi w:val="0"/>
              <w:spacing w:before="0" w:after="283"/>
              <w:jc w:val="left"/>
              <w:rPr/>
            </w:pPr>
            <w:r>
              <w:rPr/>
              <w:t> </w:t>
            </w:r>
          </w:p>
        </w:tc>
      </w:tr>
      <w:tr>
        <w:trPr/>
        <w:tc>
          <w:tcPr>
            <w:tcW w:w="2692" w:type="dxa"/>
            <w:tcBorders/>
          </w:tcPr>
          <w:p>
            <w:pPr>
              <w:pStyle w:val="TableContents"/>
              <w:bidi w:val="0"/>
              <w:spacing w:before="0" w:after="0"/>
              <w:jc w:val="left"/>
              <w:rPr>
                <w:rFonts w:ascii="Times New Roman" w:hAnsi="Times New Roman"/>
                <w:sz w:val="20"/>
              </w:rPr>
            </w:pPr>
            <w:r>
              <w:rPr>
                <w:rFonts w:ascii="Times New Roman" w:hAnsi="Times New Roman"/>
                <w:sz w:val="20"/>
              </w:rPr>
              <w:t>Rhonda Chicko(2)</w:t>
            </w:r>
          </w:p>
        </w:tc>
        <w:tc>
          <w:tcPr>
            <w:tcW w:w="49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11,370</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August 6, 2035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incentive stock option granted in August 2024 to purchase up to 55,849 shares of the Corporation’s common stock pursuant to the 2019 Equity Incentive Plan. These 55,849 shares vest ratably in monthly installments over a 48-month period commencing August 31, 2024 and ending August 4, 2028, provided that Dr. Graul remains employed by the Company on such applicable vesting date, subject to certain exemptions.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non-qualified stock option granted in August 2025 to purchase up to 25,000 shares of the Corporation’s common stock pursuant to the 2019 Equity Incentive Plan. This option provided for immediate vesting of 8,750 shares from with the remaining unvested shares vesting ratably over a 30 month period commencing on August 31, 2025 and ending February 29, 2028, provided that Ms. Chicko remains a consultant by the Company on such applicable vesting date, subject to certain exemptions.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66"/>
        <w:gridCol w:w="437"/>
        <w:gridCol w:w="60"/>
        <w:gridCol w:w="1112"/>
        <w:gridCol w:w="60"/>
        <w:gridCol w:w="437"/>
        <w:gridCol w:w="128"/>
        <w:gridCol w:w="1472"/>
        <w:gridCol w:w="60"/>
        <w:gridCol w:w="437"/>
        <w:gridCol w:w="83"/>
        <w:gridCol w:w="947"/>
        <w:gridCol w:w="60"/>
        <w:gridCol w:w="437"/>
        <w:gridCol w:w="98"/>
        <w:gridCol w:w="1129"/>
        <w:gridCol w:w="65"/>
      </w:tblGrid>
      <w:tr>
        <w:trPr/>
        <w:tc>
          <w:tcPr>
            <w:tcW w:w="236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bottom"/>
          </w:tcPr>
          <w:p>
            <w:pPr>
              <w:pStyle w:val="TableContents"/>
              <w:bidi w:val="0"/>
              <w:spacing w:before="0" w:after="283"/>
              <w:jc w:val="left"/>
              <w:rPr>
                <w:b/>
              </w:rPr>
            </w:pPr>
            <w:r>
              <w:rPr>
                <w:b/>
              </w:rPr>
              <w:t>Name</w:t>
            </w:r>
          </w:p>
        </w:tc>
        <w:tc>
          <w:tcPr>
            <w:tcW w:w="437"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securities</w:t>
            </w:r>
          </w:p>
          <w:p>
            <w:pPr>
              <w:pStyle w:val="TableContents"/>
              <w:bidi w:val="0"/>
              <w:spacing w:before="0" w:after="0"/>
              <w:jc w:val="center"/>
              <w:rPr>
                <w:rFonts w:ascii="Times New Roman" w:hAnsi="Times New Roman"/>
                <w:b/>
                <w:sz w:val="16"/>
              </w:rPr>
            </w:pPr>
            <w:r>
              <w:rPr>
                <w:rFonts w:ascii="Times New Roman" w:hAnsi="Times New Roman"/>
                <w:b/>
                <w:sz w:val="16"/>
              </w:rPr>
              <w:t>underlying the 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0"/>
              <w:jc w:val="center"/>
              <w:rPr>
                <w:rFonts w:ascii="Times New Roman" w:hAnsi="Times New Roman"/>
                <w:b/>
                <w:sz w:val="16"/>
              </w:rPr>
            </w:pPr>
            <w:r>
              <w:rPr>
                <w:rFonts w:ascii="Times New Roman" w:hAnsi="Times New Roman"/>
                <w:b/>
                <w:sz w:val="16"/>
              </w:rPr>
              <w:t>of the award</w:t>
            </w:r>
          </w:p>
          <w:p>
            <w:pPr>
              <w:pStyle w:val="TableContents"/>
              <w:bidi w:val="0"/>
              <w:spacing w:before="0" w:after="20"/>
              <w:jc w:val="center"/>
              <w:rPr>
                <w:rFonts w:ascii="Times New Roman" w:hAnsi="Times New Roman"/>
                <w:b/>
                <w:sz w:val="16"/>
              </w:rPr>
            </w:pPr>
            <w:r>
              <w:rPr>
                <w:rFonts w:ascii="Times New Roman" w:hAnsi="Times New Roman"/>
                <w:b/>
                <w:sz w:val="16"/>
              </w:rPr>
              <w:t>($/share)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22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Grant date fair</w:t>
            </w:r>
          </w:p>
          <w:p>
            <w:pPr>
              <w:pStyle w:val="TableContents"/>
              <w:bidi w:val="0"/>
              <w:spacing w:before="0" w:after="0"/>
              <w:jc w:val="center"/>
              <w:rPr>
                <w:rFonts w:ascii="Times New Roman" w:hAnsi="Times New Roman"/>
                <w:b/>
                <w:sz w:val="16"/>
              </w:rPr>
            </w:pPr>
            <w:r>
              <w:rPr>
                <w:rFonts w:ascii="Times New Roman" w:hAnsi="Times New Roman"/>
                <w:b/>
                <w:sz w:val="16"/>
              </w:rPr>
              <w:t>value of the</w:t>
            </w:r>
          </w:p>
          <w:p>
            <w:pPr>
              <w:pStyle w:val="TableContents"/>
              <w:bidi w:val="0"/>
              <w:spacing w:before="0" w:after="20"/>
              <w:jc w:val="center"/>
              <w:rPr>
                <w:rFonts w:ascii="Times New Roman" w:hAnsi="Times New Roman"/>
                <w:b/>
                <w:sz w:val="16"/>
              </w:rPr>
            </w:pPr>
            <w:r>
              <w:rPr>
                <w:rFonts w:ascii="Times New Roman" w:hAnsi="Times New Roman"/>
                <w:b/>
                <w:sz w:val="16"/>
              </w:rPr>
              <w:t>award ($/share)</w:t>
            </w:r>
          </w:p>
        </w:tc>
        <w:tc>
          <w:tcPr>
            <w:tcW w:w="65"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4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08/05/2024</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55,849</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2.80</w:t>
            </w:r>
          </w:p>
        </w:tc>
        <w:tc>
          <w:tcPr>
            <w:tcW w:w="65"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4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08/07/2025</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2.14</w:t>
            </w:r>
          </w:p>
        </w:tc>
        <w:tc>
          <w:tcPr>
            <w:tcW w:w="65" w:type="dxa"/>
            <w:tcBorders/>
            <w:vAlign w:val="bottom"/>
          </w:tcPr>
          <w:p>
            <w:pPr>
              <w:pStyle w:val="TableContents"/>
              <w:bidi w:val="0"/>
              <w:spacing w:before="0" w:after="283"/>
              <w:jc w:val="left"/>
              <w:rPr/>
            </w:pPr>
            <w:r>
              <w:rPr/>
              <w:t> </w:t>
            </w:r>
          </w:p>
        </w:tc>
      </w:tr>
      <w:tr>
        <w:trPr>
          <w:trHeight w:val="240" w:hRule="atLeast"/>
        </w:trPr>
        <w:tc>
          <w:tcPr>
            <w:tcW w:w="2366" w:type="dxa"/>
            <w:tcBorders/>
            <w:vAlign w:val="center"/>
          </w:tcPr>
          <w:p>
            <w:pPr>
              <w:pStyle w:val="TableContents"/>
              <w:bidi w:val="0"/>
              <w:spacing w:before="0" w:after="283"/>
              <w:jc w:val="left"/>
              <w:rPr>
                <w:sz w:val="4"/>
                <w:szCs w:val="4"/>
              </w:rPr>
            </w:pPr>
            <w:r>
              <w:rPr>
                <w:sz w:val="4"/>
                <w:szCs w:val="4"/>
              </w:rPr>
            </w:r>
          </w:p>
        </w:tc>
        <w:tc>
          <w:tcPr>
            <w:tcW w:w="7022" w:type="dxa"/>
            <w:gridSpan w:val="16"/>
            <w:tcBorders/>
            <w:vAlign w:val="center"/>
          </w:tcPr>
          <w:p>
            <w:pPr>
              <w:pStyle w:val="TableContents"/>
              <w:bidi w:val="0"/>
              <w:spacing w:before="0" w:after="283"/>
              <w:jc w:val="left"/>
              <w:rPr>
                <w:sz w:val="4"/>
                <w:szCs w:val="4"/>
              </w:rPr>
            </w:pPr>
            <w:r>
              <w:rPr>
                <w:sz w:val="4"/>
                <w:szCs w:val="4"/>
              </w:rPr>
            </w:r>
          </w:p>
        </w:tc>
      </w:tr>
      <w:tr>
        <w:trPr/>
        <w:tc>
          <w:tcPr>
            <w:tcW w:w="236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6520" w:type="dxa"/>
            <w:gridSpan w:val="14"/>
            <w:tcBorders/>
            <w:vAlign w:val="bottom"/>
          </w:tcPr>
          <w:p>
            <w:pPr>
              <w:pStyle w:val="TableContents"/>
              <w:bidi w:val="0"/>
              <w:spacing w:before="0" w:after="283"/>
              <w:jc w:val="center"/>
              <w:rPr>
                <w:b/>
              </w:rPr>
            </w:pPr>
            <w:r>
              <w:rPr>
                <w:b/>
              </w:rPr>
              <w:t>Grants of Plan-Based Restricted Stock Awards</w:t>
            </w:r>
          </w:p>
        </w:tc>
        <w:tc>
          <w:tcPr>
            <w:tcW w:w="65" w:type="dxa"/>
            <w:tcBorders/>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283"/>
              <w:jc w:val="left"/>
              <w:rPr>
                <w:b/>
              </w:rPr>
            </w:pPr>
            <w:r>
              <w:rPr>
                <w:b/>
              </w:rPr>
              <w:t>Name of Restricted Stock Recipient</w:t>
            </w:r>
          </w:p>
        </w:tc>
        <w:tc>
          <w:tcPr>
            <w:tcW w:w="437"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Unvested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22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Market Value of</w:t>
            </w:r>
          </w:p>
          <w:p>
            <w:pPr>
              <w:pStyle w:val="TableContents"/>
              <w:bidi w:val="0"/>
              <w:spacing w:before="0" w:after="0"/>
              <w:jc w:val="center"/>
              <w:rPr>
                <w:rFonts w:ascii="Times New Roman" w:hAnsi="Times New Roman"/>
                <w:b/>
                <w:sz w:val="16"/>
              </w:rPr>
            </w:pPr>
            <w:r>
              <w:rPr>
                <w:rFonts w:ascii="Times New Roman" w:hAnsi="Times New Roman"/>
                <w:b/>
                <w:sz w:val="16"/>
              </w:rPr>
              <w:t>Shares of Stock</w:t>
            </w:r>
          </w:p>
          <w:p>
            <w:pPr>
              <w:pStyle w:val="TableContents"/>
              <w:bidi w:val="0"/>
              <w:spacing w:before="0" w:after="0"/>
              <w:jc w:val="center"/>
              <w:rPr>
                <w:rFonts w:ascii="Times New Roman" w:hAnsi="Times New Roman"/>
                <w:b/>
                <w:sz w:val="16"/>
              </w:rPr>
            </w:pPr>
            <w:r>
              <w:rPr>
                <w:rFonts w:ascii="Times New Roman" w:hAnsi="Times New Roman"/>
                <w:b/>
                <w:sz w:val="16"/>
              </w:rPr>
              <w:t>That Have Not</w:t>
            </w:r>
          </w:p>
          <w:p>
            <w:pPr>
              <w:pStyle w:val="TableContents"/>
              <w:bidi w:val="0"/>
              <w:spacing w:before="0" w:after="20"/>
              <w:jc w:val="center"/>
              <w:rPr>
                <w:rFonts w:ascii="Times New Roman" w:hAnsi="Times New Roman"/>
                <w:b/>
                <w:sz w:val="16"/>
              </w:rPr>
            </w:pPr>
            <w:r>
              <w:rPr>
                <w:rFonts w:ascii="Times New Roman" w:hAnsi="Times New Roman"/>
                <w:b/>
                <w:sz w:val="16"/>
              </w:rPr>
              <w:t>Yet Vested(1)</w:t>
            </w:r>
          </w:p>
        </w:tc>
        <w:tc>
          <w:tcPr>
            <w:tcW w:w="65"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Ph.D.(2)</w:t>
            </w:r>
          </w:p>
        </w:tc>
        <w:tc>
          <w:tcPr>
            <w:tcW w:w="4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59,151</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40,849</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51,878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value is based on the closing price for the Company’s Common Stock as reported by Nasdaq on December 31, 2025 of $1.27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restricted Common Stock award granted to Dr. Graul on December 1, 2023 and a second restricted Common Stock award granted on January 1, 2024 in consideration for her services as an employee of the Company. These shares of restricted Common Stock provided for immediate vesting of 10,000 shares from each award with the remaining unvested shares vesting ratably over a 48 month period from the date of grant, subject to certain exemptions.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Retirement Benefits and Other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Dr. Graul is eligible for certain benefits, including reimbursement for health insurance premiums, a work from home stipend, and certain other benefits. In addition, we maintain a 401(k) plan intended to qualify as a tax-qualified plan under Section 401 of the U.S. Internal Revenue Code of 1986, as amended, which Dr. Graul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in on the same basis as our other employees. The 401(k) plan has a 75% matching Company contribution on the first $8,000 of an employee’s annual contribution. Dr. Graul did not participate in, or otherwise receive any other benefits under any pension, retirement or deferred compensation plan sponsored by us (other than our 401(k) plan, as mentioned above) during 2025. </w:t>
      </w: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adopted by the SEC pursuant to the Dodd-Frank Wall Street Reform and Consumer Protection Act of 2010, we are providing the following disclosure, as it applies to smaller reporting companies, regarding executive “Compensation Actually Paid” (“CAP”), as calculated under applicable SEC rules, for our principal executive officer(s) (“PEO(s)”) and our other named executive officers (“non-PEO NEOs”) and certain financial performance measures for the fiscal years ended December 31, 2025, 2024 and 2023.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CAP to our PEO(s) and the CAP to our non-PEO NEOs, we are required to make various adjustments to the total compensation amounts that have been reported in the Summary Compensation Table (“SCT”), as the SEC’s valuation methods for this section differ from those required in the SCT. Information regarding the methodology for calculating CAP to our PEO(s) and the CAP to our non-PEO NEOs, including details regarding the amounts that were deducted from, and added to, the SCT totals to arrive at the values presented for CAP, are provided in the footnotes to the table. Note that for non-PEO NEOs, compensation is reported as an average.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smaller reporting company and is not required to disclose the total shareholder return for our peer group or to disclose the company-selected measure or the tabular list of our most important financial performance measures. Information presented in this section will not be deemed to be incorporated by reference into any of our filings under the Securities Act of 1933, as amended, or the Exchange Act, except as we may specifically do so by reference to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Pay Versus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
        <w:gridCol w:w="95"/>
        <w:gridCol w:w="73"/>
        <w:gridCol w:w="982"/>
        <w:gridCol w:w="60"/>
        <w:gridCol w:w="95"/>
        <w:gridCol w:w="85"/>
        <w:gridCol w:w="971"/>
        <w:gridCol w:w="60"/>
        <w:gridCol w:w="95"/>
        <w:gridCol w:w="73"/>
        <w:gridCol w:w="982"/>
        <w:gridCol w:w="60"/>
        <w:gridCol w:w="95"/>
        <w:gridCol w:w="77"/>
        <w:gridCol w:w="977"/>
        <w:gridCol w:w="155"/>
        <w:gridCol w:w="95"/>
        <w:gridCol w:w="73"/>
        <w:gridCol w:w="982"/>
        <w:gridCol w:w="60"/>
        <w:gridCol w:w="95"/>
        <w:gridCol w:w="73"/>
        <w:gridCol w:w="982"/>
        <w:gridCol w:w="60"/>
        <w:gridCol w:w="95"/>
        <w:gridCol w:w="87"/>
        <w:gridCol w:w="818"/>
        <w:gridCol w:w="60"/>
        <w:gridCol w:w="95"/>
        <w:gridCol w:w="67"/>
        <w:gridCol w:w="726"/>
        <w:gridCol w:w="171"/>
      </w:tblGrid>
      <w:tr>
        <w:trPr/>
        <w:tc>
          <w:tcPr>
            <w:tcW w:w="73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1" w:type="dxa"/>
            <w:tcBorders/>
            <w:vAlign w:val="bottom"/>
          </w:tcPr>
          <w:p>
            <w:pPr>
              <w:pStyle w:val="TableContents"/>
              <w:bidi w:val="0"/>
              <w:spacing w:before="0" w:after="283"/>
              <w:jc w:val="left"/>
              <w:rPr>
                <w:b/>
                <w:i/>
              </w:rPr>
            </w:pPr>
            <w:r>
              <w:rPr>
                <w:b/>
                <w:i/>
              </w:rPr>
              <w:t>(a)</w:t>
            </w:r>
          </w:p>
        </w:tc>
        <w:tc>
          <w:tcPr>
            <w:tcW w:w="95"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(b)</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(c)</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(d)</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(e)</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(f)</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93" w:type="dxa"/>
            <w:gridSpan w:val="2"/>
            <w:tcBorders/>
            <w:vAlign w:val="bottom"/>
          </w:tcPr>
          <w:p>
            <w:pPr>
              <w:pStyle w:val="TableContents"/>
              <w:bidi w:val="0"/>
              <w:spacing w:before="0" w:after="283"/>
              <w:jc w:val="center"/>
              <w:rPr>
                <w:b/>
              </w:rPr>
            </w:pPr>
            <w:r>
              <w:rPr>
                <w:b/>
              </w:rPr>
              <w:t>(g)</w:t>
            </w:r>
          </w:p>
        </w:tc>
        <w:tc>
          <w:tcPr>
            <w:tcW w:w="171" w:type="dxa"/>
            <w:tcBorders/>
            <w:vAlign w:val="bottom"/>
          </w:tcPr>
          <w:p>
            <w:pPr>
              <w:pStyle w:val="TableContents"/>
              <w:bidi w:val="0"/>
              <w:spacing w:before="0" w:after="283"/>
              <w:jc w:val="left"/>
              <w:rPr/>
            </w:pPr>
            <w:r>
              <w:rPr/>
              <w:t> </w:t>
            </w:r>
          </w:p>
        </w:tc>
      </w:tr>
      <w:tr>
        <w:trPr/>
        <w:tc>
          <w:tcPr>
            <w:tcW w:w="731" w:type="dxa"/>
            <w:tcBorders/>
          </w:tcPr>
          <w:p>
            <w:pPr>
              <w:pStyle w:val="TableContents"/>
              <w:bidi w:val="0"/>
              <w:spacing w:before="0" w:after="283"/>
              <w:jc w:val="left"/>
              <w:rPr>
                <w:b/>
                <w:i/>
              </w:rPr>
            </w:pPr>
            <w:r>
              <w:rPr>
                <w:b/>
                <w:i/>
              </w:rPr>
              <w:t>Year(1)</w:t>
            </w:r>
          </w:p>
        </w:tc>
        <w:tc>
          <w:tcPr>
            <w:tcW w:w="95" w:type="dxa"/>
            <w:tcBorders/>
            <w:vAlign w:val="bottom"/>
          </w:tcPr>
          <w:p>
            <w:pPr>
              <w:pStyle w:val="TableContents"/>
              <w:bidi w:val="0"/>
              <w:spacing w:before="0" w:after="283"/>
              <w:jc w:val="left"/>
              <w:rPr/>
            </w:pPr>
            <w:r>
              <w:rPr/>
              <w:t> </w:t>
            </w:r>
          </w:p>
        </w:tc>
        <w:tc>
          <w:tcPr>
            <w:tcW w:w="1055"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First</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6"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First 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4"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55"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05"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Initial Fixed</w:t>
            </w:r>
          </w:p>
          <w:p>
            <w:pPr>
              <w:pStyle w:val="TableContents"/>
              <w:bidi w:val="0"/>
              <w:spacing w:before="0" w:after="0"/>
              <w:jc w:val="center"/>
              <w:rPr>
                <w:rFonts w:ascii="Times New Roman" w:hAnsi="Times New Roman"/>
                <w:b/>
                <w:sz w:val="16"/>
              </w:rPr>
            </w:pPr>
            <w:r>
              <w:rPr>
                <w:rFonts w:ascii="Times New Roman" w:hAnsi="Times New Roman"/>
                <w:b/>
                <w:sz w:val="16"/>
              </w:rPr>
              <w:t>$100</w:t>
            </w:r>
          </w:p>
          <w:p>
            <w:pPr>
              <w:pStyle w:val="TableContents"/>
              <w:bidi w:val="0"/>
              <w:spacing w:before="0" w:after="0"/>
              <w:jc w:val="center"/>
              <w:rPr>
                <w:rFonts w:ascii="Times New Roman" w:hAnsi="Times New Roman"/>
                <w:b/>
                <w:sz w:val="16"/>
              </w:rPr>
            </w:pPr>
            <w:r>
              <w:rPr>
                <w:rFonts w:ascii="Times New Roman" w:hAnsi="Times New Roman"/>
                <w:b/>
                <w:sz w:val="16"/>
              </w:rPr>
              <w:t>Investment</w:t>
            </w:r>
          </w:p>
          <w:p>
            <w:pPr>
              <w:pStyle w:val="TableContents"/>
              <w:bidi w:val="0"/>
              <w:spacing w:before="0" w:after="0"/>
              <w:jc w:val="center"/>
              <w:rPr>
                <w:rFonts w:ascii="Times New Roman" w:hAnsi="Times New Roman"/>
                <w:b/>
                <w:sz w:val="16"/>
              </w:rPr>
            </w:pPr>
            <w:r>
              <w:rPr>
                <w:rFonts w:ascii="Times New Roman" w:hAnsi="Times New Roman"/>
                <w:b/>
                <w:sz w:val="16"/>
              </w:rPr>
              <w:t>Based on</w:t>
            </w:r>
          </w:p>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w:t>
            </w:r>
          </w:p>
          <w:p>
            <w:pPr>
              <w:pStyle w:val="TableContents"/>
              <w:bidi w:val="0"/>
              <w:spacing w:before="0" w:after="0"/>
              <w:jc w:val="center"/>
              <w:rPr>
                <w:rFonts w:ascii="Times New Roman" w:hAnsi="Times New Roman"/>
                <w:b/>
                <w:sz w:val="16"/>
              </w:rPr>
            </w:pPr>
            <w:r>
              <w:rPr>
                <w:rFonts w:ascii="Times New Roman" w:hAnsi="Times New Roman"/>
                <w:b/>
                <w:sz w:val="16"/>
              </w:rPr>
              <w:t>Return</w:t>
            </w:r>
          </w:p>
          <w:p>
            <w:pPr>
              <w:pStyle w:val="TableContents"/>
              <w:bidi w:val="0"/>
              <w:spacing w:before="0" w:after="20"/>
              <w:jc w:val="center"/>
              <w:rPr>
                <w:rFonts w:ascii="Times New Roman" w:hAnsi="Times New Roman"/>
                <w:b/>
                <w:sz w:val="16"/>
              </w:rPr>
            </w:pPr>
            <w:r>
              <w:rPr>
                <w:rFonts w:ascii="Times New Roman" w:hAnsi="Times New Roman"/>
                <w:b/>
                <w:sz w:val="16"/>
              </w:rPr>
              <w:t>($)(4)</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93" w:type="dxa"/>
            <w:gridSpan w:val="2"/>
            <w:tcBorders/>
          </w:tcPr>
          <w:p>
            <w:pPr>
              <w:pStyle w:val="TableContents"/>
              <w:bidi w:val="0"/>
              <w:spacing w:before="0" w:after="0"/>
              <w:jc w:val="center"/>
              <w:rPr>
                <w:rFonts w:ascii="Times New Roman" w:hAnsi="Times New Roman"/>
                <w:b/>
                <w:sz w:val="16"/>
              </w:rPr>
            </w:pPr>
            <w:r>
              <w:rPr>
                <w:rFonts w:ascii="Times New Roman" w:hAnsi="Times New Roman"/>
                <w:b/>
                <w:sz w:val="16"/>
              </w:rPr>
              <w:t>Net Income</w:t>
            </w:r>
          </w:p>
          <w:p>
            <w:pPr>
              <w:pStyle w:val="TableContents"/>
              <w:bidi w:val="0"/>
              <w:spacing w:before="0" w:after="0"/>
              <w:jc w:val="center"/>
              <w:rPr>
                <w:rFonts w:ascii="Times New Roman" w:hAnsi="Times New Roman"/>
                <w:b/>
                <w:sz w:val="16"/>
              </w:rPr>
            </w:pPr>
            <w:r>
              <w:rPr>
                <w:rFonts w:ascii="Times New Roman" w:hAnsi="Times New Roman"/>
                <w:b/>
                <w:sz w:val="16"/>
              </w:rPr>
              <w:t>(Loss)</w:t>
            </w:r>
          </w:p>
          <w:p>
            <w:pPr>
              <w:pStyle w:val="TableContents"/>
              <w:bidi w:val="0"/>
              <w:spacing w:before="0" w:after="0"/>
              <w:jc w:val="center"/>
              <w:rPr>
                <w:rFonts w:ascii="Times New Roman" w:hAnsi="Times New Roman"/>
                <w:b/>
                <w:sz w:val="16"/>
              </w:rPr>
            </w:pPr>
            <w:r>
              <w:rPr>
                <w:rFonts w:ascii="Times New Roman" w:hAnsi="Times New Roman"/>
                <w:b/>
                <w:sz w:val="16"/>
              </w:rPr>
              <w:t>(in</w:t>
            </w:r>
          </w:p>
          <w:p>
            <w:pPr>
              <w:pStyle w:val="TableContents"/>
              <w:bidi w:val="0"/>
              <w:spacing w:before="0" w:after="0"/>
              <w:jc w:val="center"/>
              <w:rPr>
                <w:rFonts w:ascii="Times New Roman" w:hAnsi="Times New Roman"/>
                <w:b/>
                <w:sz w:val="16"/>
              </w:rPr>
            </w:pPr>
            <w:r>
              <w:rPr>
                <w:rFonts w:ascii="Times New Roman" w:hAnsi="Times New Roman"/>
                <w:b/>
                <w:sz w:val="16"/>
              </w:rPr>
              <w:t>Thousands)</w:t>
            </w:r>
          </w:p>
          <w:p>
            <w:pPr>
              <w:pStyle w:val="TableContents"/>
              <w:bidi w:val="0"/>
              <w:spacing w:before="0" w:after="20"/>
              <w:jc w:val="center"/>
              <w:rPr>
                <w:rFonts w:ascii="Times New Roman" w:hAnsi="Times New Roman"/>
                <w:b/>
                <w:sz w:val="16"/>
              </w:rPr>
            </w:pPr>
            <w:r>
              <w:rPr>
                <w:rFonts w:ascii="Times New Roman" w:hAnsi="Times New Roman"/>
                <w:b/>
                <w:sz w:val="16"/>
              </w:rPr>
              <w:t>($)(5)</w:t>
            </w:r>
          </w:p>
        </w:tc>
        <w:tc>
          <w:tcPr>
            <w:tcW w:w="171" w:type="dxa"/>
            <w:tcBorders/>
            <w:vAlign w:val="bottom"/>
          </w:tcPr>
          <w:p>
            <w:pPr>
              <w:pStyle w:val="TableContents"/>
              <w:bidi w:val="0"/>
              <w:spacing w:before="0" w:after="283"/>
              <w:jc w:val="left"/>
              <w:rPr/>
            </w:pPr>
            <w:r>
              <w:rPr/>
              <w:t> </w:t>
            </w:r>
          </w:p>
        </w:tc>
      </w:tr>
      <w:tr>
        <w:trPr/>
        <w:tc>
          <w:tcPr>
            <w:tcW w:w="7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2025</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572,153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443,717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408,978</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369,796</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9.68</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(3,528</w:t>
            </w:r>
          </w:p>
        </w:tc>
        <w:tc>
          <w:tcPr>
            <w:tcW w:w="171" w:type="dxa"/>
            <w:tcBorders/>
            <w:shd w:fill="CCEEFF" w:val="clear"/>
            <w:vAlign w:val="bottom"/>
          </w:tcPr>
          <w:p>
            <w:pPr>
              <w:pStyle w:val="TableContents"/>
              <w:bidi w:val="0"/>
              <w:spacing w:before="0" w:after="283"/>
              <w:jc w:val="left"/>
              <w:rPr/>
            </w:pPr>
            <w:r>
              <w:rPr/>
              <w:t>) </w:t>
            </w:r>
          </w:p>
        </w:tc>
      </w:tr>
      <w:tr>
        <w:trPr/>
        <w:tc>
          <w:tcPr>
            <w:tcW w:w="731" w:type="dxa"/>
            <w:tcBorders/>
          </w:tcPr>
          <w:p>
            <w:pPr>
              <w:pStyle w:val="TableContents"/>
              <w:bidi w:val="0"/>
              <w:spacing w:before="0" w:after="0"/>
              <w:jc w:val="left"/>
              <w:rPr>
                <w:rFonts w:ascii="Times New Roman" w:hAnsi="Times New Roman"/>
                <w:i/>
                <w:sz w:val="20"/>
              </w:rPr>
            </w:pPr>
            <w:r>
              <w:rPr>
                <w:rFonts w:ascii="Times New Roman" w:hAnsi="Times New Roman"/>
                <w:i/>
                <w:sz w:val="20"/>
              </w:rPr>
              <w:t>2024</w:t>
            </w:r>
          </w:p>
        </w:tc>
        <w:tc>
          <w:tcPr>
            <w:tcW w:w="9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874,823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857,815</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249,900</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249,900</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24.64</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(3,057</w:t>
            </w:r>
          </w:p>
        </w:tc>
        <w:tc>
          <w:tcPr>
            <w:tcW w:w="171" w:type="dxa"/>
            <w:tcBorders/>
            <w:vAlign w:val="bottom"/>
          </w:tcPr>
          <w:p>
            <w:pPr>
              <w:pStyle w:val="TableContents"/>
              <w:bidi w:val="0"/>
              <w:spacing w:before="0" w:after="283"/>
              <w:jc w:val="left"/>
              <w:rPr/>
            </w:pPr>
            <w:r>
              <w:rPr/>
              <w:t>) </w:t>
            </w:r>
          </w:p>
        </w:tc>
      </w:tr>
      <w:tr>
        <w:trPr/>
        <w:tc>
          <w:tcPr>
            <w:tcW w:w="7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2023</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147,361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82,954</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181,931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(62,468</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559,278</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383,419</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25.53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(5,263</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Deductions from, and additions to, total compensation as reported in the SCT by year to calculate CAP include: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PEO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
        <w:gridCol w:w="130"/>
        <w:gridCol w:w="1041"/>
        <w:gridCol w:w="75"/>
        <w:gridCol w:w="530"/>
        <w:gridCol w:w="75"/>
        <w:gridCol w:w="967"/>
        <w:gridCol w:w="75"/>
        <w:gridCol w:w="1036"/>
        <w:gridCol w:w="75"/>
        <w:gridCol w:w="878"/>
        <w:gridCol w:w="75"/>
        <w:gridCol w:w="1036"/>
        <w:gridCol w:w="74"/>
        <w:gridCol w:w="728"/>
        <w:gridCol w:w="75"/>
        <w:gridCol w:w="867"/>
        <w:gridCol w:w="75"/>
        <w:gridCol w:w="691"/>
        <w:gridCol w:w="75"/>
        <w:gridCol w:w="976"/>
      </w:tblGrid>
      <w:tr>
        <w:trPr/>
        <w:tc>
          <w:tcPr>
            <w:tcW w:w="65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51" w:type="dxa"/>
            <w:tcBorders/>
            <w:vAlign w:val="bottom"/>
          </w:tcPr>
          <w:p>
            <w:pPr>
              <w:pStyle w:val="TableContents"/>
              <w:bidi w:val="0"/>
              <w:spacing w:before="0" w:after="283"/>
              <w:jc w:val="left"/>
              <w:rPr>
                <w:b/>
              </w:rPr>
            </w:pPr>
            <w:r>
              <w:rPr>
                <w:b/>
              </w:rPr>
              <w:t>PEO</w:t>
            </w:r>
          </w:p>
        </w:tc>
        <w:tc>
          <w:tcPr>
            <w:tcW w:w="13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center"/>
              <w:rPr>
                <w:b/>
              </w:rPr>
            </w:pPr>
            <w:r>
              <w:rPr>
                <w:b/>
              </w:rPr>
              <w:t>Name</w:t>
            </w:r>
          </w:p>
        </w:tc>
        <w:tc>
          <w:tcPr>
            <w:tcW w:w="7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b/>
              </w:rPr>
            </w:pPr>
            <w:r>
              <w:rPr>
                <w:b/>
              </w:rPr>
              <w:t>Year</w:t>
            </w:r>
          </w:p>
        </w:tc>
        <w:tc>
          <w:tcPr>
            <w:tcW w:w="7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Total</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5"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Exclusion of</w:t>
            </w:r>
          </w:p>
          <w:p>
            <w:pPr>
              <w:pStyle w:val="TableContents"/>
              <w:bidi w:val="0"/>
              <w:spacing w:before="0" w:after="0"/>
              <w:jc w:val="center"/>
              <w:rPr>
                <w:rFonts w:ascii="Times New Roman" w:hAnsi="Times New Roman"/>
                <w:b/>
                <w:sz w:val="14"/>
              </w:rPr>
            </w:pPr>
            <w:r>
              <w:rPr>
                <w:rFonts w:ascii="Times New Roman" w:hAnsi="Times New Roman"/>
                <w:b/>
                <w:sz w:val="14"/>
              </w:rPr>
              <w:t>Stock</w:t>
              <w:br/>
              <w:t>Awards</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Option</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5"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of 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br/>
              <w:t>Year</w:t>
            </w:r>
          </w:p>
          <w:p>
            <w:pPr>
              <w:pStyle w:val="TableContents"/>
              <w:bidi w:val="0"/>
              <w:spacing w:before="0" w:after="0"/>
              <w:jc w:val="center"/>
              <w:rPr>
                <w:rFonts w:ascii="Times New Roman" w:hAnsi="Times New Roman"/>
                <w:b/>
                <w:sz w:val="14"/>
              </w:rPr>
            </w:pPr>
            <w:r>
              <w:rPr>
                <w:rFonts w:ascii="Times New Roman" w:hAnsi="Times New Roman"/>
                <w:b/>
                <w:sz w:val="14"/>
              </w:rPr>
              <w:t>That</w:t>
            </w:r>
          </w:p>
          <w:p>
            <w:pPr>
              <w:pStyle w:val="TableContents"/>
              <w:bidi w:val="0"/>
              <w:spacing w:before="0" w:after="0"/>
              <w:jc w:val="center"/>
              <w:rPr>
                <w:rFonts w:ascii="Times New Roman" w:hAnsi="Times New Roman"/>
                <w:b/>
                <w:sz w:val="14"/>
              </w:rPr>
            </w:pPr>
            <w:r>
              <w:rPr>
                <w:rFonts w:ascii="Times New Roman" w:hAnsi="Times New Roman"/>
                <w:b/>
                <w:sz w:val="14"/>
              </w:rPr>
              <w:t>Remained</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Unvested</w:t>
              <w:br/>
              <w:t>as</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Last Day</w:t>
              <w:br/>
              <w:t>of</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5"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Change In</w:t>
            </w:r>
          </w:p>
          <w:p>
            <w:pPr>
              <w:pStyle w:val="TableContents"/>
              <w:bidi w:val="0"/>
              <w:spacing w:before="0" w:after="0"/>
              <w:jc w:val="center"/>
              <w:rPr>
                <w:rFonts w:ascii="Times New Roman" w:hAnsi="Times New Roman"/>
                <w:b/>
                <w:sz w:val="14"/>
              </w:rPr>
            </w:pPr>
            <w:r>
              <w:rPr>
                <w:rFonts w:ascii="Times New Roman" w:hAnsi="Times New Roman"/>
                <w:b/>
                <w:sz w:val="14"/>
              </w:rPr>
              <w:t>Fair Value</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Prior Year</w:t>
              <w:br/>
              <w:t>to</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Year of</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b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 in</w:t>
            </w:r>
          </w:p>
          <w:p>
            <w:pPr>
              <w:pStyle w:val="TableContents"/>
              <w:bidi w:val="0"/>
              <w:spacing w:before="0" w:after="0"/>
              <w:jc w:val="center"/>
              <w:rPr>
                <w:rFonts w:ascii="Times New Roman" w:hAnsi="Times New Roman"/>
                <w:b/>
                <w:sz w:val="14"/>
              </w:rPr>
            </w:pPr>
            <w:r>
              <w:rPr>
                <w:rFonts w:ascii="Times New Roman" w:hAnsi="Times New Roman"/>
                <w:b/>
                <w:sz w:val="14"/>
              </w:rPr>
              <w:t>Any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Vesting</w:t>
            </w:r>
          </w:p>
          <w:p>
            <w:pPr>
              <w:pStyle w:val="TableContents"/>
              <w:bidi w:val="0"/>
              <w:spacing w:before="0" w:after="0"/>
              <w:jc w:val="center"/>
              <w:rPr>
                <w:rFonts w:ascii="Times New Roman" w:hAnsi="Times New Roman"/>
                <w:b/>
                <w:sz w:val="14"/>
              </w:rPr>
            </w:pPr>
            <w:r>
              <w:rPr>
                <w:rFonts w:ascii="Times New Roman" w:hAnsi="Times New Roman"/>
                <w:b/>
                <w:sz w:val="14"/>
              </w:rPr>
              <w:t>Date</w:t>
            </w:r>
          </w:p>
          <w:p>
            <w:pPr>
              <w:pStyle w:val="TableContents"/>
              <w:bidi w:val="0"/>
              <w:spacing w:before="0" w:after="0"/>
              <w:jc w:val="center"/>
              <w:rPr>
                <w:rFonts w:ascii="Times New Roman" w:hAnsi="Times New Roman"/>
                <w:b/>
                <w:sz w:val="14"/>
              </w:rPr>
            </w:pPr>
            <w:r>
              <w:rPr>
                <w:rFonts w:ascii="Times New Roman" w:hAnsi="Times New Roman"/>
                <w:b/>
                <w:sz w:val="14"/>
              </w:rPr>
              <w:t>Fair</w:t>
            </w:r>
          </w:p>
          <w:p>
            <w:pPr>
              <w:pStyle w:val="TableContents"/>
              <w:bidi w:val="0"/>
              <w:spacing w:before="0" w:after="0"/>
              <w:jc w:val="center"/>
              <w:rPr>
                <w:rFonts w:ascii="Times New Roman" w:hAnsi="Times New Roman"/>
                <w:b/>
                <w:sz w:val="14"/>
              </w:rPr>
            </w:pPr>
            <w:r>
              <w:rPr>
                <w:rFonts w:ascii="Times New Roman" w:hAnsi="Times New Roman"/>
                <w:b/>
                <w:sz w:val="14"/>
              </w:rPr>
              <w:t>Value</w:t>
              <w:br/>
              <w:t>of</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5"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br/>
              <w:t>Change</w:t>
            </w:r>
          </w:p>
          <w:p>
            <w:pPr>
              <w:pStyle w:val="TableContents"/>
              <w:bidi w:val="0"/>
              <w:spacing w:before="0" w:after="0"/>
              <w:jc w:val="center"/>
              <w:rPr>
                <w:rFonts w:ascii="Times New Roman" w:hAnsi="Times New Roman"/>
                <w:b/>
                <w:sz w:val="14"/>
              </w:rPr>
            </w:pPr>
            <w:r>
              <w:rPr>
                <w:rFonts w:ascii="Times New Roman" w:hAnsi="Times New Roman"/>
                <w:b/>
                <w:sz w:val="14"/>
              </w:rPr>
              <w:t>in Fair</w:t>
            </w:r>
          </w:p>
          <w:p>
            <w:pPr>
              <w:pStyle w:val="TableContents"/>
              <w:bidi w:val="0"/>
              <w:spacing w:before="0" w:after="0"/>
              <w:jc w:val="center"/>
              <w:rPr>
                <w:rFonts w:ascii="Times New Roman" w:hAnsi="Times New Roman"/>
                <w:b/>
                <w:sz w:val="14"/>
              </w:rPr>
            </w:pPr>
            <w:r>
              <w:rPr>
                <w:rFonts w:ascii="Times New Roman" w:hAnsi="Times New Roman"/>
                <w:b/>
                <w:sz w:val="14"/>
              </w:rPr>
              <w:t>Value</w:t>
            </w:r>
          </w:p>
          <w:p>
            <w:pPr>
              <w:pStyle w:val="TableContents"/>
              <w:bidi w:val="0"/>
              <w:spacing w:before="0" w:after="0"/>
              <w:jc w:val="center"/>
              <w:rPr>
                <w:rFonts w:ascii="Times New Roman" w:hAnsi="Times New Roman"/>
                <w:b/>
                <w:sz w:val="14"/>
              </w:rPr>
            </w:pPr>
            <w:r>
              <w:rPr>
                <w:rFonts w:ascii="Times New Roman" w:hAnsi="Times New Roman"/>
                <w:b/>
                <w:sz w:val="14"/>
              </w:rPr>
              <w:t>from</w:t>
              <w:br/>
              <w:t>Last</w:t>
            </w:r>
          </w:p>
          <w:p>
            <w:pPr>
              <w:pStyle w:val="TableContents"/>
              <w:bidi w:val="0"/>
              <w:spacing w:before="0" w:after="0"/>
              <w:jc w:val="center"/>
              <w:rPr>
                <w:rFonts w:ascii="Times New Roman" w:hAnsi="Times New Roman"/>
                <w:b/>
                <w:sz w:val="14"/>
              </w:rPr>
            </w:pPr>
            <w:r>
              <w:rPr>
                <w:rFonts w:ascii="Times New Roman" w:hAnsi="Times New Roman"/>
                <w:b/>
                <w:sz w:val="14"/>
              </w:rPr>
              <w:t>Day</w:t>
            </w:r>
          </w:p>
          <w:p>
            <w:pPr>
              <w:pStyle w:val="TableContents"/>
              <w:bidi w:val="0"/>
              <w:spacing w:before="0" w:after="0"/>
              <w:jc w:val="center"/>
              <w:rPr>
                <w:rFonts w:ascii="Times New Roman" w:hAnsi="Times New Roman"/>
                <w:b/>
                <w:sz w:val="14"/>
              </w:rPr>
            </w:pPr>
            <w:r>
              <w:rPr>
                <w:rFonts w:ascii="Times New Roman" w:hAnsi="Times New Roman"/>
                <w:b/>
                <w:sz w:val="14"/>
              </w:rPr>
              <w:t>of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to</w:t>
              <w:br/>
              <w:t>Vesting</w:t>
            </w:r>
          </w:p>
          <w:p>
            <w:pPr>
              <w:pStyle w:val="TableContents"/>
              <w:bidi w:val="0"/>
              <w:spacing w:before="0" w:after="0"/>
              <w:jc w:val="center"/>
              <w:rPr>
                <w:rFonts w:ascii="Times New Roman" w:hAnsi="Times New Roman"/>
                <w:b/>
                <w:sz w:val="14"/>
              </w:rPr>
            </w:pPr>
            <w:r>
              <w:rPr>
                <w:rFonts w:ascii="Times New Roman" w:hAnsi="Times New Roman"/>
                <w:b/>
                <w:sz w:val="14"/>
              </w:rPr>
              <w:t>Date of</w:t>
            </w:r>
          </w:p>
          <w:p>
            <w:pPr>
              <w:pStyle w:val="TableContents"/>
              <w:bidi w:val="0"/>
              <w:spacing w:before="0" w:after="0"/>
              <w:jc w:val="center"/>
              <w:rPr>
                <w:rFonts w:ascii="Times New Roman" w:hAnsi="Times New Roman"/>
                <w:b/>
                <w:sz w:val="14"/>
              </w:rPr>
            </w:pPr>
            <w:r>
              <w:rPr>
                <w:rFonts w:ascii="Times New Roman" w:hAnsi="Times New Roman"/>
                <w:b/>
                <w:sz w:val="14"/>
              </w:rP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in any</w:t>
            </w:r>
          </w:p>
          <w:p>
            <w:pPr>
              <w:pStyle w:val="TableContents"/>
              <w:bidi w:val="0"/>
              <w:spacing w:before="0" w:after="0"/>
              <w:jc w:val="center"/>
              <w:rPr>
                <w:rFonts w:ascii="Times New Roman" w:hAnsi="Times New Roman"/>
                <w:b/>
                <w:sz w:val="14"/>
              </w:rPr>
            </w:pPr>
            <w:r>
              <w:rPr>
                <w:rFonts w:ascii="Times New Roman" w:hAnsi="Times New Roman"/>
                <w:b/>
                <w:sz w:val="14"/>
              </w:rPr>
              <w:t>Prior</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20"/>
              <w:jc w:val="center"/>
              <w:rPr>
                <w:rFonts w:ascii="Times New Roman" w:hAnsi="Times New Roman"/>
                <w:b/>
                <w:sz w:val="14"/>
              </w:rPr>
            </w:pPr>
            <w:r>
              <w:rPr>
                <w:rFonts w:ascii="Times New Roman" w:hAnsi="Times New Roman"/>
                <w:b/>
                <w:sz w:val="14"/>
              </w:rPr>
              <w:t>PEO</w:t>
            </w:r>
          </w:p>
        </w:tc>
        <w:tc>
          <w:tcPr>
            <w:tcW w:w="75"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Exclusion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at</w:t>
            </w:r>
          </w:p>
          <w:p>
            <w:pPr>
              <w:pStyle w:val="TableContents"/>
              <w:bidi w:val="0"/>
              <w:spacing w:before="0" w:after="0"/>
              <w:jc w:val="center"/>
              <w:rPr>
                <w:rFonts w:ascii="Times New Roman" w:hAnsi="Times New Roman"/>
                <w:b/>
                <w:sz w:val="14"/>
              </w:rPr>
            </w:pPr>
            <w:r>
              <w:rPr>
                <w:rFonts w:ascii="Times New Roman" w:hAnsi="Times New Roman"/>
                <w:b/>
                <w:sz w:val="14"/>
              </w:rPr>
              <w:t>Last</w:t>
              <w:br/>
              <w:t>Day</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Prior</w:t>
              <w:br/>
              <w:t>Year</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Forfeited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75"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Actually</w:t>
            </w:r>
          </w:p>
          <w:p>
            <w:pPr>
              <w:pStyle w:val="TableContents"/>
              <w:bidi w:val="0"/>
              <w:spacing w:before="0" w:after="0"/>
              <w:jc w:val="center"/>
              <w:rPr>
                <w:rFonts w:ascii="Times New Roman" w:hAnsi="Times New Roman"/>
                <w:b/>
                <w:sz w:val="14"/>
              </w:rPr>
            </w:pPr>
            <w:r>
              <w:rPr>
                <w:rFonts w:ascii="Times New Roman" w:hAnsi="Times New Roman"/>
                <w:b/>
                <w:sz w:val="14"/>
              </w:rPr>
              <w:t>Paid to</w:t>
              <w:b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r>
      <w:tr>
        <w:trPr/>
        <w:tc>
          <w:tcPr>
            <w:tcW w:w="1822" w:type="dxa"/>
            <w:gridSpan w:val="3"/>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w:t>
            </w:r>
          </w:p>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President</w:t>
            </w:r>
          </w:p>
        </w:tc>
        <w:tc>
          <w:tcPr>
            <w:tcW w:w="7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2025</w:t>
            </w:r>
          </w:p>
        </w:tc>
        <w:tc>
          <w:tcPr>
            <w:tcW w:w="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572,153</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(108,053)</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(20,383)</w:t>
            </w:r>
          </w:p>
        </w:tc>
        <w:tc>
          <w:tcPr>
            <w:tcW w:w="75"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443,717</w:t>
            </w:r>
          </w:p>
        </w:tc>
      </w:tr>
      <w:tr>
        <w:trPr/>
        <w:tc>
          <w:tcPr>
            <w:tcW w:w="1822" w:type="dxa"/>
            <w:gridSpan w:val="3"/>
            <w:vMerge w:val="continue"/>
            <w:tcBorders/>
            <w:shd w:fill="CCEEFF" w:val="clear"/>
          </w:tcPr>
          <w:p>
            <w:pPr>
              <w:pStyle w:val="Normal"/>
              <w:bidi w:val="0"/>
              <w:jc w:val="left"/>
              <w:rPr/>
            </w:pPr>
            <w:r>
              <w:rPr/>
            </w:r>
          </w:p>
        </w:tc>
        <w:tc>
          <w:tcPr>
            <w:tcW w:w="7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2024</w:t>
            </w:r>
          </w:p>
        </w:tc>
        <w:tc>
          <w:tcPr>
            <w:tcW w:w="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874,823</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(323,665)</w:t>
            </w:r>
          </w:p>
        </w:tc>
        <w:tc>
          <w:tcPr>
            <w:tcW w:w="75"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242,360</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(3,901)</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72,954</w:t>
            </w:r>
          </w:p>
        </w:tc>
        <w:tc>
          <w:tcPr>
            <w:tcW w:w="75"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(4,756)</w:t>
            </w:r>
          </w:p>
        </w:tc>
        <w:tc>
          <w:tcPr>
            <w:tcW w:w="75"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857,815</w:t>
            </w:r>
          </w:p>
        </w:tc>
      </w:tr>
      <w:tr>
        <w:trPr/>
        <w:tc>
          <w:tcPr>
            <w:tcW w:w="1822" w:type="dxa"/>
            <w:gridSpan w:val="3"/>
            <w:vMerge w:val="continue"/>
            <w:tcBorders/>
            <w:shd w:fill="CCEEFF" w:val="clear"/>
          </w:tcPr>
          <w:p>
            <w:pPr>
              <w:pStyle w:val="Normal"/>
              <w:bidi w:val="0"/>
              <w:jc w:val="left"/>
              <w:rPr/>
            </w:pPr>
            <w:r>
              <w:rPr/>
            </w:r>
          </w:p>
        </w:tc>
        <w:tc>
          <w:tcPr>
            <w:tcW w:w="7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2023</w:t>
            </w:r>
          </w:p>
        </w:tc>
        <w:tc>
          <w:tcPr>
            <w:tcW w:w="7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147,361</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(124,330)</w:t>
            </w:r>
          </w:p>
        </w:tc>
        <w:tc>
          <w:tcPr>
            <w:tcW w:w="75"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134,000</w:t>
            </w:r>
          </w:p>
        </w:tc>
        <w:tc>
          <w:tcPr>
            <w:tcW w:w="75"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24,900</w:t>
            </w:r>
          </w:p>
        </w:tc>
        <w:tc>
          <w:tcPr>
            <w:tcW w:w="75"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181,931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our net loss for the year as reported on our Annual Report on Form 10-K.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Non-PEO NEOs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76"/>
        <w:gridCol w:w="356"/>
        <w:gridCol w:w="147"/>
        <w:gridCol w:w="801"/>
        <w:gridCol w:w="157"/>
        <w:gridCol w:w="356"/>
        <w:gridCol w:w="147"/>
        <w:gridCol w:w="801"/>
        <w:gridCol w:w="60"/>
        <w:gridCol w:w="356"/>
        <w:gridCol w:w="147"/>
        <w:gridCol w:w="906"/>
        <w:gridCol w:w="162"/>
      </w:tblGrid>
      <w:tr>
        <w:trPr/>
        <w:tc>
          <w:tcPr>
            <w:tcW w:w="417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76" w:type="dxa"/>
            <w:tcBorders/>
            <w:vAlign w:val="bottom"/>
          </w:tcPr>
          <w:p>
            <w:pPr>
              <w:pStyle w:val="TableContents"/>
              <w:bidi w:val="0"/>
              <w:spacing w:before="0" w:after="283"/>
              <w:jc w:val="left"/>
              <w:rPr>
                <w:b/>
              </w:rPr>
            </w:pPr>
            <w:r>
              <w:rPr>
                <w:b/>
              </w:rPr>
              <w:t>Year</w:t>
            </w:r>
          </w:p>
        </w:tc>
        <w:tc>
          <w:tcPr>
            <w:tcW w:w="356"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Summary Compensation Table Total</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408,978</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249,900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559,278</w:t>
            </w:r>
          </w:p>
        </w:tc>
        <w:tc>
          <w:tcPr>
            <w:tcW w:w="162" w:type="dxa"/>
            <w:tcBorders/>
            <w:shd w:fill="CCEEFF" w:val="clear"/>
            <w:vAlign w:val="bottom"/>
          </w:tcPr>
          <w:p>
            <w:pPr>
              <w:pStyle w:val="TableContents"/>
              <w:bidi w:val="0"/>
              <w:spacing w:before="0" w:after="283"/>
              <w:jc w:val="left"/>
              <w:rPr/>
            </w:pPr>
            <w:r>
              <w:rPr/>
              <w:t> </w:t>
            </w:r>
          </w:p>
        </w:tc>
      </w:tr>
      <w:tr>
        <w:trPr/>
        <w:tc>
          <w:tcPr>
            <w:tcW w:w="4176" w:type="dxa"/>
            <w:tcBorders/>
          </w:tcPr>
          <w:p>
            <w:pPr>
              <w:pStyle w:val="TableContents"/>
              <w:bidi w:val="0"/>
              <w:spacing w:before="0" w:after="0"/>
              <w:jc w:val="left"/>
              <w:rPr>
                <w:rFonts w:ascii="Times New Roman" w:hAnsi="Times New Roman"/>
                <w:sz w:val="20"/>
              </w:rPr>
            </w:pPr>
            <w:r>
              <w:rPr>
                <w:rFonts w:ascii="Times New Roman" w:hAnsi="Times New Roman"/>
                <w:sz w:val="20"/>
              </w:rPr>
              <w:t>(Minus): Grant Date Fair Value of Equity Awards Granted in Fiscal Year</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(53,553</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Fair Value at Fiscal Year End of Outstanding and Unvested Equity Awards Granted in the Fiscal Year</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14,371</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4176" w:type="dxa"/>
            <w:tcBorders/>
          </w:tcPr>
          <w:p>
            <w:pPr>
              <w:pStyle w:val="TableContents"/>
              <w:bidi w:val="0"/>
              <w:spacing w:before="0" w:after="0"/>
              <w:jc w:val="left"/>
              <w:rPr>
                <w:rFonts w:ascii="Times New Roman" w:hAnsi="Times New Roman"/>
                <w:sz w:val="20"/>
              </w:rPr>
            </w:pPr>
            <w:r>
              <w:rPr>
                <w:rFonts w:ascii="Times New Roman" w:hAnsi="Times New Roman"/>
                <w:sz w:val="20"/>
              </w:rPr>
              <w:t>Plus/(Minus): Change in Fair Value of Outstanding and Unvested Equity Awards Granted in Prior Fiscal Years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4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Plus/(Minus): Change in Fair Value as of the Vesting Date of Equity Awards Granted in Prior Fiscal Years that Vested in the Fiscal Year</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(26,909</w:t>
            </w:r>
          </w:p>
        </w:tc>
        <w:tc>
          <w:tcPr>
            <w:tcW w:w="162" w:type="dxa"/>
            <w:tcBorders/>
            <w:shd w:fill="CCEEFF" w:val="clear"/>
            <w:vAlign w:val="bottom"/>
          </w:tcPr>
          <w:p>
            <w:pPr>
              <w:pStyle w:val="TableContents"/>
              <w:bidi w:val="0"/>
              <w:spacing w:before="0" w:after="283"/>
              <w:jc w:val="left"/>
              <w:rPr/>
            </w:pPr>
            <w:r>
              <w:rPr/>
              <w:t>) </w:t>
            </w:r>
          </w:p>
        </w:tc>
      </w:tr>
      <w:tr>
        <w:trPr/>
        <w:tc>
          <w:tcPr>
            <w:tcW w:w="4176" w:type="dxa"/>
            <w:tcBorders/>
          </w:tcPr>
          <w:p>
            <w:pPr>
              <w:pStyle w:val="TableContents"/>
              <w:bidi w:val="0"/>
              <w:spacing w:before="0" w:after="0"/>
              <w:jc w:val="left"/>
              <w:rPr>
                <w:rFonts w:ascii="Times New Roman" w:hAnsi="Times New Roman"/>
                <w:sz w:val="20"/>
              </w:rPr>
            </w:pPr>
            <w:r>
              <w:rPr>
                <w:rFonts w:ascii="Times New Roman" w:hAnsi="Times New Roman"/>
                <w:sz w:val="20"/>
              </w:rPr>
              <w:t>(Minus): Fair Value as of the Prior Fiscal Year End of Equity Awards Granted in Prior Fiscal Years that Failed to Meet Vesting Conditions in the Fiscal Year</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(148,950</w:t>
            </w:r>
          </w:p>
        </w:tc>
        <w:tc>
          <w:tcPr>
            <w:tcW w:w="162" w:type="dxa"/>
            <w:tcBorders/>
            <w:vAlign w:val="bottom"/>
          </w:tcPr>
          <w:p>
            <w:pPr>
              <w:pStyle w:val="TableContents"/>
              <w:bidi w:val="0"/>
              <w:spacing w:before="0" w:after="283"/>
              <w:jc w:val="left"/>
              <w:rPr/>
            </w:pPr>
            <w:r>
              <w:rPr/>
              <w:t>) </w:t>
            </w:r>
          </w:p>
        </w:tc>
      </w:tr>
      <w:tr>
        <w:trPr/>
        <w:tc>
          <w:tcPr>
            <w:tcW w:w="4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369,796</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249,900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383,419</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Company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the Company’s cumulative TSR from December 31, 2022 through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80"/>
        <w:gridCol w:w="587"/>
        <w:gridCol w:w="119"/>
        <w:gridCol w:w="1644"/>
        <w:gridCol w:w="60"/>
        <w:gridCol w:w="587"/>
        <w:gridCol w:w="119"/>
        <w:gridCol w:w="1644"/>
        <w:gridCol w:w="351"/>
        <w:gridCol w:w="502"/>
        <w:gridCol w:w="142"/>
        <w:gridCol w:w="1373"/>
        <w:gridCol w:w="64"/>
      </w:tblGrid>
      <w:tr>
        <w:trPr/>
        <w:tc>
          <w:tcPr>
            <w:tcW w:w="1380"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80" w:type="dxa"/>
            <w:tcBorders/>
            <w:vAlign w:val="bottom"/>
          </w:tcPr>
          <w:p>
            <w:pPr>
              <w:pStyle w:val="TableContents"/>
              <w:bidi w:val="0"/>
              <w:spacing w:before="0" w:after="283"/>
              <w:jc w:val="left"/>
              <w:rPr>
                <w:b/>
              </w:rPr>
            </w:pPr>
            <w:r>
              <w:rPr>
                <w:b/>
              </w:rPr>
              <w:t>Year</w:t>
            </w:r>
          </w:p>
        </w:tc>
        <w:tc>
          <w:tcPr>
            <w:tcW w:w="587" w:type="dxa"/>
            <w:tcBorders/>
            <w:vAlign w:val="bottom"/>
          </w:tcPr>
          <w:p>
            <w:pPr>
              <w:pStyle w:val="TableContents"/>
              <w:bidi w:val="0"/>
              <w:spacing w:before="0" w:after="283"/>
              <w:jc w:val="left"/>
              <w:rPr/>
            </w:pPr>
            <w:r>
              <w:rPr/>
              <w:t>  </w:t>
            </w:r>
          </w:p>
        </w:tc>
        <w:tc>
          <w:tcPr>
            <w:tcW w:w="176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76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351"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Cumulative TSR of</w:t>
            </w:r>
          </w:p>
          <w:p>
            <w:pPr>
              <w:pStyle w:val="TableContents"/>
              <w:bidi w:val="0"/>
              <w:spacing w:before="0" w:after="0"/>
              <w:jc w:val="center"/>
              <w:rPr>
                <w:rFonts w:ascii="Times New Roman" w:hAnsi="Times New Roman"/>
                <w:b/>
                <w:sz w:val="16"/>
              </w:rPr>
            </w:pPr>
            <w:r>
              <w:rPr>
                <w:rFonts w:ascii="Times New Roman" w:hAnsi="Times New Roman"/>
                <w:b/>
                <w:sz w:val="16"/>
              </w:rPr>
              <w:t>$100 Invested Over</w:t>
            </w:r>
          </w:p>
          <w:p>
            <w:pPr>
              <w:pStyle w:val="TableContents"/>
              <w:bidi w:val="0"/>
              <w:spacing w:before="0" w:after="0"/>
              <w:jc w:val="center"/>
              <w:rPr>
                <w:rFonts w:ascii="Times New Roman" w:hAnsi="Times New Roman"/>
                <w:b/>
                <w:sz w:val="16"/>
              </w:rPr>
            </w:pPr>
            <w:r>
              <w:rPr>
                <w:rFonts w:ascii="Times New Roman" w:hAnsi="Times New Roman"/>
                <w:b/>
                <w:sz w:val="16"/>
              </w:rPr>
              <w:t>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20"/>
              <w:jc w:val="center"/>
              <w:rPr>
                <w:rFonts w:ascii="Times New Roman" w:hAnsi="Times New Roman"/>
                <w:b/>
                <w:sz w:val="16"/>
              </w:rPr>
            </w:pPr>
            <w:r>
              <w:rPr>
                <w:rFonts w:ascii="Times New Roman" w:hAnsi="Times New Roman"/>
                <w:b/>
                <w:sz w:val="16"/>
              </w:rPr>
              <w:t>Fiscal Years</w:t>
            </w:r>
          </w:p>
        </w:tc>
        <w:tc>
          <w:tcPr>
            <w:tcW w:w="64" w:type="dxa"/>
            <w:tcBorders/>
            <w:vAlign w:val="bottom"/>
          </w:tcPr>
          <w:p>
            <w:pPr>
              <w:pStyle w:val="TableContents"/>
              <w:bidi w:val="0"/>
              <w:spacing w:before="0" w:after="283"/>
              <w:jc w:val="left"/>
              <w:rPr/>
            </w:pPr>
            <w:r>
              <w:rPr/>
              <w:t> </w:t>
            </w:r>
          </w:p>
        </w:tc>
      </w:tr>
      <w:tr>
        <w:trPr/>
        <w:tc>
          <w:tcPr>
            <w:tcW w:w="1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8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572,153</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355,425</w:t>
            </w:r>
          </w:p>
        </w:tc>
        <w:tc>
          <w:tcPr>
            <w:tcW w:w="351"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9.68</w:t>
            </w:r>
          </w:p>
        </w:tc>
        <w:tc>
          <w:tcPr>
            <w:tcW w:w="64" w:type="dxa"/>
            <w:tcBorders/>
            <w:shd w:fill="CCEEFF" w:val="clear"/>
            <w:vAlign w:val="bottom"/>
          </w:tcPr>
          <w:p>
            <w:pPr>
              <w:pStyle w:val="TableContents"/>
              <w:bidi w:val="0"/>
              <w:spacing w:before="0" w:after="283"/>
              <w:jc w:val="left"/>
              <w:rPr/>
            </w:pPr>
            <w:r>
              <w:rPr/>
              <w:t> </w:t>
            </w:r>
          </w:p>
        </w:tc>
      </w:tr>
      <w:tr>
        <w:trPr/>
        <w:tc>
          <w:tcPr>
            <w:tcW w:w="1380"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8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551,158</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249,900</w:t>
            </w:r>
          </w:p>
        </w:tc>
        <w:tc>
          <w:tcPr>
            <w:tcW w:w="351"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24.64</w:t>
            </w:r>
          </w:p>
        </w:tc>
        <w:tc>
          <w:tcPr>
            <w:tcW w:w="64" w:type="dxa"/>
            <w:tcBorders/>
            <w:vAlign w:val="bottom"/>
          </w:tcPr>
          <w:p>
            <w:pPr>
              <w:pStyle w:val="TableContents"/>
              <w:bidi w:val="0"/>
              <w:spacing w:before="0" w:after="283"/>
              <w:jc w:val="left"/>
              <w:rPr/>
            </w:pPr>
            <w:r>
              <w:rPr/>
              <w:t> </w:t>
            </w:r>
          </w:p>
        </w:tc>
      </w:tr>
      <w:tr>
        <w:trPr/>
        <w:tc>
          <w:tcPr>
            <w:tcW w:w="1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58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113,594</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559,278</w:t>
            </w:r>
          </w:p>
        </w:tc>
        <w:tc>
          <w:tcPr>
            <w:tcW w:w="351" w:type="dxa"/>
            <w:tcBorders/>
            <w:shd w:fill="CCEEFF" w:val="clear"/>
            <w:vAlign w:val="bottom"/>
          </w:tcPr>
          <w:p>
            <w:pPr>
              <w:pStyle w:val="TableContents"/>
              <w:bidi w:val="0"/>
              <w:spacing w:before="0" w:after="283"/>
              <w:jc w:val="left"/>
              <w:rPr/>
            </w:pPr>
            <w:r>
              <w:rPr/>
              <w:t>(1) </w:t>
            </w:r>
          </w:p>
        </w:tc>
        <w:tc>
          <w:tcPr>
            <w:tcW w:w="5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25.53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our Net Income (Loss) during the two most recently completed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98"/>
        <w:gridCol w:w="538"/>
        <w:gridCol w:w="119"/>
        <w:gridCol w:w="1665"/>
        <w:gridCol w:w="60"/>
        <w:gridCol w:w="538"/>
        <w:gridCol w:w="119"/>
        <w:gridCol w:w="1665"/>
        <w:gridCol w:w="350"/>
        <w:gridCol w:w="454"/>
        <w:gridCol w:w="127"/>
        <w:gridCol w:w="1380"/>
        <w:gridCol w:w="159"/>
      </w:tblGrid>
      <w:tr>
        <w:trPr/>
        <w:tc>
          <w:tcPr>
            <w:tcW w:w="1398"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98" w:type="dxa"/>
            <w:tcBorders/>
            <w:vAlign w:val="bottom"/>
          </w:tcPr>
          <w:p>
            <w:pPr>
              <w:pStyle w:val="TableContents"/>
              <w:bidi w:val="0"/>
              <w:spacing w:before="0" w:after="283"/>
              <w:jc w:val="left"/>
              <w:rPr>
                <w:b/>
              </w:rPr>
            </w:pPr>
            <w:r>
              <w:rPr>
                <w:b/>
              </w:rPr>
              <w:t>Year</w:t>
            </w:r>
          </w:p>
        </w:tc>
        <w:tc>
          <w:tcPr>
            <w:tcW w:w="538" w:type="dxa"/>
            <w:tcBorders/>
            <w:vAlign w:val="bottom"/>
          </w:tcPr>
          <w:p>
            <w:pPr>
              <w:pStyle w:val="TableContents"/>
              <w:bidi w:val="0"/>
              <w:spacing w:before="0" w:after="283"/>
              <w:jc w:val="left"/>
              <w:rPr/>
            </w:pPr>
            <w:r>
              <w:rPr/>
              <w:t>  </w:t>
            </w:r>
          </w:p>
        </w:tc>
        <w:tc>
          <w:tcPr>
            <w:tcW w:w="178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78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0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Net Income (Loss)</w:t>
            </w:r>
          </w:p>
          <w:p>
            <w:pPr>
              <w:pStyle w:val="TableContents"/>
              <w:bidi w:val="0"/>
              <w:spacing w:before="0" w:after="0"/>
              <w:jc w:val="center"/>
              <w:rPr>
                <w:rFonts w:ascii="Times New Roman" w:hAnsi="Times New Roman"/>
                <w:b/>
                <w:sz w:val="16"/>
              </w:rPr>
            </w:pPr>
            <w:r>
              <w:rPr>
                <w:rFonts w:ascii="Times New Roman" w:hAnsi="Times New Roman"/>
                <w:b/>
                <w:sz w:val="16"/>
              </w:rPr>
              <w:t>for 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0"/>
              <w:jc w:val="center"/>
              <w:rPr>
                <w:rFonts w:ascii="Times New Roman" w:hAnsi="Times New Roman"/>
                <w:b/>
                <w:sz w:val="16"/>
              </w:rPr>
            </w:pPr>
            <w:r>
              <w:rPr>
                <w:rFonts w:ascii="Times New Roman" w:hAnsi="Times New Roman"/>
                <w:b/>
                <w:sz w:val="16"/>
              </w:rPr>
              <w:t>Fiscal Years</w:t>
            </w:r>
          </w:p>
          <w:p>
            <w:pPr>
              <w:pStyle w:val="TableContents"/>
              <w:bidi w:val="0"/>
              <w:spacing w:before="0" w:after="0"/>
              <w:jc w:val="center"/>
              <w:rPr>
                <w:rFonts w:ascii="Times New Roman" w:hAnsi="Times New Roman"/>
                <w:b/>
                <w:sz w:val="16"/>
              </w:rPr>
            </w:pPr>
            <w:r>
              <w:rPr>
                <w:rFonts w:ascii="Times New Roman" w:hAnsi="Times New Roman"/>
                <w:b/>
                <w:sz w:val="16"/>
              </w:rPr>
              <w:t>(in thousands)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9" w:type="dxa"/>
            <w:tcBorders/>
            <w:vAlign w:val="bottom"/>
          </w:tcPr>
          <w:p>
            <w:pPr>
              <w:pStyle w:val="TableContents"/>
              <w:bidi w:val="0"/>
              <w:spacing w:before="0" w:after="283"/>
              <w:jc w:val="left"/>
              <w:rPr/>
            </w:pPr>
            <w:r>
              <w:rPr/>
              <w:t> </w:t>
            </w:r>
          </w:p>
        </w:tc>
      </w:tr>
      <w:tr>
        <w:trPr/>
        <w:tc>
          <w:tcPr>
            <w:tcW w:w="1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3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572,153</w:t>
            </w:r>
          </w:p>
        </w:tc>
        <w:tc>
          <w:tcPr>
            <w:tcW w:w="60"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355,425</w:t>
            </w:r>
          </w:p>
        </w:tc>
        <w:tc>
          <w:tcPr>
            <w:tcW w:w="35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(3,528</w:t>
            </w:r>
          </w:p>
        </w:tc>
        <w:tc>
          <w:tcPr>
            <w:tcW w:w="159" w:type="dxa"/>
            <w:tcBorders/>
            <w:shd w:fill="CCEEFF" w:val="clear"/>
            <w:vAlign w:val="bottom"/>
          </w:tcPr>
          <w:p>
            <w:pPr>
              <w:pStyle w:val="TableContents"/>
              <w:bidi w:val="0"/>
              <w:spacing w:before="0" w:after="283"/>
              <w:jc w:val="left"/>
              <w:rPr/>
            </w:pPr>
            <w:r>
              <w:rPr/>
              <w:t>) </w:t>
            </w:r>
          </w:p>
        </w:tc>
      </w:tr>
      <w:tr>
        <w:trPr/>
        <w:tc>
          <w:tcPr>
            <w:tcW w:w="1398"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3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551,158</w:t>
            </w:r>
          </w:p>
        </w:tc>
        <w:tc>
          <w:tcPr>
            <w:tcW w:w="60"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right"/>
              <w:rPr/>
            </w:pPr>
            <w:r>
              <w:rPr/>
              <w:t>249,900</w:t>
            </w:r>
          </w:p>
        </w:tc>
        <w:tc>
          <w:tcPr>
            <w:tcW w:w="35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(3,057</w:t>
            </w:r>
          </w:p>
        </w:tc>
        <w:tc>
          <w:tcPr>
            <w:tcW w:w="159" w:type="dxa"/>
            <w:tcBorders/>
            <w:vAlign w:val="bottom"/>
          </w:tcPr>
          <w:p>
            <w:pPr>
              <w:pStyle w:val="TableContents"/>
              <w:bidi w:val="0"/>
              <w:spacing w:before="0" w:after="283"/>
              <w:jc w:val="left"/>
              <w:rPr/>
            </w:pPr>
            <w:r>
              <w:rPr/>
              <w:t>) </w:t>
            </w:r>
          </w:p>
        </w:tc>
      </w:tr>
      <w:tr>
        <w:trPr/>
        <w:tc>
          <w:tcPr>
            <w:tcW w:w="1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53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113,594</w:t>
            </w:r>
          </w:p>
        </w:tc>
        <w:tc>
          <w:tcPr>
            <w:tcW w:w="60"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65" w:type="dxa"/>
            <w:tcBorders/>
            <w:shd w:fill="CCEEFF" w:val="clear"/>
            <w:vAlign w:val="bottom"/>
          </w:tcPr>
          <w:p>
            <w:pPr>
              <w:pStyle w:val="TableContents"/>
              <w:bidi w:val="0"/>
              <w:spacing w:before="0" w:after="283"/>
              <w:jc w:val="right"/>
              <w:rPr/>
            </w:pPr>
            <w:r>
              <w:rPr/>
              <w:t>559,278</w:t>
            </w:r>
          </w:p>
        </w:tc>
        <w:tc>
          <w:tcPr>
            <w:tcW w:w="350" w:type="dxa"/>
            <w:tcBorders/>
            <w:shd w:fill="CCEEFF" w:val="clear"/>
            <w:vAlign w:val="bottom"/>
          </w:tcPr>
          <w:p>
            <w:pPr>
              <w:pStyle w:val="TableContents"/>
              <w:bidi w:val="0"/>
              <w:spacing w:before="0" w:after="283"/>
              <w:jc w:val="left"/>
              <w:rPr/>
            </w:pPr>
            <w:r>
              <w:rPr/>
              <w:t>(1) </w:t>
            </w:r>
          </w:p>
        </w:tc>
        <w:tc>
          <w:tcPr>
            <w:tcW w:w="45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(5,263</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1069_12"/>
      <w:bookmarkEnd w:id="14"/>
      <w:r>
        <w:rPr>
          <w:rFonts w:ascii="Times New Roman" w:hAnsi="Times New Roman"/>
          <w:b/>
          <w:sz w:val="20"/>
        </w:rPr>
        <w:t xml:space="preserve">CYCLERION NON-EMPLOYEE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provide compensation to our non-employee directors that is designed to enable us to attract and incentivize high quality directors, provide them with compensation at a level that is consistent with our compensation objectives and encourage their ownership of our stock to further align their interests with those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non-employee directors for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95"/>
        <w:gridCol w:w="462"/>
        <w:gridCol w:w="152"/>
        <w:gridCol w:w="1055"/>
        <w:gridCol w:w="60"/>
        <w:gridCol w:w="462"/>
        <w:gridCol w:w="78"/>
        <w:gridCol w:w="540"/>
        <w:gridCol w:w="60"/>
        <w:gridCol w:w="462"/>
        <w:gridCol w:w="102"/>
        <w:gridCol w:w="731"/>
        <w:gridCol w:w="60"/>
        <w:gridCol w:w="462"/>
        <w:gridCol w:w="60"/>
        <w:gridCol w:w="381"/>
        <w:gridCol w:w="66"/>
      </w:tblGrid>
      <w:tr>
        <w:trPr/>
        <w:tc>
          <w:tcPr>
            <w:tcW w:w="4195"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95" w:type="dxa"/>
            <w:tcBorders/>
            <w:vAlign w:val="bottom"/>
          </w:tcPr>
          <w:p>
            <w:pPr>
              <w:pStyle w:val="TableContents"/>
              <w:bidi w:val="0"/>
              <w:spacing w:before="0" w:after="283"/>
              <w:jc w:val="left"/>
              <w:rPr>
                <w:b/>
              </w:rPr>
            </w:pPr>
            <w:r>
              <w:rPr>
                <w:b/>
              </w:rPr>
              <w:t>Name</w:t>
            </w:r>
          </w:p>
        </w:tc>
        <w:tc>
          <w:tcPr>
            <w:tcW w:w="462"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Fees Earned or</w:t>
            </w:r>
          </w:p>
          <w:p>
            <w:pPr>
              <w:pStyle w:val="TableContents"/>
              <w:bidi w:val="0"/>
              <w:spacing w:before="0" w:after="0"/>
              <w:jc w:val="center"/>
              <w:rPr>
                <w:rFonts w:ascii="Times New Roman" w:hAnsi="Times New Roman"/>
                <w:b/>
                <w:sz w:val="16"/>
              </w:rPr>
            </w:pPr>
            <w:r>
              <w:rPr>
                <w:rFonts w:ascii="Times New Roman" w:hAnsi="Times New Roman"/>
                <w:b/>
                <w:sz w:val="16"/>
              </w:rPr>
              <w:t>Paid in Cash</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Awards(2)</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44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46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Peter M. Hecht, Ph.D.</w:t>
            </w:r>
          </w:p>
        </w:tc>
        <w:tc>
          <w:tcPr>
            <w:tcW w:w="46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F. Higgins</w:t>
            </w:r>
          </w:p>
        </w:tc>
        <w:tc>
          <w:tcPr>
            <w:tcW w:w="46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46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46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14, 2022, each non-employee director (other than Mr. Higgins, Dr. Hyman and Dr. Katabi) was granted an annual stock option award to purchase 500 shares of the Company’s Common Stock having an exercise price per share equal to the closing price on the grant date or $10.60 per share. These stock option awards vested in full on the first anniversary of the grant date subject to the terms and conditions of the stock option award agreement and are all outstanding as of December 31, 2024. On July 25, 2022, in connection with Dr. Hyman joining the Board, he was granted a pro-rata annual stock option award to purchase 887 shares of the Company’s Common Stock and an initial stock option award to purchase 2,000 shares of the Company’s Common Stock, each at an exercise price per share equal to the closing price on the grant date or $15.50 per share. Dr. Hyman’s annual stock option award vests in full on the first anniversary of the grant date and his initial stock option award vests in 36 equal monthly installments over a three-year period following the date of grant, in each case, subject to the terms and conditions of the stock option award agreement and are all outstanding as of December 31, 2024. On May 15, 2023, each of Dr. De Souza and Dr. Hyman was granted an annual stock option award to purchase 1,000 shares of the Company’s Common Stock having an exercise price per share equal to the closing price on the grant date or $3.82 per share. These stock option awards vested in full on the first anniversary of the grant date subject to the terms and conditions of the stock option award agreement and are all outstanding as of December 31, 2025. The amounts in the above table reflect the fair value of stock option awards on the date of grant calculated in accordance with the provisions of Financial Accounting Standards Board Accounting Standard Codification Topic 718, Compensation—Stock Compensation. For a discussion of the assumptions used in the valuation of awards, see Note 8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restricted stock awards during the year ended December 31, 2023 to the members of the Board of Directors for their services as members of the Board of Directors. These director restricted stock awards were issued in November 2023, with each director (other than Mr. McGuire) receiving an award of 20,000 shares of restricted Common Stock. Dr. De Souza, as Chairman of the Board of Directors, received an additional grant of 30,000 shares of restricted Common Stock for his services as Chairman of the Board of Director. All of these grants provided for an initial vesting of a portion of the shares with the remainder vesting ratably over a 42-month period, subject to earlier vesting as set forth in the 2019 Equity Plan. Compensation expense is recognized over the applicable service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1069_13"/>
      <w:bookmarkEnd w:id="15"/>
      <w:r>
        <w:rPr>
          <w:rFonts w:ascii="Times New Roman" w:hAnsi="Times New Roman"/>
          <w:b/>
          <w:sz w:val="20"/>
        </w:rPr>
        <w:t xml:space="preserve">CYCLERION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regarding Cyclerion’s equity compensation plans in effect as of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284"/>
        <w:gridCol w:w="164"/>
        <w:gridCol w:w="147"/>
        <w:gridCol w:w="1974"/>
        <w:gridCol w:w="350"/>
        <w:gridCol w:w="101"/>
        <w:gridCol w:w="315"/>
        <w:gridCol w:w="1537"/>
        <w:gridCol w:w="60"/>
        <w:gridCol w:w="164"/>
        <w:gridCol w:w="147"/>
        <w:gridCol w:w="1974"/>
        <w:gridCol w:w="355"/>
      </w:tblGrid>
      <w:tr>
        <w:trPr/>
        <w:tc>
          <w:tcPr>
            <w:tcW w:w="128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2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164" w:type="dxa"/>
            <w:tcBorders/>
            <w:vAlign w:val="bottom"/>
          </w:tcPr>
          <w:p>
            <w:pPr>
              <w:pStyle w:val="TableContents"/>
              <w:bidi w:val="0"/>
              <w:spacing w:before="0" w:after="283"/>
              <w:jc w:val="left"/>
              <w:rPr/>
            </w:pPr>
            <w:r>
              <w:rPr/>
              <w:t>  </w:t>
            </w:r>
          </w:p>
        </w:tc>
        <w:tc>
          <w:tcPr>
            <w:tcW w:w="2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to be issued upon</w:t>
              <w:br/>
              <w:t>exercise of</w:t>
              <w:br/>
              <w:t>outstanding options,</w:t>
              <w:br/>
              <w:t>warrants and rights</w:t>
              <w:br/>
              <w:t>(a)</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2"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br/>
              <w:t>exercise price of</w:t>
              <w:br/>
              <w:t>outstanding</w:t>
              <w:br/>
              <w:t>options, warrants</w:t>
              <w:br/>
              <w:t>and rights</w:t>
            </w:r>
            <w:r>
              <w:rPr/>
              <w:br/>
            </w:r>
            <w:r>
              <w:rPr>
                <w:b/>
              </w:rPr>
              <w:t>(b)</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 (c)</w:t>
            </w:r>
          </w:p>
        </w:tc>
        <w:tc>
          <w:tcPr>
            <w:tcW w:w="355" w:type="dxa"/>
            <w:tcBorders/>
            <w:vAlign w:val="bottom"/>
          </w:tcPr>
          <w:p>
            <w:pPr>
              <w:pStyle w:val="TableContents"/>
              <w:bidi w:val="0"/>
              <w:spacing w:before="0" w:after="283"/>
              <w:jc w:val="left"/>
              <w:rPr/>
            </w:pPr>
            <w:r>
              <w:rPr/>
              <w:t> </w:t>
            </w:r>
          </w:p>
        </w:tc>
      </w:tr>
      <w:tr>
        <w:trPr/>
        <w:tc>
          <w:tcPr>
            <w:tcW w:w="1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297,762</w:t>
            </w:r>
          </w:p>
        </w:tc>
        <w:tc>
          <w:tcPr>
            <w:tcW w:w="350" w:type="dxa"/>
            <w:tcBorders/>
            <w:shd w:fill="CCEEFF" w:val="clear"/>
            <w:vAlign w:val="bottom"/>
          </w:tcPr>
          <w:p>
            <w:pPr>
              <w:pStyle w:val="TableContents"/>
              <w:bidi w:val="0"/>
              <w:spacing w:before="0" w:after="283"/>
              <w:jc w:val="left"/>
              <w:rPr/>
            </w:pPr>
            <w:r>
              <w:rPr/>
              <w:t>(1) </w:t>
            </w:r>
          </w:p>
        </w:tc>
        <w:tc>
          <w:tcPr>
            <w:tcW w:w="101"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537" w:type="dxa"/>
            <w:tcBorders/>
            <w:shd w:fill="CCEEFF" w:val="clear"/>
            <w:vAlign w:val="bottom"/>
          </w:tcPr>
          <w:p>
            <w:pPr>
              <w:pStyle w:val="TableContents"/>
              <w:bidi w:val="0"/>
              <w:spacing w:before="0" w:after="283"/>
              <w:jc w:val="right"/>
              <w:rPr/>
            </w:pPr>
            <w:r>
              <w:rPr/>
              <w:t>149.73</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382,900</w:t>
            </w:r>
          </w:p>
        </w:tc>
        <w:tc>
          <w:tcPr>
            <w:tcW w:w="355" w:type="dxa"/>
            <w:tcBorders/>
            <w:shd w:fill="CCEEFF" w:val="clear"/>
            <w:vAlign w:val="bottom"/>
          </w:tcPr>
          <w:p>
            <w:pPr>
              <w:pStyle w:val="TableContents"/>
              <w:bidi w:val="0"/>
              <w:spacing w:before="0" w:after="283"/>
              <w:jc w:val="left"/>
              <w:rPr/>
            </w:pPr>
            <w:r>
              <w:rPr/>
              <w:t>(2) </w:t>
            </w:r>
          </w:p>
        </w:tc>
      </w:tr>
      <w:tr>
        <w:trPr/>
        <w:tc>
          <w:tcPr>
            <w:tcW w:w="1284"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r>
      <w:tr>
        <w:trPr/>
        <w:tc>
          <w:tcPr>
            <w:tcW w:w="1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297,762</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sz w:val="4"/>
                <w:szCs w:val="4"/>
              </w:rPr>
            </w:pPr>
            <w:r>
              <w:rPr>
                <w:sz w:val="4"/>
                <w:szCs w:val="4"/>
              </w:rPr>
            </w:r>
          </w:p>
        </w:tc>
        <w:tc>
          <w:tcPr>
            <w:tcW w:w="15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382,900</w:t>
            </w:r>
          </w:p>
        </w:tc>
        <w:tc>
          <w:tcPr>
            <w:tcW w:w="35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issuable upon exercise of outstanding options under Cyclerion’s 2019 Equity Incentive Plan (the “2019 Plan”) and Amended and Restated 2010 Equity Incentive Plan (the “2010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291,952 shares available under the 2019 Plan and 2010 Plan and 90,948 shares available under Cyclerion’s 2019 Employee Stock Purchase Plan (“2019 ESPP”). An annual increase to be added on the date of each annual meeting of the stockholders of Cyclerion, the number of shares reserved under the 2019 Plan is automatically increased by 4% of the total number of shares of stock outstanding on a fully diluted basis as of the close of business on the immediately preceding business day, or a lesser number of shares as may be determined by the Cyclerion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1069_14"/>
      <w:bookmarkEnd w:id="16"/>
      <w:r>
        <w:rPr>
          <w:rFonts w:ascii="Times New Roman" w:hAnsi="Times New Roman"/>
          <w:b/>
          <w:sz w:val="20"/>
        </w:rPr>
        <w:t xml:space="preserve">KORSANA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Korsana will become executive officers of the Combined Company. This section sets forth the fiscal year 2025 compensatory arrangements for the following executive officers of Korsana (the “Korsana NEOs”):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Name(1)</w:t>
            </w:r>
          </w:p>
        </w:tc>
        <w:tc>
          <w:tcPr>
            <w:tcW w:w="204"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Appointment Date</w:t>
            </w:r>
          </w:p>
        </w:tc>
      </w:tr>
      <w:tr>
        <w:trPr/>
        <w:tc>
          <w:tcPr>
            <w:tcW w:w="3572" w:type="dxa"/>
            <w:tcBorders/>
          </w:tcPr>
          <w:p>
            <w:pPr>
              <w:pStyle w:val="TableContents"/>
              <w:bidi w:val="0"/>
              <w:spacing w:before="0" w:after="283"/>
              <w:jc w:val="left"/>
              <w:rPr/>
            </w:pPr>
            <w:r>
              <w:rPr/>
              <w:t>Jonathan Violin</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Director; Chief Executive Officer, President and Secretary(2)</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August 25, 2025</w:t>
            </w:r>
          </w:p>
        </w:tc>
      </w:tr>
      <w:tr>
        <w:trPr/>
        <w:tc>
          <w:tcPr>
            <w:tcW w:w="3572" w:type="dxa"/>
            <w:tcBorders/>
          </w:tcPr>
          <w:p>
            <w:pPr>
              <w:pStyle w:val="TableContents"/>
              <w:bidi w:val="0"/>
              <w:spacing w:before="0" w:after="283"/>
              <w:jc w:val="left"/>
              <w:rPr/>
            </w:pPr>
            <w:r>
              <w:rPr/>
              <w:t>Kyle Breidenstine</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Senior Vice President, Finance and Treasurer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September 10, 2025</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 Vignola, Korsana’s Chief Financial Officer, and Madelyn Zeylikman, Korsana’s General Counsel and Secretary, were not appointed until 2026 and thus did not earn any compensation during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Violin was appointed on August 26, 2025. From August 1, 2025 until December 31, 2025, Dr. Violin provided services to Korsana as a consultant.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total compensation awarded to, earned by, and paid to the Korsana NEOs for the 2025 fiscal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43"/>
        <w:gridCol w:w="161"/>
        <w:gridCol w:w="60"/>
        <w:gridCol w:w="501"/>
        <w:gridCol w:w="60"/>
        <w:gridCol w:w="161"/>
        <w:gridCol w:w="140"/>
        <w:gridCol w:w="808"/>
        <w:gridCol w:w="60"/>
        <w:gridCol w:w="161"/>
        <w:gridCol w:w="140"/>
        <w:gridCol w:w="808"/>
        <w:gridCol w:w="59"/>
        <w:gridCol w:w="161"/>
        <w:gridCol w:w="140"/>
        <w:gridCol w:w="808"/>
        <w:gridCol w:w="60"/>
        <w:gridCol w:w="161"/>
        <w:gridCol w:w="145"/>
        <w:gridCol w:w="1051"/>
        <w:gridCol w:w="60"/>
        <w:gridCol w:w="161"/>
        <w:gridCol w:w="140"/>
        <w:gridCol w:w="986"/>
        <w:gridCol w:w="70"/>
      </w:tblGrid>
      <w:tr>
        <w:trPr/>
        <w:tc>
          <w:tcPr>
            <w:tcW w:w="31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1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and Principal Position</w:t>
            </w:r>
          </w:p>
        </w:tc>
        <w:tc>
          <w:tcPr>
            <w:tcW w:w="16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($)(2)</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70" w:type="dxa"/>
            <w:tcBorders/>
            <w:vAlign w:val="bottom"/>
          </w:tcPr>
          <w:p>
            <w:pPr>
              <w:pStyle w:val="TableContents"/>
              <w:bidi w:val="0"/>
              <w:spacing w:before="0" w:after="283"/>
              <w:jc w:val="left"/>
              <w:rPr/>
            </w:pPr>
            <w:r>
              <w:rPr/>
              <w:t> </w:t>
            </w:r>
          </w:p>
        </w:tc>
      </w:tr>
      <w:tr>
        <w:trPr/>
        <w:tc>
          <w:tcPr>
            <w:tcW w:w="3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Jonathan Violin</w:t>
            </w:r>
          </w:p>
          <w:p>
            <w:pPr>
              <w:pStyle w:val="TableContents"/>
              <w:bidi w:val="0"/>
              <w:spacing w:before="0" w:after="20"/>
              <w:jc w:val="left"/>
              <w:rPr>
                <w:rFonts w:ascii="Times New Roman" w:hAnsi="Times New Roman"/>
                <w:i/>
                <w:sz w:val="20"/>
              </w:rPr>
            </w:pPr>
            <w:r>
              <w:rPr>
                <w:rFonts w:ascii="Times New Roman" w:hAnsi="Times New Roman"/>
                <w:i/>
                <w:sz w:val="20"/>
              </w:rPr>
              <w:t>Director; Chief Executive Officer, President and Secretary</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808" w:type="dxa"/>
            <w:tcBorders/>
            <w:shd w:fill="CCEEFF" w:val="clear"/>
          </w:tcPr>
          <w:p>
            <w:pPr>
              <w:pStyle w:val="TableContents"/>
              <w:bidi w:val="0"/>
              <w:spacing w:before="0" w:after="283"/>
              <w:jc w:val="right"/>
              <w:rPr/>
            </w:pPr>
            <w:r>
              <w:rPr/>
              <w:t>250,000</w:t>
            </w:r>
          </w:p>
        </w:tc>
        <w:tc>
          <w:tcPr>
            <w:tcW w:w="60" w:type="dxa"/>
            <w:tcBorders/>
            <w:shd w:fill="CCEEFF" w:val="clear"/>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808" w:type="dxa"/>
            <w:tcBorders/>
            <w:shd w:fill="CCEEFF" w:val="clear"/>
          </w:tcPr>
          <w:p>
            <w:pPr>
              <w:pStyle w:val="TableContents"/>
              <w:bidi w:val="0"/>
              <w:spacing w:before="0" w:after="283"/>
              <w:jc w:val="right"/>
              <w:rPr/>
            </w:pPr>
            <w:r>
              <w:rPr/>
              <w:t>125,000</w:t>
            </w:r>
          </w:p>
        </w:tc>
        <w:tc>
          <w:tcPr>
            <w:tcW w:w="59" w:type="dxa"/>
            <w:tcBorders/>
            <w:shd w:fill="CCEEFF" w:val="clear"/>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808" w:type="dxa"/>
            <w:tcBorders/>
            <w:shd w:fill="CCEEFF" w:val="clear"/>
          </w:tcPr>
          <w:p>
            <w:pPr>
              <w:pStyle w:val="TableContents"/>
              <w:bidi w:val="0"/>
              <w:spacing w:before="0" w:after="283"/>
              <w:jc w:val="right"/>
              <w:rPr/>
            </w:pPr>
            <w:r>
              <w:rPr/>
              <w:t>565,596</w:t>
            </w:r>
          </w:p>
        </w:tc>
        <w:tc>
          <w:tcPr>
            <w:tcW w:w="60" w:type="dxa"/>
            <w:tcBorders/>
            <w:shd w:fill="CCEEFF" w:val="clear"/>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5" w:type="dxa"/>
            <w:tcBorders/>
            <w:shd w:fill="CCEEFF" w:val="clear"/>
          </w:tcPr>
          <w:p>
            <w:pPr>
              <w:pStyle w:val="TableContents"/>
              <w:bidi w:val="0"/>
              <w:spacing w:before="0" w:after="283"/>
              <w:jc w:val="left"/>
              <w:rPr/>
            </w:pPr>
            <w:r>
              <w:rPr/>
              <w:t>$</w:t>
            </w:r>
          </w:p>
        </w:tc>
        <w:tc>
          <w:tcPr>
            <w:tcW w:w="1051" w:type="dxa"/>
            <w:tcBorders/>
            <w:shd w:fill="CCEEFF" w:val="clear"/>
          </w:tcPr>
          <w:p>
            <w:pPr>
              <w:pStyle w:val="TableContents"/>
              <w:bidi w:val="0"/>
              <w:spacing w:before="0" w:after="283"/>
              <w:jc w:val="right"/>
              <w:rPr/>
            </w:pPr>
            <w:r>
              <w:rPr/>
              <w:t>3,237,057</w:t>
            </w:r>
          </w:p>
        </w:tc>
        <w:tc>
          <w:tcPr>
            <w:tcW w:w="60" w:type="dxa"/>
            <w:tcBorders/>
            <w:shd w:fill="CCEEFF" w:val="clear"/>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986" w:type="dxa"/>
            <w:tcBorders/>
            <w:shd w:fill="CCEEFF" w:val="clear"/>
          </w:tcPr>
          <w:p>
            <w:pPr>
              <w:pStyle w:val="TableContents"/>
              <w:bidi w:val="0"/>
              <w:spacing w:before="0" w:after="283"/>
              <w:jc w:val="right"/>
              <w:rPr/>
            </w:pPr>
            <w:r>
              <w:rPr/>
              <w:t>4,177,653</w:t>
            </w:r>
          </w:p>
        </w:tc>
        <w:tc>
          <w:tcPr>
            <w:tcW w:w="70" w:type="dxa"/>
            <w:tcBorders/>
            <w:shd w:fill="CCEEFF" w:val="clear"/>
          </w:tcPr>
          <w:p>
            <w:pPr>
              <w:pStyle w:val="TableContents"/>
              <w:bidi w:val="0"/>
              <w:spacing w:before="0" w:after="283"/>
              <w:jc w:val="left"/>
              <w:rPr/>
            </w:pPr>
            <w:r>
              <w:rPr/>
              <w:t> </w:t>
            </w:r>
          </w:p>
        </w:tc>
      </w:tr>
      <w:tr>
        <w:trPr/>
        <w:tc>
          <w:tcPr>
            <w:tcW w:w="314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Kyle Breidenstine </w:t>
            </w:r>
          </w:p>
          <w:p>
            <w:pPr>
              <w:pStyle w:val="TableContents"/>
              <w:bidi w:val="0"/>
              <w:spacing w:before="0" w:after="20"/>
              <w:jc w:val="left"/>
              <w:rPr>
                <w:rFonts w:ascii="Times New Roman" w:hAnsi="Times New Roman"/>
                <w:i/>
                <w:sz w:val="20"/>
              </w:rPr>
            </w:pPr>
            <w:r>
              <w:rPr>
                <w:rFonts w:ascii="Times New Roman" w:hAnsi="Times New Roman"/>
                <w:i/>
                <w:sz w:val="20"/>
              </w:rPr>
              <w:t>Senior Vice President, Finance and Treasurer</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808" w:type="dxa"/>
            <w:tcBorders/>
          </w:tcPr>
          <w:p>
            <w:pPr>
              <w:pStyle w:val="TableContents"/>
              <w:bidi w:val="0"/>
              <w:spacing w:before="0" w:after="283"/>
              <w:jc w:val="right"/>
              <w:rPr/>
            </w:pPr>
            <w:r>
              <w:rPr/>
              <w:t>100,527</w:t>
            </w:r>
          </w:p>
        </w:tc>
        <w:tc>
          <w:tcPr>
            <w:tcW w:w="60"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808" w:type="dxa"/>
            <w:tcBorders/>
          </w:tcPr>
          <w:p>
            <w:pPr>
              <w:pStyle w:val="TableContents"/>
              <w:bidi w:val="0"/>
              <w:spacing w:before="0" w:after="283"/>
              <w:jc w:val="right"/>
              <w:rPr/>
            </w:pPr>
            <w:r>
              <w:rPr/>
              <w:t>78,500</w:t>
            </w:r>
          </w:p>
        </w:tc>
        <w:tc>
          <w:tcPr>
            <w:tcW w:w="59"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808"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5" w:type="dxa"/>
            <w:tcBorders/>
          </w:tcPr>
          <w:p>
            <w:pPr>
              <w:pStyle w:val="TableContents"/>
              <w:bidi w:val="0"/>
              <w:spacing w:before="0" w:after="283"/>
              <w:jc w:val="left"/>
              <w:rPr/>
            </w:pPr>
            <w:r>
              <w:rPr/>
              <w:t>$</w:t>
            </w:r>
          </w:p>
        </w:tc>
        <w:tc>
          <w:tcPr>
            <w:tcW w:w="1051" w:type="dxa"/>
            <w:tcBorders/>
          </w:tcPr>
          <w:p>
            <w:pPr>
              <w:pStyle w:val="TableContents"/>
              <w:bidi w:val="0"/>
              <w:spacing w:before="0" w:after="283"/>
              <w:jc w:val="right"/>
              <w:rPr/>
            </w:pPr>
            <w:r>
              <w:rPr/>
              <w:t>310,202</w:t>
            </w:r>
          </w:p>
        </w:tc>
        <w:tc>
          <w:tcPr>
            <w:tcW w:w="60" w:type="dxa"/>
            <w:tcBorders/>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986" w:type="dxa"/>
            <w:tcBorders/>
          </w:tcPr>
          <w:p>
            <w:pPr>
              <w:pStyle w:val="TableContents"/>
              <w:bidi w:val="0"/>
              <w:spacing w:before="0" w:after="283"/>
              <w:jc w:val="right"/>
              <w:rPr/>
            </w:pPr>
            <w:r>
              <w:rPr/>
              <w:t>489,229</w:t>
            </w:r>
          </w:p>
        </w:tc>
        <w:tc>
          <w:tcPr>
            <w:tcW w:w="70" w:type="dxa"/>
            <w:tcBorders/>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 this column for 2025 for Dr. Violin represents consulting fees paid for services provided to Korsana.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(i) annual cash bonus compensation paid for performance in 2025,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Annual Bonuses</w:t>
            </w:r>
            <w:r>
              <w:rPr>
                <w:rFonts w:ascii="Times New Roman" w:hAnsi="Times New Roman"/>
                <w:sz w:val="20"/>
              </w:rPr>
              <w:t>” below, and (ii) a $40,000 signing bonus paid to Mr. Breidenstine in connection with his appointment,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NEO Agreements—Mr.</w:t>
            </w:r>
            <w:r>
              <w:rPr>
                <w:rFonts w:ascii="Times New Roman" w:hAnsi="Times New Roman"/>
                <w:sz w:val="20"/>
              </w:rPr>
              <w:t> </w:t>
            </w:r>
            <w:r>
              <w:rPr>
                <w:rFonts w:ascii="Times New Roman" w:hAnsi="Times New Roman"/>
                <w:i/>
                <w:sz w:val="20"/>
              </w:rPr>
              <w:t>Breidenstine</w:t>
            </w:r>
            <w:r>
              <w:rPr>
                <w:rFonts w:ascii="Times New Roman" w:hAnsi="Times New Roman"/>
                <w:sz w:val="20"/>
              </w:rPr>
              <w:t xml:space="preserve">” below.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restricted stock awarded to the Korsana NEOs during 2025, calculated in accordance with Financial Accounting Standard Board Accounting Standards Codification Topic 718 (“FASB ASC Topic 718”) based on a per share value of $0.57. See Note 7 to Korsana’s financial statements included elsewhere in this proxy statement/prospectus for more information on the assumptions used in calculating such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stock options awarded to the Korsana NEOs during 2025, calculated in accordance with FASB ASC Topic 718. See Note 7 to Korsana’s financial statements included elsewhere in this proxy statement/prospectus for more information on the assumptions used in calculating such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The base salary for each Korsana NEO was established in connection with the commencement of their services or employment with Korsana after taking into account market compensation rates, responsibilities,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Korsana expects to review base salaries for the Korsana NEOs annually and may adjust salaries from time to time to realign with market levels after taking into account individual responsibilities, internal equity, performance, and experience. During 2025, Dr. Violin received a monthly consulting fee of $50,000 (which was not pro-rated for partial months) and his annual base salary, effective as of January 1, 2026, is $600,000. During 2025, the annual base salary for Mr. Breidenstine was $330,000.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Each Korsana NEO is eligible to participate in Korsana’s annual bonus program with target bonuses equal to 50% of his base consulting fee for Dr. Violin and 35% of base salary for Mr. Breidenstine. For 2025, each of Dr. Violin’s and Mr. Breidenstine’s target bonus was pro-rated based on their respective service commencement date with Korsana. </w:t>
      </w:r>
    </w:p>
    <w:p>
      <w:pPr>
        <w:pStyle w:val="TextBody"/>
        <w:bidi w:val="0"/>
        <w:spacing w:before="240" w:after="0"/>
        <w:jc w:val="left"/>
        <w:rPr>
          <w:rFonts w:ascii="Times New Roman" w:hAnsi="Times New Roman"/>
          <w:sz w:val="20"/>
        </w:rPr>
      </w:pPr>
      <w:r>
        <w:rPr>
          <w:rFonts w:ascii="Times New Roman" w:hAnsi="Times New Roman"/>
          <w:sz w:val="20"/>
        </w:rPr>
        <w:t>The 2025 bonuses were paid out based on a holistic evaluation of Korsana’s performance and the Korsana NEOs’ contributions to Korsana during 2025. Based on such performance, the Korsana Board approved the payment of annual bonuses at 100% of target in the amounts set forth in the “</w:t>
      </w:r>
      <w:r>
        <w:rPr>
          <w:rFonts w:ascii="Times New Roman" w:hAnsi="Times New Roman"/>
          <w:i/>
          <w:sz w:val="20"/>
        </w:rPr>
        <w:t>Summary Compensation Table</w:t>
      </w:r>
      <w:r>
        <w:rPr>
          <w:rFonts w:ascii="Times New Roman" w:hAnsi="Times New Roman"/>
          <w:sz w:val="20"/>
        </w:rPr>
        <w:t xml:space="preserve">” above, which were paid in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Korsana’s equity grant program is intended to align the interests of the Korsana NEOs with those of Korsana’s stockholders and to motivate them to make important contributions to Korsana’s performance. In connection with their commencement of services with Korsana, on October 27, 2025: (i) Dr. Violin purchased 1,000,000 shares of restricted stock at $0.86 per share, representing the fair market value on such date, which shares vest 25% on June 1, 2026 and monthly thereafter through June 1, 2029; and (ii) Mr. Breidenstine received options to purchase 484,337 shares of Korsana Common Stock, which vest 25% on September 10, 2026 and monthly thereafter until September 10, 2029. In addition, on October 27, 2025, Dr. Violin received options to purchase 5,054,217 shares of Korsana Common Stock, which vest 25% on June 1, 2026 and monthly thereafter until June 1, 2029.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commencement of their services and/or employment with Korsana, Korsana entered into a consulting agreement and/or offer letters with each of the Korsana NEOs, as described below. For purposes of the following descriptions, “cause,” “change in control,” and “good reason” have the meanings provided under the respective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Violin </w:t>
      </w:r>
    </w:p>
    <w:p>
      <w:pPr>
        <w:pStyle w:val="TextBody"/>
        <w:bidi w:val="0"/>
        <w:spacing w:before="240" w:after="0"/>
        <w:jc w:val="left"/>
        <w:rPr>
          <w:rFonts w:ascii="Times New Roman" w:hAnsi="Times New Roman"/>
          <w:sz w:val="20"/>
        </w:rPr>
      </w:pPr>
      <w:r>
        <w:rPr>
          <w:rFonts w:ascii="Times New Roman" w:hAnsi="Times New Roman"/>
          <w:sz w:val="20"/>
        </w:rPr>
        <w:t>Prior to the commencement of his employment with Korsana, Dr. Violin provided services pursuant to a consulting agreement with Korsana. Under the consulting agreement, Dr. Violin received monthly consulting fees equal to $50,000 per month and an initial opportunity to purchase shares of restricted stock, as described above under “</w:t>
      </w:r>
      <w:r>
        <w:rPr>
          <w:rFonts w:ascii="Times New Roman" w:hAnsi="Times New Roman"/>
          <w:i/>
          <w:sz w:val="20"/>
        </w:rPr>
        <w:t>Long-Term Incentives</w:t>
      </w:r>
      <w:r>
        <w:rPr>
          <w:rFonts w:ascii="Times New Roman" w:hAnsi="Times New Roman"/>
          <w:sz w:val="20"/>
        </w:rPr>
        <w:t xml:space="preserve">.” In addition, Korsana will periodically grant stock options sufficient to maintain Dr. Violin’s ownership at approximately 5% on a fully-diluted basis until Korsana has raised an additional $200 million in financing following the effective date of his consulting agreement, to vest in equal monthly installments after the applicable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employment, Dr. Violin’s consulting agreement automatically terminated and he entered into an offer letter with Korsana, effective January 1, 2026, which provides for at-will employment. Dr. Violin’s offer letter provides for an annual base salary of $600,000 and an annual target bonus equal to 50% of his base salary. The offer letter also provides for the same periodic grants of stock options as described above under his consulting agreement. The options granted to Dr. Violin on October 27, 2025 were in partial satisfaction (with respect to $151 million in financing) of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Dr. Violin’s offer letter, in the event of Dr. Violin’s termination by Korsana without cause more than three months before or more than 12 months following a change in control of Korsana, he is eligible for the following severance benefits, subject to his execution and non-revocation of a release of claims: (i) severance payments equal to 12 months of his base salary, (ii) any earned but unpaid bonus for the year prior to the year of termination, (iii) if such termination occurs prior to June 1, 2026, acceleration of his outstanding equity awards that were scheduled to vest on June 1, 2026 and if such termination occurs on or after June 1, 2026, the acceleration of 30% of the unvested portion of his time-based equity awards, and (iv) Korsana-subsidized continued health coverage for up to 12 months. Upon a termination by Korsana without cause or his resignation for good reason within three months before or within 12 months following a change in control of Korsana, he will instead be eligible to receive (i) severance payments equal to 18 months of his base salary, (ii) any earned but unpaid bonus for the year prior to the year of termination, (iii) full acceleration of his outstanding time-based equity awards, and (iv) Korsana-subsidized continued health coverage for up to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Mr. Breidenstine </w:t>
      </w:r>
    </w:p>
    <w:p>
      <w:pPr>
        <w:pStyle w:val="TextBody"/>
        <w:bidi w:val="0"/>
        <w:spacing w:before="120" w:after="0"/>
        <w:jc w:val="left"/>
        <w:rPr>
          <w:rFonts w:ascii="Times New Roman" w:hAnsi="Times New Roman"/>
          <w:sz w:val="20"/>
        </w:rPr>
      </w:pPr>
      <w:r>
        <w:rPr>
          <w:rFonts w:ascii="Times New Roman" w:hAnsi="Times New Roman"/>
          <w:sz w:val="20"/>
        </w:rPr>
        <w:t>In connection with his employment, Mr. Breidenstine entered into an offer letter which provides for at-will employment. Mr. Breidenstine’s offer letter provides for an annual base salary of $330,000, an annual target bonus equal to 35% of his base salary, pro-rated for 2025, and a one-time signing bonus of $40,000, which is subject to repayment in the event Mr. Breidenstine is terminated for cause or resigns within 12 months. The offer letter also provides for an initial grant of stock options as described above under “</w:t>
      </w:r>
      <w:r>
        <w:rPr>
          <w:rFonts w:ascii="Times New Roman" w:hAnsi="Times New Roman"/>
          <w:i/>
          <w:sz w:val="20"/>
        </w:rPr>
        <w:t>Long-Term Incentives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Mr. Breidenstine’s offer letter, in the event of his termination by Korsana without cause before or more than 12 months following a change in control of Korsana, he is eligible for the following severance benefits, subject to his execution and non-revocation of a release of claims: (i) severance payments equal to nine months of his base salary, (ii) any earned but unpaid bonus for the year prior to the year of termination, and (iii) Korsana-subsidized continued health coverage for up to nine months. Upon a termination by Korsana without cause or his resignation for good reason within 12 months following a change in control, he will also receive full acceleration of his outstanding time-based equity awards.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each of the Korsana NEOs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3"/>
        <w:gridCol w:w="145"/>
        <w:gridCol w:w="172"/>
        <w:gridCol w:w="1112"/>
        <w:gridCol w:w="60"/>
        <w:gridCol w:w="145"/>
        <w:gridCol w:w="83"/>
        <w:gridCol w:w="1378"/>
        <w:gridCol w:w="357"/>
        <w:gridCol w:w="89"/>
        <w:gridCol w:w="212"/>
        <w:gridCol w:w="665"/>
        <w:gridCol w:w="60"/>
        <w:gridCol w:w="145"/>
        <w:gridCol w:w="60"/>
        <w:gridCol w:w="1077"/>
        <w:gridCol w:w="60"/>
        <w:gridCol w:w="145"/>
        <w:gridCol w:w="60"/>
        <w:gridCol w:w="1007"/>
        <w:gridCol w:w="357"/>
        <w:gridCol w:w="89"/>
        <w:gridCol w:w="140"/>
        <w:gridCol w:w="825"/>
        <w:gridCol w:w="69"/>
      </w:tblGrid>
      <w:tr>
        <w:trPr/>
        <w:tc>
          <w:tcPr>
            <w:tcW w:w="16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6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6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9" w:type="dxa"/>
            <w:tcBorders/>
            <w:vAlign w:val="bottom"/>
          </w:tcPr>
          <w:p>
            <w:pPr>
              <w:pStyle w:val="TableContents"/>
              <w:bidi w:val="0"/>
              <w:spacing w:before="0" w:after="283"/>
              <w:jc w:val="left"/>
              <w:rPr/>
            </w:pPr>
            <w:r>
              <w:rPr/>
              <w:t> </w:t>
            </w:r>
          </w:p>
        </w:tc>
      </w:tr>
      <w:tr>
        <w:trPr/>
        <w:tc>
          <w:tcPr>
            <w:tcW w:w="16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45"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35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 (#)</w:t>
            </w:r>
          </w:p>
        </w:tc>
        <w:tc>
          <w:tcPr>
            <w:tcW w:w="35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w:t>
              <w:br/>
              <w:t>That Have</w:t>
              <w:br/>
              <w:t>Not</w:t>
              <w:br/>
              <w:t>Vested</w:t>
              <w:br/>
              <w:t>($)(1)</w:t>
            </w:r>
          </w:p>
        </w:tc>
        <w:tc>
          <w:tcPr>
            <w:tcW w:w="69" w:type="dxa"/>
            <w:tcBorders/>
            <w:vAlign w:val="bottom"/>
          </w:tcPr>
          <w:p>
            <w:pPr>
              <w:pStyle w:val="TableContents"/>
              <w:bidi w:val="0"/>
              <w:spacing w:before="0" w:after="283"/>
              <w:jc w:val="left"/>
              <w:rPr/>
            </w:pPr>
            <w:r>
              <w:rPr/>
              <w:t> </w:t>
            </w:r>
          </w:p>
        </w:tc>
      </w:tr>
      <w:tr>
        <w:trPr/>
        <w:tc>
          <w:tcPr>
            <w:tcW w:w="1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14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5,054,217</w:t>
            </w:r>
          </w:p>
        </w:tc>
        <w:tc>
          <w:tcPr>
            <w:tcW w:w="357" w:type="dxa"/>
            <w:tcBorders/>
            <w:shd w:fill="CCEEFF" w:val="clear"/>
            <w:vAlign w:val="bottom"/>
          </w:tcPr>
          <w:p>
            <w:pPr>
              <w:pStyle w:val="TableContents"/>
              <w:bidi w:val="0"/>
              <w:spacing w:before="0" w:after="283"/>
              <w:jc w:val="left"/>
              <w:rPr/>
            </w:pPr>
            <w:r>
              <w:rPr>
                <w:b/>
              </w:rPr>
              <w:t>(2)</w:t>
            </w:r>
            <w:r>
              <w:rPr/>
              <w:t> </w:t>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10/26/2035</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1,000,000</w:t>
            </w:r>
          </w:p>
        </w:tc>
        <w:tc>
          <w:tcPr>
            <w:tcW w:w="357" w:type="dxa"/>
            <w:tcBorders/>
            <w:shd w:fill="CCEEFF" w:val="clear"/>
            <w:vAlign w:val="bottom"/>
          </w:tcPr>
          <w:p>
            <w:pPr>
              <w:pStyle w:val="TableContents"/>
              <w:bidi w:val="0"/>
              <w:spacing w:before="0" w:after="283"/>
              <w:jc w:val="left"/>
              <w:rPr/>
            </w:pPr>
            <w:r>
              <w:rPr>
                <w:b/>
              </w:rPr>
              <w:t>(3)</w:t>
            </w:r>
            <w:r>
              <w:rPr/>
              <w:t> </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860,000</w:t>
            </w:r>
          </w:p>
        </w:tc>
        <w:tc>
          <w:tcPr>
            <w:tcW w:w="69" w:type="dxa"/>
            <w:tcBorders/>
            <w:shd w:fill="CCEEFF" w:val="clear"/>
            <w:vAlign w:val="bottom"/>
          </w:tcPr>
          <w:p>
            <w:pPr>
              <w:pStyle w:val="TableContents"/>
              <w:bidi w:val="0"/>
              <w:spacing w:before="0" w:after="283"/>
              <w:jc w:val="left"/>
              <w:rPr/>
            </w:pPr>
            <w:r>
              <w:rPr/>
              <w:t> </w:t>
            </w:r>
          </w:p>
        </w:tc>
      </w:tr>
      <w:tr>
        <w:trPr/>
        <w:tc>
          <w:tcPr>
            <w:tcW w:w="1693" w:type="dxa"/>
            <w:tcBorders/>
          </w:tcPr>
          <w:p>
            <w:pPr>
              <w:pStyle w:val="TableContents"/>
              <w:bidi w:val="0"/>
              <w:spacing w:before="0" w:after="0"/>
              <w:jc w:val="left"/>
              <w:rPr>
                <w:rFonts w:ascii="Times New Roman" w:hAnsi="Times New Roman"/>
                <w:sz w:val="20"/>
              </w:rPr>
            </w:pPr>
            <w:r>
              <w:rPr>
                <w:rFonts w:ascii="Times New Roman" w:hAnsi="Times New Roman"/>
                <w:sz w:val="20"/>
              </w:rPr>
              <w:t>Kyle Breidenstine</w:t>
            </w:r>
          </w:p>
        </w:tc>
        <w:tc>
          <w:tcPr>
            <w:tcW w:w="14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484,337</w:t>
            </w:r>
          </w:p>
        </w:tc>
        <w:tc>
          <w:tcPr>
            <w:tcW w:w="357" w:type="dxa"/>
            <w:tcBorders/>
            <w:vAlign w:val="bottom"/>
          </w:tcPr>
          <w:p>
            <w:pPr>
              <w:pStyle w:val="TableContents"/>
              <w:bidi w:val="0"/>
              <w:spacing w:before="0" w:after="283"/>
              <w:jc w:val="left"/>
              <w:rPr/>
            </w:pPr>
            <w:r>
              <w:rPr>
                <w:b/>
              </w:rPr>
              <w:t>(4)</w:t>
            </w:r>
            <w:r>
              <w:rPr/>
              <w:t> </w:t>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665"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10/26/2035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reflect the value of restricted stock as of December 31, 2025, based on a per share price of $0.86.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June 1, 2026 and thereafter in approximately equal monthly installments for 36 months, subject to Dr. Violin’s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September 10, 2026 and thereafter in approximately equal monthly installments for 36 months, subject to Mr. Breidenstine’s continued service through the applicable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Narrative Disclosure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Korsana provides employees, including the Korsana NEOs, the opportunity to participate in a tax-qualified defined contribution 401(k) retirement plan; however, Korsana did not provide any matching or other contributions under such plan in 2025. Korsana does not provide any non-qualified deferred compensation plans or defined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Korsana also maintains a 2025 Equity Incentive Plan, the purpose of which is to advance the interests of Korsana’s stockholders by enhancing Korsana’s ability to attract, retain and motivate persons who are expected to make important contributions to Korsana and by providing such persons with equity ownership opportunities and performance-based incentives that are intended to better align the interests of such persons with those of Korsana’s stockholders. Korsana’s 2025 Equity Incentive Plan provides for the issuance of up to 20,584,336 shares of Korsana Common Stock (of which 8,140,038 shares remain available for issuance as of March 30, 2026), which may be granted as stock options, restricted stock, restricted stock units and other stock-based awards to eligible employees, officers, directors, consultants and advisors of Korsana on such terms and conditions as approved by the Korsana Board or any committee appointed by the Korsana Board to administer Korsana’s 2025 Equity Incentive Plan. No grants will be made under Korsana’s 2025 Equity Incentive Plan following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1069_15"/>
      <w:bookmarkEnd w:id="17"/>
      <w:r>
        <w:rPr>
          <w:rFonts w:ascii="Times New Roman" w:hAnsi="Times New Roman"/>
          <w:b/>
          <w:sz w:val="20"/>
        </w:rPr>
        <w:t xml:space="preserve">KORSANA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2025, pursuant to the terms of a consulting agreement between Korsana and Ms. Pernice, Korsana granted Ms. Pernice stock options to acquire 138,889 shares of Korsana Common Stock, which vest 25% on November 8, 2025 and monthly thereafter until November 8, 2028. </w:t>
      </w:r>
    </w:p>
    <w:p>
      <w:pPr>
        <w:pStyle w:val="TextBody"/>
        <w:bidi w:val="0"/>
        <w:spacing w:before="240" w:after="0"/>
        <w:jc w:val="left"/>
        <w:rPr>
          <w:rFonts w:ascii="Times New Roman" w:hAnsi="Times New Roman"/>
          <w:sz w:val="20"/>
        </w:rPr>
      </w:pPr>
      <w:r>
        <w:rPr>
          <w:rFonts w:ascii="Times New Roman" w:hAnsi="Times New Roman"/>
          <w:sz w:val="20"/>
        </w:rPr>
        <w:t xml:space="preserve">No members of the Korsana Board received any cash retainers or other fees during 2025, and no members, other than Ms. Pernice, received any other compensation during 2025. Korsana did not implement a formal non-employee director compensation policy during 2025. It is expected that the Combined Company will implement a non-employee director compensation program that is expected to include an annual cash retainer and annual equity grants. </w:t>
      </w:r>
    </w:p>
    <w:p>
      <w:pPr>
        <w:pStyle w:val="TextBody"/>
        <w:bidi w:val="0"/>
        <w:spacing w:before="360" w:after="0"/>
        <w:jc w:val="left"/>
        <w:rPr>
          <w:rFonts w:ascii="Times New Roman" w:hAnsi="Times New Roman"/>
          <w:b/>
          <w:sz w:val="20"/>
        </w:rPr>
      </w:pPr>
      <w:r>
        <w:rPr>
          <w:rFonts w:ascii="Times New Roman" w:hAnsi="Times New Roman"/>
          <w:b/>
          <w:sz w:val="20"/>
        </w:rPr>
        <w:t xml:space="preserve">2025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for each person who served as a non-employee member of the Korsana Board during 2025. Directors who also serve as employees received no additional compensation for their service as directors.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8"/>
        <w:gridCol w:w="490"/>
        <w:gridCol w:w="283"/>
        <w:gridCol w:w="1426"/>
        <w:gridCol w:w="352"/>
        <w:gridCol w:w="394"/>
        <w:gridCol w:w="140"/>
        <w:gridCol w:w="729"/>
        <w:gridCol w:w="63"/>
      </w:tblGrid>
      <w:tr>
        <w:trPr/>
        <w:tc>
          <w:tcPr>
            <w:tcW w:w="3878"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7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490" w:type="dxa"/>
            <w:tcBorders/>
            <w:vAlign w:val="bottom"/>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 xml:space="preserve">($)(1) </w:t>
            </w:r>
          </w:p>
        </w:tc>
        <w:tc>
          <w:tcPr>
            <w:tcW w:w="352"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3"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4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4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352"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Nilesh Kumar</w:t>
            </w:r>
          </w:p>
        </w:tc>
        <w:tc>
          <w:tcPr>
            <w:tcW w:w="4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4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88,954</w:t>
            </w:r>
          </w:p>
        </w:tc>
        <w:tc>
          <w:tcPr>
            <w:tcW w:w="352" w:type="dxa"/>
            <w:tcBorders/>
            <w:vAlign w:val="bottom"/>
          </w:tcPr>
          <w:p>
            <w:pPr>
              <w:pStyle w:val="TableContents"/>
              <w:bidi w:val="0"/>
              <w:spacing w:before="0" w:after="283"/>
              <w:jc w:val="left"/>
              <w:rPr/>
            </w:pPr>
            <w:r>
              <w:rPr/>
              <w:t>(2)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88,954</w:t>
            </w:r>
          </w:p>
        </w:tc>
        <w:tc>
          <w:tcPr>
            <w:tcW w:w="63"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4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Times New Roman" w:hAnsi="Times New Roman"/>
                <w:sz w:val="20"/>
              </w:rPr>
            </w:pPr>
            <w:r>
              <w:rPr>
                <w:rFonts w:ascii="Times New Roman" w:hAnsi="Times New Roman"/>
                <w:sz w:val="20"/>
              </w:rPr>
              <w:t>Peter Harwin</w:t>
            </w:r>
          </w:p>
        </w:tc>
        <w:tc>
          <w:tcPr>
            <w:tcW w:w="4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352"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options awarded to Korsana non-employee directors during 2025, calculated in accordance with FASB ASC Topic 718. See Note 7 to Korsana’s financial statements included elsewhere in this proxy statement/prospectus for more information on the assumptions used in calculating such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Ms. Pernice held outstanding options to acquire 138,889 shares of Korsana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11069_16"/>
      <w:bookmarkEnd w:id="18"/>
      <w:r>
        <w:rPr>
          <w:rFonts w:ascii="Times New Roman" w:hAnsi="Times New Roman"/>
          <w:b/>
          <w:sz w:val="20"/>
        </w:rPr>
        <w:t xml:space="preserve">MATTERS BEING SUBMITTED TO A VOTE OF CYCLERION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11069_17"/>
      <w:bookmarkEnd w:id="19"/>
      <w:r>
        <w:rPr>
          <w:rFonts w:ascii="Times New Roman" w:hAnsi="Times New Roman"/>
          <w:b/>
          <w:sz w:val="20"/>
        </w:rPr>
        <w:t xml:space="preserve">PROPOSAL NO. 1 - THE NASDAQ STOCK ISSUANCE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(i) the issuance of shares of Cyclerion Common Stock, including shares of Cyclerion Common Stock issuable upon conversion of Cyclerion Series B Preferred Stock, to the stockholders of Korsana pursuant to the Merger Agreement, which shares of Cyclerion Common Stock will represent more than 20% of the shares of Cyclerion Common Stock outstanding immediately prior to the First Merger and (ii) the change of control of Cyclerion resulting from the First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Cyclerion securityholders as of immediately prior to the First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Under certain circumstances further described in the Merger Agreement, the ownership percentages may be adjusted up or down, including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assume outstanding and unexercised Korsana Options to purchase shares of Korsana Common Stock, Korsana RSUs, and Korsana Warrants to purchase shares of Korsana Common Stock, and such securities will be converted into options to purchase shares of Cyclerion Common Stock, Cyclerion RSUs and Warrants to purchase shares of Cyclerion Common Stock, as applicable, subject to certain adjustments.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and the Merger are described in detail in the section of this proxy statement/prospectus titled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shareholder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Cyclerion Common Stock in the Merger exceeds the 20% under the Nasdaq Listing Rules and is expected to represent approximately 98.9% of Cyclerion Common Stock on a fully-diluted basis immediately following the Merger. Accordingly, in order to ensure compliance with Nasdaq Listing Rule 5635(a)(1), Cyclerion must obtain the approval of Cyclerion shareholders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shareholder approval prior to an issuance of stock that will result in a “change of control” of the listed company. It is expected that Nasdaq will determine that the Merger constitutes a “change of control” of Cyclerion. Accordingly, in order to ensure compliance with Nasdaq Listing Rule 5635(b), Cyclerion must obtain the approval of Cyclerion shareholders of the change of control resulting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unless, to the extent permitted by applicable law, each of Cyclerion, the Merger Subs, and Korsana waives such condition. Notwithstanding the approval of the Nasdaq Stock Issuance Proposal, if the Authorized Share Increase Proposal or the Reverse Split Proposal are not approved or the other closing conditions under the Merger Agreement are not satisfied or waived,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Nasdaq Stock Issuance Proposal. See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Support</w:t>
      </w:r>
      <w:r>
        <w:rPr>
          <w:rFonts w:ascii="Times New Roman" w:hAnsi="Times New Roman"/>
          <w:sz w:val="20"/>
        </w:rPr>
        <w:t xml:space="preserve"> </w:t>
      </w:r>
      <w:r>
        <w:rPr>
          <w:rFonts w:ascii="Times New Roman" w:hAnsi="Times New Roman"/>
          <w:i/>
          <w:sz w:val="20"/>
        </w:rPr>
        <w:t>Agreements</w:t>
      </w:r>
      <w:r>
        <w:rPr>
          <w:rFonts w:ascii="Times New Roman" w:hAnsi="Times New Roman"/>
          <w:sz w:val="20"/>
        </w:rPr>
        <w:t xml:space="preserve">” beginning on page 188 of this proxy statement/prospectus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1069_18"/>
      <w:bookmarkEnd w:id="20"/>
      <w:r>
        <w:rPr>
          <w:rFonts w:ascii="Times New Roman" w:hAnsi="Times New Roman"/>
          <w:b/>
          <w:sz w:val="20"/>
        </w:rPr>
        <w:t xml:space="preserve">PROPOSAL NO. 2 - THE AUTHORIZED SHARE INCREASE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increase the number of authorized shares of Cyclerion Common Stock (the “Cyclerion Share Increase Amendment”). On July 16, 2026, the Cyclerion Board approved a proposal to amend the Cyclerion Articles to increase the number of authorized shares of Cyclerion Common Stock from 400,000,000 shares to 700,000,000, which would also have the effect of increasing the total number of authorized shares from 500,000,000, including Cyclerion preferred stock, to 800,000,000 (the “Cyclerion Share Increase”), in the form attached as </w:t>
      </w:r>
      <w:r>
        <w:rPr>
          <w:rFonts w:ascii="Times New Roman" w:hAnsi="Times New Roman"/>
          <w:i/>
          <w:sz w:val="20"/>
        </w:rPr>
        <w:t>Annex H</w:t>
      </w:r>
      <w:r>
        <w:rPr>
          <w:rFonts w:ascii="Times New Roman" w:hAnsi="Times New Roman"/>
          <w:sz w:val="20"/>
        </w:rPr>
        <w:t xml:space="preserve"> to this proxy statement/prospectus. As of June 30, 2026, there were 4,330,314 shares of Cyclerion Common Stock issued and outstanding, and 20,226,082 shares of Cyclerion Common Stock reserved for issuance. Accordingly, approximately 375,443,604 shares of the total number of Cyclerion Common Stock currently authorized remain available for issuance or may be reserved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 Increase Amendment would amend and restate the first paragraph of Article III of the Cyclerion Articles in its entirety as follows: </w:t>
      </w:r>
    </w:p>
    <w:p>
      <w:pPr>
        <w:pStyle w:val="TextBody"/>
        <w:bidi w:val="0"/>
        <w:spacing w:before="120" w:after="0"/>
        <w:jc w:val="left"/>
        <w:rPr/>
      </w:pPr>
      <w:r>
        <w:rPr/>
        <w:t>“</w:t>
      </w:r>
      <w:r>
        <w:rPr>
          <w:rFonts w:ascii="Times New Roman" w:hAnsi="Times New Roman"/>
          <w:sz w:val="20"/>
        </w:rPr>
        <w:t xml:space="preserve">State the total number of shares and par value, if any, of each class of stock that the corporation is authorized to issue. All corporations must authorize stock. If only one class or series is authorized, it is not necessary to specify any particular designation.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8"/>
        <w:gridCol w:w="203"/>
        <w:gridCol w:w="2047"/>
        <w:gridCol w:w="203"/>
        <w:gridCol w:w="1799"/>
        <w:gridCol w:w="286"/>
        <w:gridCol w:w="2048"/>
        <w:gridCol w:w="121"/>
        <w:gridCol w:w="1150"/>
      </w:tblGrid>
      <w:tr>
        <w:trPr/>
        <w:tc>
          <w:tcPr>
            <w:tcW w:w="234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4598"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Without Par Value</w:t>
            </w:r>
          </w:p>
        </w:tc>
        <w:tc>
          <w:tcPr>
            <w:tcW w:w="203" w:type="dxa"/>
            <w:tcBorders/>
            <w:vAlign w:val="bottom"/>
          </w:tcPr>
          <w:p>
            <w:pPr>
              <w:pStyle w:val="TableContents"/>
              <w:bidi w:val="0"/>
              <w:spacing w:before="0" w:after="283"/>
              <w:jc w:val="left"/>
              <w:rPr/>
            </w:pPr>
            <w:r>
              <w:rPr/>
              <w:t>  </w:t>
            </w:r>
          </w:p>
        </w:tc>
        <w:tc>
          <w:tcPr>
            <w:tcW w:w="5404"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With Par Value</w:t>
            </w:r>
          </w:p>
        </w:tc>
      </w:tr>
      <w:tr>
        <w:trPr/>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203" w:type="dxa"/>
            <w:tcBorders/>
            <w:vAlign w:val="bottom"/>
          </w:tcPr>
          <w:p>
            <w:pPr>
              <w:pStyle w:val="TableContents"/>
              <w:bidi w:val="0"/>
              <w:spacing w:before="0" w:after="283"/>
              <w:jc w:val="left"/>
              <w:rPr/>
            </w:pPr>
            <w:r>
              <w:rPr/>
              <w:t>  </w:t>
            </w:r>
          </w:p>
        </w:tc>
        <w:tc>
          <w:tcPr>
            <w:tcW w:w="20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03" w:type="dxa"/>
            <w:tcBorders/>
            <w:vAlign w:val="bottom"/>
          </w:tcPr>
          <w:p>
            <w:pPr>
              <w:pStyle w:val="TableContents"/>
              <w:bidi w:val="0"/>
              <w:spacing w:before="0" w:after="283"/>
              <w:jc w:val="left"/>
              <w:rPr/>
            </w:pPr>
            <w:r>
              <w:rPr/>
              <w:t>  </w:t>
            </w:r>
          </w:p>
        </w:tc>
        <w:tc>
          <w:tcPr>
            <w:tcW w:w="17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286" w:type="dxa"/>
            <w:tcBorders/>
            <w:vAlign w:val="bottom"/>
          </w:tcPr>
          <w:p>
            <w:pPr>
              <w:pStyle w:val="TableContents"/>
              <w:bidi w:val="0"/>
              <w:spacing w:before="0" w:after="283"/>
              <w:jc w:val="left"/>
              <w:rPr/>
            </w:pPr>
            <w:r>
              <w:rPr/>
              <w:t>  </w:t>
            </w:r>
          </w:p>
        </w:tc>
        <w:tc>
          <w:tcPr>
            <w:tcW w:w="20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121" w:type="dxa"/>
            <w:tcBorders/>
            <w:vAlign w:val="bottom"/>
          </w:tcPr>
          <w:p>
            <w:pPr>
              <w:pStyle w:val="TableContents"/>
              <w:bidi w:val="0"/>
              <w:spacing w:before="0" w:after="283"/>
              <w:jc w:val="left"/>
              <w:rPr/>
            </w:pPr>
            <w:r>
              <w:rPr/>
              <w:t>  </w:t>
            </w:r>
          </w:p>
        </w:tc>
        <w:tc>
          <w:tcPr>
            <w:tcW w:w="11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PAR VALUE</w:t>
            </w:r>
          </w:p>
        </w:tc>
      </w:tr>
      <w:tr>
        <w:trPr/>
        <w:tc>
          <w:tcPr>
            <w:tcW w:w="2348" w:type="dxa"/>
            <w:tcBorders/>
            <w:vAlign w:val="bottom"/>
          </w:tcPr>
          <w:p>
            <w:pPr>
              <w:pStyle w:val="TableContents"/>
              <w:bidi w:val="0"/>
              <w:spacing w:before="0" w:after="283"/>
              <w:jc w:val="center"/>
              <w:rPr/>
            </w:pPr>
            <w:r>
              <w:rPr/>
              <w:t>Common</w:t>
            </w:r>
          </w:p>
        </w:tc>
        <w:tc>
          <w:tcPr>
            <w:tcW w:w="203"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center"/>
              <w:rPr/>
            </w:pPr>
            <w:r>
              <w:rPr/>
              <w:t>700,000,000</w:t>
            </w:r>
          </w:p>
        </w:tc>
        <w:tc>
          <w:tcPr>
            <w:tcW w:w="203"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04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left"/>
              <w:rPr>
                <w:sz w:val="4"/>
                <w:szCs w:val="4"/>
              </w:rPr>
            </w:pPr>
            <w:r>
              <w:rPr>
                <w:sz w:val="4"/>
                <w:szCs w:val="4"/>
              </w:rPr>
            </w:r>
          </w:p>
        </w:tc>
      </w:tr>
      <w:tr>
        <w:trPr/>
        <w:tc>
          <w:tcPr>
            <w:tcW w:w="2348" w:type="dxa"/>
            <w:tcBorders/>
            <w:vAlign w:val="bottom"/>
          </w:tcPr>
          <w:p>
            <w:pPr>
              <w:pStyle w:val="TableContents"/>
              <w:bidi w:val="0"/>
              <w:spacing w:before="0" w:after="283"/>
              <w:jc w:val="center"/>
              <w:rPr/>
            </w:pPr>
            <w:r>
              <w:rPr/>
              <w:t>Preferred</w:t>
            </w:r>
          </w:p>
        </w:tc>
        <w:tc>
          <w:tcPr>
            <w:tcW w:w="203"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center"/>
              <w:rPr/>
            </w:pPr>
            <w:r>
              <w:rPr/>
              <w:t>99,500,000</w:t>
            </w:r>
          </w:p>
        </w:tc>
        <w:tc>
          <w:tcPr>
            <w:tcW w:w="203"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04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left"/>
              <w:rPr>
                <w:sz w:val="4"/>
                <w:szCs w:val="4"/>
              </w:rPr>
            </w:pPr>
            <w:r>
              <w:rPr>
                <w:sz w:val="4"/>
                <w:szCs w:val="4"/>
              </w:rPr>
            </w:r>
          </w:p>
        </w:tc>
      </w:tr>
      <w:tr>
        <w:trPr/>
        <w:tc>
          <w:tcPr>
            <w:tcW w:w="2348" w:type="dxa"/>
            <w:tcBorders/>
            <w:vAlign w:val="bottom"/>
          </w:tcPr>
          <w:p>
            <w:pPr>
              <w:pStyle w:val="TableContents"/>
              <w:bidi w:val="0"/>
              <w:spacing w:before="0" w:after="283"/>
              <w:jc w:val="center"/>
              <w:rPr/>
            </w:pPr>
            <w:r>
              <w:rPr/>
              <w:t>Series A Convertible Preferred</w:t>
            </w:r>
          </w:p>
        </w:tc>
        <w:tc>
          <w:tcPr>
            <w:tcW w:w="203"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center"/>
              <w:rPr/>
            </w:pPr>
            <w:r>
              <w:rPr/>
              <w:t>500,000</w:t>
            </w:r>
          </w:p>
        </w:tc>
        <w:tc>
          <w:tcPr>
            <w:tcW w:w="203"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04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is authorized to issue 800 million shares of capital stock of which 700 million are “Common Stock” and 100 million shares 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currently authorizes the issuance of up to 400,000,000 shares of Cyclerion Common Stock and 100,000,000 shares of preferred stock. As of the close of business on June 30, 2026, there were 4,330,314 shares of Cyclerion Common Stock issued and outstanding, and 20,226,082 shares of Cyclerion Common Stock reserved for issuance. Accordingly, 375,443,604 shares of the total number of Cyclerion Common Stock currently authorized remain available for issuance or may be reserved for issuance. </w:t>
      </w:r>
    </w:p>
    <w:p>
      <w:pPr>
        <w:pStyle w:val="TextBody"/>
        <w:bidi w:val="0"/>
        <w:spacing w:before="240" w:after="0"/>
        <w:jc w:val="left"/>
        <w:rPr>
          <w:rFonts w:ascii="Times New Roman" w:hAnsi="Times New Roman"/>
          <w:sz w:val="20"/>
        </w:rPr>
      </w:pPr>
      <w:r>
        <w:rPr>
          <w:rFonts w:ascii="Times New Roman" w:hAnsi="Times New Roman"/>
          <w:sz w:val="20"/>
        </w:rPr>
        <w:t>As described in greater detail in the section of this proxy statement/prospectus titled “</w:t>
      </w:r>
      <w:r>
        <w:rPr>
          <w:rFonts w:ascii="Times New Roman" w:hAnsi="Times New Roman"/>
          <w:i/>
          <w:sz w:val="20"/>
        </w:rPr>
        <w:t>The Merger Agreement</w:t>
      </w:r>
      <w:r>
        <w:rPr>
          <w:rFonts w:ascii="Times New Roman" w:hAnsi="Times New Roman"/>
          <w:sz w:val="20"/>
        </w:rPr>
        <w:t xml:space="preserve">,” pursuant to the Merger Agreement, Cyclerion will be required to issue shares of Cyclerion Common Stock, including shares of Cyclerion Common Stock issuable upon conversion of Cyclerion Series B Preferred Stock, to Korsana stockholders and to assume Korsana’s 2025 Equity Incentive Plan and outstanding Korsana Options, Korsana RSUs, and Korsana Warrants.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Cyclerion Common Stock currently authorized and unissued and not reserved for issuance is not sufficient for (i) the issuance of Cyclerion Common Stock, including shares of Cyclerion Common Stock issuable upon conversion of Cyclerion Series B Preferred Stock, pursuant to the Merger Agreement and (ii) the assumption of Korsana’s 2025 Equity Incentive Plan and Korsana Options, Korsana RSUs, and Korsana Warrants. In addition, there will not be sufficient shares of Cyclerion Common Stock available for issuance in connection with possible future acquisitions, equity and equity-based financings, possible future awards under employee benefit plans and other corporate purposes that the Cyclerion Board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 to be desirable. Therefore, the Cyclerion Board has determined that the Cyclerion Share Increase Amendment is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Cyclerion Share Increase Amendment is approved by shareholders, upon its effectiveness, and without giving effect to the proposed reverse stock split described in Proposal No. 3 of this proxy statement/prospectus, Cyclerion will have a total of 700,000,000 authorized shares of Cyclerion Common Stock, with 4,330,314 shares of Cyclerion Common Stock issued and outstanding (as of June 30, 2026), and 20,226,082 shares reserved for issuance (as of June 30, 2026), leaving a balance of 675,443,604 shares of Cyclerion Common Stock authorized and unissued and not reserved for any specific purpose. Such outstanding share amounts will be correspondingly adjusted to the extent the proposed reverse stock split is effected prior to effectiveness of the Cyclerion Share Increase Amendment, but the reverse stock split will not change the number of authorized shares of common or preferred stock. The Cyclerion Share Increase Amendment will have no effect on the authorized shares of Cyclerion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of Cyclerion Common Stock, including shares of Cyclerion Common Stock issuable upon conversion of Cyclerion Series B Preferred Stock, and (ii) the issuance of shares of Cyclerion Common Stock that may result from the assumption of Korsana’s 2025 Equity Incentive Plan and outstanding options to purchase Korsana Common Stock, Korsana RSUs, and Korsana Warrants, each pursuant to the terms of the Merger Agreement, Cyclerion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and becomes effective, the additional authorized shares would be available for issuance at the discretion of the Cyclerion Board and without further shareholder approval, except as may be required by law or Nasdaq rules. The additional shares of authorized Cyclerion Common Stock would have the same rights and privileges as the shares of Cyclerion Common Stock currently issued and outstanding. Holders of Cyclerion Common Stock have no preemptive rights. The Cyclerion Share Increase would not change the number of shares of common stock outstanding, nor will it have any immediate dilutive effect; however, the issuance of additional shares of Cyclerion Common Stock authorized by the Cyclerion Share Increase may, among other things, have a dilutive effect on earnings per share and on shareholders’ equity and voting rights. Furthermore, future sales of substantial amounts of Cyclerion Common Stock, or the perception that these sales might occur, could adversely affect the prevailing market price of Cyclerion Common Stock or limit Cyclerion’s ability to raise additional capital. Cyclerion shareholders should recognize that, as a result of this proposal, they will own a smaller percentage of shares relative to the total authorized shares of the company than they presently own. </w:t>
      </w:r>
    </w:p>
    <w:p>
      <w:pPr>
        <w:pStyle w:val="TextBody"/>
        <w:bidi w:val="0"/>
        <w:spacing w:before="240" w:after="0"/>
        <w:jc w:val="left"/>
        <w:rPr>
          <w:rFonts w:ascii="Times New Roman" w:hAnsi="Times New Roman"/>
          <w:sz w:val="20"/>
        </w:rPr>
      </w:pPr>
      <w:r>
        <w:rPr>
          <w:rFonts w:ascii="Times New Roman" w:hAnsi="Times New Roman"/>
          <w:sz w:val="20"/>
        </w:rPr>
        <w:t>Additionally, if the Cyclerion Share Increase Amendment is approved and becomes effective, it will increase the number of unissued authorized shares, which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However, the Cyclerion Share Increase Amendment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Cyclerion Share Increase Amendment or the Cyclerion Share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Effectiveness of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by the shareholders at the Cyclerion Shareholders Meeting, it will become effective upon the filing of a certificate of amendment, a copy of which is attached as </w:t>
      </w:r>
      <w:r>
        <w:rPr>
          <w:rFonts w:ascii="Times New Roman" w:hAnsi="Times New Roman"/>
          <w:i/>
          <w:sz w:val="20"/>
        </w:rPr>
        <w:t>Annex H</w:t>
      </w:r>
      <w:r>
        <w:rPr>
          <w:rFonts w:ascii="Times New Roman" w:hAnsi="Times New Roman"/>
          <w:sz w:val="20"/>
        </w:rPr>
        <w:t xml:space="preserve"> to this proxy statement/prospectus, with the Secretary of the Commonwealth of Massachusetts or such later effective date and time as specified in the certificate of amendment in accordance with Massachusetts law. </w:t>
      </w:r>
    </w:p>
    <w:p>
      <w:pPr>
        <w:pStyle w:val="TextBody"/>
        <w:bidi w:val="0"/>
        <w:spacing w:before="240" w:after="0"/>
        <w:jc w:val="left"/>
        <w:rPr>
          <w:rFonts w:ascii="Times New Roman" w:hAnsi="Times New Roman"/>
          <w:sz w:val="20"/>
        </w:rPr>
      </w:pPr>
      <w:r>
        <w:rPr>
          <w:rFonts w:ascii="Times New Roman" w:hAnsi="Times New Roman"/>
          <w:sz w:val="20"/>
        </w:rPr>
        <w:t xml:space="preserve">Copies of the Cyclerion Articles and the certificates of amendment to the Cyclerion Articles are available as exhibits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Authorized Share Increase Proposal, unless, to the extent permitted by applicable law, each of Cyclerion, the Merger Subs, and Korsana waives such condition. Notwithstanding the approval of the Authorized Share Increase Proposal, if the Nasdaq Stock Issuance Proposal or the Reverse Split Proposal are not approved or the other closing conditions under the Merger Agreement are not satisfied or waived, the actions contemplated by the Authorized Share Increase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Authorized Share Increase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Authorized Share Increase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1069_19"/>
      <w:bookmarkEnd w:id="21"/>
      <w:r>
        <w:rPr>
          <w:rFonts w:ascii="Times New Roman" w:hAnsi="Times New Roman"/>
          <w:b/>
          <w:sz w:val="20"/>
        </w:rPr>
        <w:t xml:space="preserve">PROPOSAL NO. 3 -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effect a reverse stock split of Cyclerion’s issued and outstanding common stock at a ratio in the range of one new share for every two shares and one new share for every ten shares outstanding (or any number in between), to be determined mutually by the Cyclerion Board and the Korsana Board (the “Split Ratio”). The final Split Ratio and effectiveness of such amendment and the abandonment of such amendment will be mutually agreed by the Cyclerion Board and the Korsana Board prior to the First Effective Time, assuming this proposal is approved by Cyclerion’s shareholders. On July 16, 2026, the Cyclerion Board adopted resolutions approving the proposed articles of amendment to the Cyclerion Articles in the form attached as </w:t>
      </w:r>
      <w:r>
        <w:rPr>
          <w:rFonts w:ascii="Times New Roman" w:hAnsi="Times New Roman"/>
          <w:i/>
          <w:sz w:val="20"/>
        </w:rPr>
        <w:t>Annex</w:t>
      </w:r>
      <w:r>
        <w:rPr>
          <w:rFonts w:ascii="Times New Roman" w:hAnsi="Times New Roman"/>
          <w:sz w:val="20"/>
        </w:rPr>
        <w:t> </w:t>
      </w:r>
      <w:r>
        <w:rPr>
          <w:rFonts w:ascii="Times New Roman" w:hAnsi="Times New Roman"/>
          <w:i/>
          <w:sz w:val="20"/>
        </w:rPr>
        <w:t>I</w:t>
      </w:r>
      <w:r>
        <w:rPr>
          <w:rFonts w:ascii="Times New Roman" w:hAnsi="Times New Roman"/>
          <w:sz w:val="20"/>
        </w:rPr>
        <w:t xml:space="preserve"> to this proxy statement/prospectus. If this articles of amendment is filed with the Secretary of the Commonwealth of Massachusetts, upon its effectiveness (the “Reverse Stock Split Effective Time”), it will effect the reverse stock split by the Split Ratio but will not increase the par value of Cyclerion Common Stock. At the Reverse Stock Split Effective Time, the issued and outstanding shares of Cyclerion Common Stock immediately prior to the Reverse Stock Split Effective Time will automatically without further action on the part of Cyclerion be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the Reverse Stock Split Proposal, Cyclerion shareholders will approve the amendment to the Cyclerion Articles pursuant to which any whole number of issued and outstanding shares of Cyclerion Common Stock, between and including 2 and 10, would be combined into one share of Cyclerion Common Stock, and will authorize the Cyclerion Board to file the articles of amendment. As of June 30, 2026, 400,000,000 shares of Cyclerion Common Stock were authorized, 4,330,314 shares of Cyclerion Common Stock were outstanding, and no shares of Cyclerion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All holders of Cyclerion Common Stock will be affected proportionately by the reverse stock split. No fractional shares of Cyclerion Common Stock will be issued as a result of the reverse stock split. Instead, Cyclerion shareholders who otherwise would be entitled to receive fractional shares will be entitled to receive cash as set forth below under the caption “</w:t>
      </w:r>
      <w:r>
        <w:rPr>
          <w:rFonts w:ascii="Times New Roman" w:hAnsi="Times New Roman"/>
          <w:i/>
          <w:sz w:val="20"/>
        </w:rPr>
        <w:t>No Fractional Shares</w:t>
      </w:r>
      <w:r>
        <w:rPr>
          <w:rFonts w:ascii="Times New Roman" w:hAnsi="Times New Roman"/>
          <w:sz w:val="20"/>
        </w:rPr>
        <w:t xml:space="preserve">.” Each Cyclerion shareholder will hold the same percentage of the outstanding Cyclerion Common Stock immediately following the reverse stock split as that Cyclerion shareholder did immediately prior to the reverse stock split, except to the extent that the reverse stock split results in Cyclerion shareholders receiving cash in lieu of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approved the proposal approving the amendment to the Cyclerion Articles effecting the reverse stock split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effecting the reverse stock split will result in an increase in the minimum bid price of Cyclerion Common Stock and reduce the risk of a delisting of Cyclerion Common Stock from Nasdaq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help generate investor interest in Cyclerion, and ultimately the Combined Company, and help Cyclerion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increase trading volume in Cyclerion Common Stock and facilitate future financings by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the resulting increase in the number of authorized and unissued shares available for future issuance will be necessary for the issuance of shares to the shareholders of Korsana pursuant to the Merger Agreement, as described in the Nasdaq Stock Issuance Proposal,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shares of Cyclerion Common Stock that may result from the assumption of Korsana’s 2025 Equity Incentive Plan and outstanding options to purchase Korsana Common Stock, Korsana RSUs, and Korsana Warrants, pursuant to the Merger Agreement, and ultimately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a range of reverse stock split ratios provides it with the most flexibility to achieve the desired results of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currently listed on The Nasdaq Capital Market under the symbol “CYCN.” Cyclerion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Cyclerion to have, among other things, a $4.00 per share minimum bid price for a certain number of trading days preceding the closing of the Merger.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Cyclerion’s management being able to issue more shares without further shareholder approval. The reverse stock split will not affect the number of authorized shares of Cyclerion capital stock, which will continue to be authorized pursuant to the Cyclerion Articles.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Cyclerion Common Stock closed at $3.62 per share. An investment in Cyclerion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Cyclerion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Cyclerion cannot predict whether the reverse stock split will increase the market price for Cyclerion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Cyclerion Common Stock after the reverse stock split will rise in proportion to the reduction in the number of shares of Cyclerion Common Stock outstanding before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Cyclerion to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Cyclerion Common Stock will also be based on the performance of Cyclerion, and after the Merger, on the performance of the Combined Company, and other factors, some of which are unrelated to the number of shares outstanding. If the reverse stock split is effected and the market price of Cyclerion Common Stock declines, the percentage decline as an absolute number and as a percentage of the overall market capitalization of Cyclerion may be greater than would occur in the absence of a reverse stock split. Furthermore, the liquidity of Cyclerion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implemented, after the Reverse Stock Split Effective Time, the issued and outstanding shares of Cyclerion Common Stock immediately prior to the Reverse Stock Split Effective Time will automatically, without further action on the part of Cyclerion, be combined into a smaller number of shares proportionately based on the Split Ratio and each Cyclerion shareholder will own a reduced number of shares of Cyclerion Common Stock. The reverse stock split will affect all Cyclerion shareholders uniformly and will not affect any shareholder’s percentage ownership interests in Cyclerion, except that Cyclerion shareholders who would have otherwise received fractional shares will receive cash in lieu of such fractional shares. After the reverse stock split, each share of Cyclerion Common Stock will have the same voting rights and rights to dividends and distributions and will be identical in all other respects to the Cyclerion Common Stock now authorized, and Cyclerion Common Stock issued pursuant to the reverse stock split will remain fully paid and non-assessable. The reverse stock split is not intended as, and will not have the effect of, a “going private transaction” covered by Rule 13e-3 under the Exchange Act. Cyclerion will continue to be subject to the periodic reporting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Shares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Reverse Stock Split Effective Time, Cyclerion Common Stock would have a new committee on uniform securities identification procedures number, which is used to identify Cyclerion Common Stock. Cyclerion Common Stock is currently registered under Section 12(b) of the Exchange Act and Cyclerion is subject to the periodic reporting and other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Cyclerion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Reduction in Stated Capital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Cyclerion Common Stock. As a result, after the Reverse Stock Split Effective Time, the stated capital on Cyclerion’s balance sheet attributable to Cyclerion Common Stock will be reduced proportionately based on the Split Ratio, subject to a minor adjustment in respect of the treatment of fractional shares, and the additional paid-in capital account will be credited with the amount by which the stated capital is reduced. Cyclerion shareholders’ equity, in the aggregate, will remain unchanged.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Equity Plans and Outstanding Derivative and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Proportionate adjustments will be made to the per share exercise price, the number of shares issuable upon the exercise, vesting or settlement of all outstanding options and warrants to purchase or acquire, as applicable, shares of Cyclerion Common Stock, and the number of shares reserved for issuance pursuant to Cyclerion’s existing equity incentive, stock option and employee stock purchase plans will be reduced proportionately based on the Split Ratio.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(i) the Cyclerion shareholders approve the Nasdaq Stock Issuance Proposal and the Reverse Stock Split Proposal, (ii) the Cyclerion Board and the Korsana Board mutually agree that a reverse stock split is necessary, and (iii) the Cyclerion Board still believes that a reverse stock split is in the best interests of Cyclerion and its shareholders, Cyclerion will file the articles of amendment to the Cyclerion Articles with the Secretary of the Commonwealth of Massachusetts at such time as the Cyclerion Board has determined to be the appropriate Reverse Stock Split Effective Time at the Split Ratio. If the Reverse Stock Split Proposal is approved and the Nasdaq Stock Issuance Proposal is not approved by Cyclerion shareholders, the Cyclerion Board and the Korsana Board may mutually agree to delay effecting the reverse stock split without resoliciting shareholder approval or abandon effecting the reverse stock split; otherwise, the Cyclerion Board may, in its sole discretion, delay without resolicitation of shareholder approval or abandon effecting the reverse stock split. Beginning at the Reverse Stock Split Effective Time, each stock certificate representing pre-split shares will be deemed for all corporate purposes to evidence ownership of post-split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Cyclerion intends to treat shares held by shareholders in “street name” (i.e., through a bank, broker, custodian or other nominee), in the same manner as registered shareholders whose shares are registered in their names. Banks, brokers, custodians or other nominees will be instructed to effect the reverse stock split for their beneficial holders holding Cyclerion Common Stock in street name. However, these banks, brokers, custodians or other nominees may have different procedures than registered shareholders for processing the reverse stock split and making payment for fractional shares. If a shareholder holds shares of Cyclerion Common Stock with a bank, broker, custodian or other nominee and has any questions in this regard, shareholders are encouraged to contact their bank, broker, custodian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Registered Holders of Common Stock in Book-Entry Form </w:t>
      </w:r>
    </w:p>
    <w:p>
      <w:pPr>
        <w:pStyle w:val="TextBody"/>
        <w:bidi w:val="0"/>
        <w:spacing w:before="120" w:after="0"/>
        <w:jc w:val="left"/>
        <w:rPr>
          <w:rFonts w:ascii="Times New Roman" w:hAnsi="Times New Roman"/>
          <w:sz w:val="20"/>
        </w:rPr>
      </w:pPr>
      <w:r>
        <w:rPr>
          <w:rFonts w:ascii="Times New Roman" w:hAnsi="Times New Roman"/>
          <w:sz w:val="20"/>
        </w:rPr>
        <w:t xml:space="preserve">Certain of Cyclerion’s registered holders of common stock hold some or all of their shares electronically in book-entry form with Cyclerion’s transfer agent, Equiniti. These shareholders do not hold physical stock certificates evidencing their ownership of Cyclerion Common Stock. However, they are provided with a statement reflecting the number of shares of Cyclerion Common Stock registered in their accounts. If a shareholder holds registered shares in book-entry form with Cyclerion’s transfer agent, no action needs to be taken to receive post-reverse stock split shares or payment in lieu of fractional shares, if applicable. If a shareholder is entitled to post-reverse stock split shares, a transaction statement will automatically be sent to the shareholder’s address of record indicating the number of shares of Cyclerion Common Stock held following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Registered Holders of Common Stock in Certificate Form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Reverse Stock Split Effective Time, the Cyclerion shareholders will be notified that the reverse stock split has been effected. Cyclerion expects that the Cyclerion transfer agent will act as Exchange Agent for purposes of implementing the exchange of stock certificates. Holders of pre-split shares will be asked to surrender to the Exchange Agent certificates representing pre- split shares held in certificated form in exchange for certificates representing post-split shares in accordance with the procedures to be set forth in a letter of transmittal to be sent by Cyclerion. No new certificates will be issued to a shareholder until such shareholder has surrendered such shareholder’s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Shareholders</w:t>
      </w:r>
      <w:r>
        <w:rPr>
          <w:rFonts w:ascii="Times New Roman" w:hAnsi="Times New Roman"/>
          <w:sz w:val="20"/>
        </w:rPr>
        <w:t xml:space="preserve"> </w:t>
      </w:r>
      <w:r>
        <w:rPr>
          <w:rFonts w:ascii="Times New Roman" w:hAnsi="Times New Roman"/>
          <w:b/>
          <w:sz w:val="20"/>
        </w:rPr>
        <w:t>should</w:t>
      </w:r>
      <w:r>
        <w:rPr>
          <w:rFonts w:ascii="Times New Roman" w:hAnsi="Times New Roman"/>
          <w:sz w:val="20"/>
        </w:rPr>
        <w:t xml:space="preserve"> </w:t>
      </w:r>
      <w:r>
        <w:rPr>
          <w:rFonts w:ascii="Times New Roman" w:hAnsi="Times New Roman"/>
          <w:b/>
          <w:sz w:val="20"/>
        </w:rPr>
        <w:t>not</w:t>
      </w:r>
      <w:r>
        <w:rPr>
          <w:rFonts w:ascii="Times New Roman" w:hAnsi="Times New Roman"/>
          <w:sz w:val="20"/>
        </w:rPr>
        <w:t xml:space="preserve"> </w:t>
      </w:r>
      <w:r>
        <w:rPr>
          <w:rFonts w:ascii="Times New Roman" w:hAnsi="Times New Roman"/>
          <w:b/>
          <w:sz w:val="20"/>
        </w:rPr>
        <w:t>destroy</w:t>
      </w:r>
      <w:r>
        <w:rPr>
          <w:rFonts w:ascii="Times New Roman" w:hAnsi="Times New Roman"/>
          <w:sz w:val="20"/>
        </w:rPr>
        <w:t xml:space="preserve"> </w:t>
      </w:r>
      <w:r>
        <w:rPr>
          <w:rFonts w:ascii="Times New Roman" w:hAnsi="Times New Roman"/>
          <w:b/>
          <w:sz w:val="20"/>
        </w:rPr>
        <w:t>any</w:t>
      </w:r>
      <w:r>
        <w:rPr>
          <w:rFonts w:ascii="Times New Roman" w:hAnsi="Times New Roman"/>
          <w:sz w:val="20"/>
        </w:rPr>
        <w:t xml:space="preserve"> </w:t>
      </w:r>
      <w:r>
        <w:rPr>
          <w:rFonts w:ascii="Times New Roman" w:hAnsi="Times New Roman"/>
          <w:b/>
          <w:sz w:val="20"/>
        </w:rPr>
        <w:t>stock</w:t>
      </w:r>
      <w:r>
        <w:rPr>
          <w:rFonts w:ascii="Times New Roman" w:hAnsi="Times New Roman"/>
          <w:sz w:val="20"/>
        </w:rPr>
        <w:t xml:space="preserve"> </w:t>
      </w:r>
      <w:r>
        <w:rPr>
          <w:rFonts w:ascii="Times New Roman" w:hAnsi="Times New Roman"/>
          <w:b/>
          <w:sz w:val="20"/>
        </w:rPr>
        <w:t>certificate(s) and should not submit any certificate(s) unless and until requested to do so</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Shareholders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shareholder would otherwise be entitled multiplied by the closing price of the common stock on Nasdaq on the date of the filing of the articles of amendment to the Cyclerion Articles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be aware that, under the escheat laws of the various jurisdictions where shareholders reside, where Cyclerion is domiciled and where the funds will be deposited, sums due for fractional interests that are not timely claimed after the effective date of the split may be required to be paid to the designated agent for each such jurisdiction, unless correspondence has been received by Cyclerion or the Exchange Agent concerning ownership of such funds within the time permitted in such jurisdiction. Thereafter, shareholders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the reverse stock split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Cyclerion Common Stock of the reverse stock split. The discussion does not purport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Cyclerion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Cyclerion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Cyclerion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Cyclerion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Cyclerion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Cyclerion Common Stock, the tax treatment of a partner in the partnership will depend on the status of the partner, the activities of the partnership, and certain determinations made at the partner level. Accordingly, a partnership holding Cyclerion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Cyclerion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U.S. Holder generally should not recognize gain or loss upon the proposed reverse stock split, except with respect to cash received in lieu of a fractional share of Cyclerion Common Stock, as discussed below. A U.S. Holder’s aggregate adjusted tax basis in the shares of Cyclerion Common Stock received pursuant to the proposed reverse stock split should equal the aggregate adjusted tax basis of the shares of the Cyclerion Common Stock surrendered (excluding any portion of such basis that is allocated to any fractional share of Cyclerion Common Stock), and such U.S. Holder’s holding period in the shares of Cyclerion Common Stock received should include the holding period in the shares of Cyclerion Common Stock surrendered. U.S. Treasury Regulations provide detailed rules for allocating the tax basis and holding period of the shares of Cyclerion Common Stock surrendered to the shares of Cyclerion Common Stock received in a recapitalization pursuant to the proposed reverse stock split. Each U.S. Holder of shares of Cyclerion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Cyclerion Common Stock pursuant to the proposed reverse stock split should recognize capital gain or loss in an amount equal to the difference between the amount of cash received and the U.S. Holder’s tax basis in the shares of Cyclerion Common Stock surrendered that is allocated to such fractional share of Cyclerion Common Stock. Such capital gain or loss should be long-term capital gain or loss if the U.S. Holder’s holding period for Cyclerion Common Stock surrendered exceeded one year at the Reverse Stock Split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U.S. Holder who receives shares of Cyclerion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Cyclerion or who owned securities in Cyclerion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Cyclerion Common Stock and the fair market value of such stock. Each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 your specific situation and on factors that are not within Cyclerion’s knowledge or control. Each prospective investor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Cyclerion Common Stock may, under certain circumstances, be subject to information reporting and backup withholding. To avoid backup withholding, each holder of Cyclerion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Cyclerion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proposed amendment to the Cyclerion Articles to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unless, to the extent permitted by applicable law, each of Cyclerion, the Merger Subs, and Korsana waives such condition. Notwithstanding the approval of the Reverse Stock Split Proposal, if the Nasdaq Stock Issuance Proposal or the Authorized Share Increase Proposal are not approved or the other closing conditions under the Merger Agreement are not satisfied or waived, the actions contemplated by the Reverse Stock Split Proposal will not be effected. However, the Cyclerion Board may determine to effect the Reverse Stock Split Proposal, if approved by the Cyclerion shareholders, following the Shareholders Meeting, even if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Reverse Stock Split Proposal. See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 </w:t>
      </w:r>
      <w:r>
        <w:rPr>
          <w:rFonts w:ascii="Times New Roman" w:hAnsi="Times New Roman"/>
          <w:i/>
          <w:sz w:val="20"/>
        </w:rPr>
        <w:t>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CYCLERION BOARD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1069_20"/>
      <w:bookmarkEnd w:id="22"/>
      <w:r>
        <w:rPr>
          <w:rFonts w:ascii="Times New Roman" w:hAnsi="Times New Roman"/>
          <w:b/>
          <w:sz w:val="20"/>
        </w:rPr>
        <w:t xml:space="preserve">PROPOSAL NO. 4 - THE REDOMESTICATION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annual meeting, Cyclerion shareholders will be asked to approve (i) pursuant to the MBCA, the domestication of Cyclerion from a corporation organized under the laws of the Commonwealth of Massachusetts (the “Massachusetts Corporation”) to an exempted company incorporated under the laws of the Cayman Islands (the “Cayman Company”) and to adopt resolutions approving the domestication (the “Cayman Redomestication Resolutions”) included as </w:t>
      </w:r>
      <w:r>
        <w:rPr>
          <w:rFonts w:ascii="Times New Roman" w:hAnsi="Times New Roman"/>
          <w:i/>
          <w:sz w:val="20"/>
        </w:rPr>
        <w:t xml:space="preserve">Annex M </w:t>
      </w:r>
      <w:r>
        <w:rPr>
          <w:rFonts w:ascii="Times New Roman" w:hAnsi="Times New Roman"/>
          <w:sz w:val="20"/>
        </w:rPr>
        <w:t xml:space="preserve">to this proxy statement/prospectus — Proposal No. 4A — and (ii) pursuant to the Companies Act, the transfer by way of continuation of Cyclerion from the Massachusetts Corporation to the Cayman Company and to adopt the Cayman Redomestication Resolutions and as a special resolution the Cayman Articles (as defined below) — Proposal No. 4B, as more fully described in this Proposal No. 4. The proposed domestication of the Massachusetts Corporation to a Cayman Company pursuant to this Proposal 4 is referred to herein as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Terms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If the Cayman Redomestication is approved by Cyclerion shareholders and the Merger is completed, the Cayman Redomestication will be effected by the Combined Company through a domestication pursuant to Section 9.20 of the MBCA, and the Cayman Company will continue its existence as an exempted company limited by shares under the Companies Act, as amended, of the Cayman Islands (the “Companies Act”), as set forth in the plan of domestication (the “Plan of Domestication”), included as </w:t>
      </w:r>
      <w:r>
        <w:rPr>
          <w:rFonts w:ascii="Times New Roman" w:hAnsi="Times New Roman"/>
          <w:i/>
          <w:sz w:val="20"/>
        </w:rPr>
        <w:t xml:space="preserve">Annex J </w:t>
      </w:r>
      <w:r>
        <w:rPr>
          <w:rFonts w:ascii="Times New Roman" w:hAnsi="Times New Roman"/>
          <w:sz w:val="20"/>
        </w:rPr>
        <w:t xml:space="preserve">to this proxy statement/prospectus. Approval of the Redomestication Proposal will constitute approval of the 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Through the adoption of the Plan of Domestication, upon the effectuation of the Cayman Redomestication: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continue its existence as a Cayman Islands exempted company and will continue to operate its business under the name “Korsana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internal affairs of the Combined Company will cease to be governed by Massachusetts law and will instead be governed by Cayman Islands law (including but not limited to the Companies Act). See “</w:t>
            </w:r>
            <w:r>
              <w:rPr>
                <w:rFonts w:ascii="Times New Roman" w:hAnsi="Times New Roman"/>
                <w:i/>
                <w:sz w:val="20"/>
              </w:rPr>
              <w:t>Effects of the Cayman Redomestication — Comparison of Shareholder Rights under Massachusetts</w:t>
            </w:r>
            <w:r>
              <w:rPr>
                <w:rFonts w:ascii="Times New Roman" w:hAnsi="Times New Roman"/>
                <w:sz w:val="20"/>
              </w:rPr>
              <w:t xml:space="preserve"> </w:t>
            </w:r>
            <w:r>
              <w:rPr>
                <w:rFonts w:ascii="Times New Roman" w:hAnsi="Times New Roman"/>
                <w:i/>
                <w:sz w:val="20"/>
              </w:rPr>
              <w:t>and Cayman Islands Law</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cease to be governed by Cyclerion’s restated articles of organization (as amended, the “Massachusetts Articles” or the “Cyclerion Charter”) and Cyclerion’s amended and restated bylaws (the “Massachusetts Bylaws” or the “Cyclerion Bylaws”) and will instead be governed by the provisions of the proposed Cayman Islands memorandum and articles of association (the “Cayman Articles”), a form of which is included as </w:t>
            </w:r>
            <w:r>
              <w:rPr>
                <w:rFonts w:ascii="Times New Roman" w:hAnsi="Times New Roman"/>
                <w:i/>
                <w:sz w:val="20"/>
              </w:rPr>
              <w:t xml:space="preserve">Annex K </w:t>
            </w:r>
            <w:r>
              <w:rPr>
                <w:rFonts w:ascii="Times New Roman" w:hAnsi="Times New Roman"/>
                <w:sz w:val="20"/>
              </w:rPr>
              <w:t>to this proxy statement/prospectus. See “</w:t>
            </w:r>
            <w:r>
              <w:rPr>
                <w:rFonts w:ascii="Times New Roman" w:hAnsi="Times New Roman"/>
                <w:i/>
                <w:sz w:val="20"/>
              </w:rPr>
              <w:t>Effects of the Cayman Redomestication — Comparison of Rights of Holders of the Massachusetts</w:t>
            </w:r>
            <w:r>
              <w:rPr>
                <w:rFonts w:ascii="Times New Roman" w:hAnsi="Times New Roman"/>
                <w:sz w:val="20"/>
              </w:rPr>
              <w:t xml:space="preserve"> </w:t>
            </w:r>
            <w:r>
              <w:rPr>
                <w:rFonts w:ascii="Times New Roman" w:hAnsi="Times New Roman"/>
                <w:i/>
                <w:sz w:val="20"/>
              </w:rPr>
              <w:t xml:space="preserve">Corporation Capital Stock and the Cayman Company Share Capital </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The Combined Company will continue to be treated as a U.S. corporation for all purposes under the Code. See “</w:t>
            </w:r>
            <w:r>
              <w:rPr>
                <w:rFonts w:ascii="Times New Roman" w:hAnsi="Times New Roman"/>
                <w:i/>
                <w:sz w:val="20"/>
              </w:rPr>
              <w:t>U.S. Federal Income Tax Considerations of the Cayman Redomestication — U.S. Tax Status of the Cayman Company after the Cayman Redomestication” below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Massachusetts Corporation will be automatically converted into one ordinary share of the Cayman Company (each a “Cayman Share”, together the “Cayman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Massachusetts Corporation will be automatically converted into one share of the corresponding series of the preferred shares of the Cayman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of the Combined Company will not be required to exchange their existing stock certificates (if any) for new share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or right to acquire shares of common stock of the Massachusetts Corporation will continue in existence in the form of and will automatically become an option or right to acquire an equal number of Cayman Shares under the same terms and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Cayman Shares resulting from the Cayman Redomestication will continue to be traded on Nasdaq under the symbol “KRSA.” The Cayman Redomestication is not expected to cause any interruption in the trading of such Cayman Shares. </w:t>
      </w:r>
    </w:p>
    <w:p>
      <w:pPr>
        <w:pStyle w:val="TextBody"/>
        <w:bidi w:val="0"/>
        <w:spacing w:before="240" w:after="0"/>
        <w:jc w:val="left"/>
        <w:rPr>
          <w:rFonts w:ascii="Times New Roman" w:hAnsi="Times New Roman"/>
          <w:sz w:val="20"/>
        </w:rPr>
      </w:pPr>
      <w:r>
        <w:rPr>
          <w:rFonts w:ascii="Times New Roman" w:hAnsi="Times New Roman"/>
          <w:sz w:val="20"/>
        </w:rPr>
        <w:t xml:space="preserve">If Cyclerion shareholders approve the Cayman Redomestication and the Merger is completed, Cyclerion and Korsana anticipate that the Cayman Redomestication will become effective as soon as practicable following the Merger (the “Cayman Redomestication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may be delayed by Cyclerion’s board of directors or the Combined Company’s board of directors, or the Plan of Domestication may be terminated and abandoned by action of Cyclerion’s board of directors or the Combined Company’s board of directors, at any time prior to the Cayman Redomestication Effective Time, whether before or after the approval by Cyclerion’s shareholders, if Cyclerion’s board of directors or the Combined Company’s board of directors determines for any reason that such delay or abandonment would be in the best interests of Cyclerion and its shareholders or the Combined Company and its shareholders, as the case may be, including if the Merger is not completed for any reason. In addition, Cyclerion or the Combined Company may face legal challenges to the Cayman Redomestication, including, among others, shareholder challenges under Massachusetts law, seeking to delay or prevent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and Korsana’s board of directors believe that there are several reasons the Cayman Redomestication is in the best interests of the Combined Company and its shareholders. In particular, Cyclerion’s board of directors and Korsana’s board of directors believe that the Cayman Redomestication will allow the Combined Company to take advantage of certain provisions of the corporate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reduce the risk of opportunistic and frivolous shareholder demands and litigation for the Combined Company and its directors and officers, which may allow the Combined Company’s directors and officers to focus on the Combined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Combined Company were to be targeted by opportunistic and frivolous shareholder demands or lawsuits, the costs or other consequences of responding to or defending such claims could potentially be borne by the Combined Company’s shareholders through, among other things, indemnification obligations, distraction to the Combined Company’s management and employees, and increased insurance premiums. Cyclerion’s board of directors expects fewer opportunistic and frivolous books and records inspection demands under Cayman Islands law as shareholders generally do not have statutory rights to inspect or obtain copies of the register of shareholders or other corporate records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provide the Combined Company’s directors and officers with greater protection, which may help the Combined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Cayman Redomestication is expected to limit the circumstances in which direct claims may be brought by shareholders against the directors and officers of the Cayman Company as a matter of Cayman Islands law. There is currently no known pending claim or litigation against any of Cyclerion’s directors or officers for breach of fiduciary duty related to their service as directors or officers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could also potentially provide the Combined Company with greater flexibility to consider and engage in certain types of corporate transactions that might provide shareholders with an opportunity to realize greater value for their shares in the Combined Company that the Combined Company’s board of directors determines to be in the best interests of the Combined Company. Under Part I, Title XV, Chapter 110F of the Massachusetts General Laws, a business combination between a corporation and an interested shareholder is prohibited unless it satisfies certain conditions, one or more of which may be impractical in certain instances.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Cayman Redomestication may allow the Combined Company to accomplish certain types of transactions with a reduced risk of litigation or a court overturning the business decisions of the Combined Company’s board of directors, to the detriment of the Combined Company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such transactions potentially implicating the fairness standard under Massachusetts law are currently being discussed or considered by the Cyclerion’s board of directors. Consequently, the Cayman Redomestication is not being proposed to prevent a change in control, or as a response to any present attempt known to the Cyclerion’s board of directors to acquire control of Cyclerion or obtain representation on the Cyclerion’s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Associated with the Cayman Redomestication </w:t>
      </w:r>
    </w:p>
    <w:p>
      <w:pPr>
        <w:pStyle w:val="TextBody"/>
        <w:bidi w:val="0"/>
        <w:spacing w:before="120" w:after="0"/>
        <w:jc w:val="left"/>
        <w:rPr>
          <w:rFonts w:ascii="Times New Roman" w:hAnsi="Times New Roman"/>
          <w:sz w:val="20"/>
        </w:rPr>
      </w:pPr>
      <w:r>
        <w:rPr>
          <w:rFonts w:ascii="Times New Roman" w:hAnsi="Times New Roman"/>
          <w:sz w:val="20"/>
        </w:rPr>
        <w:t>There can be no assurance that the Cayman Redomestication will result in all or any of the benefits described in this proxy statement/prospectus, including the benefits of or resulting from the transfer by way of continuation of the Combined Company into the Cayman Islands or the application of Cayman Islands law to the internal affairs of the Combined Company. See “</w:t>
      </w:r>
      <w:r>
        <w:rPr>
          <w:rFonts w:ascii="Times New Roman" w:hAnsi="Times New Roman"/>
          <w:i/>
          <w:sz w:val="20"/>
        </w:rPr>
        <w:t>Risk Factors — Risks Related to the Cayman Redomestication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effect a change in the legal domicile of the Combined Company and other changes, the most significant of which are described below. Following the Cayman Redomestication, the Combined Company will be governed by the Companies Act instead of the MBCA, and the Combined Company will be governed by the Cayman Articles. Approval of this Proposal No. 4 will constitute the approval and adoption of the Cayman Articles. The Massachusetts Articles and the Massachusetts Bylaws will no longer be applicable following completion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summaries below do not purport to be complete and are subject to, and qualified in their entirety by reference to, the Companies Act, the Cayman Articles, the MBCA, the Massachusetts Articles and Massachusetts Bylaws, which you should carefully read, together with this entire document and the other referenced documents for a more complete understanding of the differences between being a shareholder of the Massachusetts Corporation before the Cayman Redomestication and being a shareholder of the Cayman Company following the completion of the Cayman Redomestication. Copies of the Cayman Articles, the Cayman Series A Certificate of Designation (as defined below), Cayman Series B Certificate of Designation (as defined below), the Massachusetts Articles, the Massachusetts Bylaws, the Massachusetts Series A Articles of Amendment (as defined below), the Massachusetts Series B Articles of Amendment (as defined below), the form of certificate of amendment to effect the proposed reverse stock split described in Proposal No. 3 and the form of certificate of amendment to effect the increase in the number of authorized shares of Cyclerion common stock described in Proposal No. 2 are included as </w:t>
      </w:r>
      <w:r>
        <w:rPr>
          <w:rFonts w:ascii="Times New Roman" w:hAnsi="Times New Roman"/>
          <w:i/>
          <w:sz w:val="20"/>
        </w:rPr>
        <w:t>Annex K, Annex N, Annex O, Exhibit 3.1 (as amended by Exhibit 3.2 and Exhibit 3.3), Exhibit 3.4, Exhibit 3.3, Annex G, Annex I, and Annex H</w:t>
      </w:r>
      <w:r>
        <w:rPr>
          <w:rFonts w:ascii="Times New Roman" w:hAnsi="Times New Roman"/>
          <w:sz w:val="20"/>
        </w:rPr>
        <w:t xml:space="preserve">, respectively,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the Massachusetts Corporation Capital Stock and the Cayman Company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differ in many respects from the Massachusetts Articles and Massachusetts Bylaws. The differences between the rights of shareholders of the Massachusetts Corporation under the Massachusetts Articles and Massachusetts Bylaws and their rights as shareholders of the Cayman Company immediately after the Cayman Redomestication under the Cayman Articles are summarized below. The following summary gives effect to the proposed increase in the number of authorized shares of Cyclerion common stock described in Proposal No. 2 and the proposed reverse stock split described in Proposal No. 3.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Organizational Documents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rights of Massachusetts Corporation shareholders are governed by the Massachusetts Articles, the Massachusetts Bylaws and the MBCA.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rights of Cayman Company shareholders will be governed by the Cayman Articles, the Companies Act, and the common law of the Cayman Islands.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Authorized Capital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Massachusetts Corporation is authorized to issue two classes of capital stock which are designated, respectively, “common stock” and “preferred stock.” The total number of shares that the Massachusetts Corporation is authorized to issue is 800,000,000, of which 800,000,000 shares are common stock, each</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authorized share capital of the Cayman Company under the Cayman Articles is US$80,000 divided into 700,000,000 “ordinary shares,” having a par value of US$0.0001 per share; and 100,000,000 “preferred shares,” having a par value of US$0.0001 per share. The Cayman Company may increase 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having no par value per share, and 100,000,000 shares are preferred stock, each having no par value per share. The preferred stock may be issued from time to time in one or more series.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authorized share capital through an ordinary resolution passed by the affirmative vote of a simple majority of the votes cast at a general meeting (an “ordinary resolution”).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Common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Massachusetts Corporation’s authorized common stock consists of 700,000,000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Massachusetts Corporation common stock is entitled to one vote for each such share held of record on the applicable record date on each matter properly submitted to the stockholders for their vote.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Cayman Company’s authorized Cayman Shares will consist of 700,000,000 Cayman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Cayman Shares will carry the right to receive notice of, to attend and to vote at any Cayman Company general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Massachusetts Corporation preferred stock consists of 100,000,000 shares of preferred stock, each having no par value per share. The voting rights of preferred stockholders can vary depending on the series of preferred stock issued. The Massachusetts Corporation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Corporation’s board of directors (the “Massachusetts Corporation Board”) intends to designate 29,470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Cayman Company’s authorized preferred shares will consist of 100,000,000 preferred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pPr>
            <w:r>
              <w:rPr/>
              <w:t>of undesignated preferred stock as Massachusetts Series B Preferred Stock through an articles of amendment to the Massachusetts Articles in the form attached as Annex H (the “Massachusetts Series B Articles of Amendment”). No shares of Massachusetts Series B Preferred Stock are currently authorized or outstanding. Except as otherwise required by the Massachusetts Series B Articles of Amendment or law, the Massachusetts Series B Preferred Stock will not have voting rights. The Massachusetts Series B Articles of Amendment provides for certain voting rights in relation to the election of directors as discussed under “- Structure of Board of Directors; Term of Directors; Election of Directors” below. As long as shares of Massachusetts Series B Preferred Stock are outstanding, Massachusetts Corporation will not, without the affirmative vote of the holders of a majority of the then outstanding shares of the Massachusetts Series B Preferred Stock, (a) alter or change adversely the powers, preferences or rights given to Massachusetts Series B Preferred Stock, (b) alter or amend the description of rights of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 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The Cayman Company’s board of directors (the “Cayman Company Board”) will designate 500,000 preferred shares as Series A Non-Voting Convertible Preferred Shares (the “Cayman Series A Preferred Shares”) through a certificate of designation in the form attached as </w:t>
            </w:r>
            <w:r>
              <w:rPr>
                <w:rFonts w:ascii="Times New Roman" w:hAnsi="Times New Roman"/>
                <w:i/>
                <w:sz w:val="20"/>
              </w:rPr>
              <w:t xml:space="preserve">Annex N </w:t>
            </w:r>
            <w:r>
              <w:rPr>
                <w:rFonts w:ascii="Times New Roman" w:hAnsi="Times New Roman"/>
                <w:sz w:val="20"/>
              </w:rPr>
              <w:t>(the “Cayman Series A Certificate of Designation”). Except as otherwise provided for in the Cayman Articles, the Cayman Series A Certificate of Designation or at law, a holder of Cayman Series A Preferred Shares will not have voting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Assuming the Massachusetts Corporation Board designates 29,470 shares of the Massachusetts Corporation’s preferred stock as the Massachusetts Series B Preferred Stock through the Massachusetts Series B Certificate of Designation, upon the effectiveness of the Cayman Redomestication and the Cayman Articles, the Cayman Company Board will designate 29,470 preferred shares as Series B Non-Voting Convertible Preferred Shares (the “Cayman Series B Preferred Shares”) through a certificate of designation in the form attached as </w:t>
            </w:r>
            <w:r>
              <w:rPr>
                <w:rFonts w:ascii="Times New Roman" w:hAnsi="Times New Roman"/>
                <w:i/>
                <w:sz w:val="20"/>
              </w:rPr>
              <w:t xml:space="preserve">Annex O </w:t>
            </w:r>
            <w:r>
              <w:rPr>
                <w:rFonts w:ascii="Times New Roman" w:hAnsi="Times New Roman"/>
                <w:sz w:val="20"/>
              </w:rPr>
              <w:t xml:space="preserve">(the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In addition, as long as any Cayman Series B Preferred Shares are issued and outstanding, the Cayman Company will not, without the affirmative vote of the holders of a simple majority of the then issued and outstanding Cayman Series B Preferred Shares: (a) alter or change adversely the powers, preferences or rights given to Cayman Series B Preferred Shares, or alter or amend the rights,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pPr>
            <w:r>
              <w:rPr/>
              <w:t>matrix or similar document, framework or schedule unless approved by the unanimous vote of the Massachusetts Corporation Board, or (iv) retain or replace the Massachusetts Corporation’s registered independent public accounting firm, independent compensation consultant or corporate counsel, or (g) enter into any agreement with respect to any of the foregoing. Following the closing of the Merger, each share of Massachusetts Series B Preferred Stock then outstanding will be convertible, at any time and from time to time, at the option of the holder of Massachusetts Series B Preferred Stock, into a number of shares equal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powers, preferences and other terms of the Cayman Series B Preferred Shares set forth in the Cayman Series B Certificate of Designation, amend or repeal any provision of, or add any provision to, the Cayman Articles and the Cayman Series B Certificate of Designation, or file any articles of amendment, description of rights, preferences, limitations and relative rights of any series of Preferred Shares (as defined in the Cayman Series B Certificate of Designation), if such action would adversely alter or change the preferences, rights, privileges or powers of, or restrictions provided for the benefit of Cayman Series B Preferred Shares, (b) issue further Cayman Series B Preferred Shares or increase or decrease (other than by conversion) the number of authorized Cayman Series B Preferred Shares, (c) at any time while at least 30% of the originally issued Cayman Series B Preferred Shares remains issued and outstanding, (i) consummate either (A) a Fundamental Transaction (as defined in the Cayman Series B Certificate of Designation) or (B) any merger or consolidation of the Cayman Company or other business combination in which the shareholders of the Cayman Company immediately before such transaction do not hold at least a majority of the shares in the capital of the Cayman Company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(d) enter into any agreement with respect to any of the foregoing.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Number and Qualification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number of Massachusetts Corporation directors shall be not less than three directors and may be increased or decreased to a size fixed exclusively by vote of a majority of the directors then serving. No decrease in the authorized number of directors constituting the Massachusetts Corporation Board will shorten the term of any incumbent director. Directors need not be stockholders of the Massachusetts Corporation. Following the completion of the Merger, the Combined Company’s Board is expected to consist of six members.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size of the Cayman Company Board will be fixed by the Cayman Company Board and may be increased or decreased at any time by the affirmative vote of a simple majority of the voting power of the Cayman Company Board present, or in accordance with terms set out in the Cayman Articles. No decrease in the authorized number of directors constituting the Cayman Company Board will shorten the term of any incumbent director. Directors need not be shareholders of the Cayman Company. The Cayman Company Board is expected to consist of six members.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Structure of Board of Directors; Term of Directors;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(i) the holders of Massachusetts Series B Preferred Stock, exclusively and voting together as a separate class on an as-converted to common stock basis, shall be entitled to elect four directors (“Massachusetts Preferred Directors”); and (ii) the holders of Massachusetts Corporation common stock and of any other class or series of voting stock (including the Massachusetts Series B Preferred Stock), exclusively and voting together as a single class on an as-converted to common stock basis, shall be entitled to elect the balance of the total number of directors of the Massachusetts Corporation. Each Massachusetts Preferred Director shall be entitled to three votes on each matter presented to the Massachusetts Corporation Board.</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 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 provided, however, for administrative convenience, the initial Cayman Preferred Directors may also be appointed by the Cayman Company Board in connection with the approval of the initial issuance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Cayman Series B Preferred Shares without a separate action by the holders of Cayman Series B Preferred Shares. Each Cayman Preferred Director shall be entitled to three votes on each matter presented to the Cayman Company Board.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Removal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Massachusetts Preferred Director may be removed without cause only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present or in accordance with the terms set out in the Cayman Articles.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Vacancies on the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any vacancies of a Massachusetts Preferred Director directorship resulting from death, resignation, disqualification, removal, or other causes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present,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pPr>
            <w:r>
              <w:rPr/>
              <w:t>shall be filled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 the Cayman Series B Preferred Shares fill such directorship in accordance with the Cayman Series B Certificate of Designation.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Shareholder 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Any action required or permitted to be taken by the Massachusetts Corporation shareholders may be taken without a meeting if evidenced by consents signed by all Massachusetts Corporation shareholders entitled to vote on the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Quorum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At all meetings of stockholders, 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for in the Cayman Articles. A meeting will be adjourned until quorum is present. At such adjourned meeting at which a quorum is present, any business may be transacted which might have been transacted at the original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Special Meetings of Shareholders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Special meetings of the Massachusetts Corporation shareholders may be called, for any purpose as is a proper matter for shareholder action under the Massachusetts Articles, the Massachusetts Bylaws and the MBCA, by (i) subject to certain conditions, holders of at least forty percent (40%) of all the votes entitled to be cast on any issue to be considered at the proposed special meeting, or (ii) the Massachusetts Corporation Board pursuant to a resolution adopted by a majority of the directors at a meeting of directors where a quorum is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Subject to certain conditions set forth in the Cayman Articles, general meetings of the Cayman Company may be called, for any purpose as is a proper matter for shareholder action under Cayman Islands law, by (i) the Cayman Company Board or (ii) the holders of at least 40% of all the votes entitled to be cast on any issue to be considered at the proposed general meeting delivered to an executive officer of the Cayman Company at the principal executive offices of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present or by unanimous written consent of the Massachusetts Corporation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Massachusetts Corporation Board or an officer designed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as such special meeting other than the 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Notice of Shareholder Meetings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Except as otherwise provided by law, notice, given in writing or by electronic transmission, of each meeting of Massachusetts Corporation shareholders shall be given not less than seven (7) nor more than sixty (60) days before the date of the meeting to each stockholder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 (60) days before the date of the meeting to each shareholder entitled to vote at such meeting as of the record date for such meeting, such notice to specify, in the case of general meetings, the business, purpose or purposes for which the meeting has been called . No business may be transacted at an annual general meeting otherwise than specified in the notice of annual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accidental omission to give notice of a meeting to or the non-receipt of a notice of a meeting by any shareholder shall not invalidate the proceedings at any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Advance Notice Requirements for Shareholder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Nominations of persons for election to the Massachusetts Corporation Board may be made at an annual meeting or special meeting of shareholders, and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0"/>
              <w:jc w:val="left"/>
              <w:rPr>
                <w:rFonts w:ascii="Times New Roman" w:hAnsi="Times New Roman"/>
                <w:sz w:val="20"/>
              </w:rPr>
            </w:pPr>
            <w:r>
              <w:rPr>
                <w:rFonts w:ascii="Times New Roman" w:hAnsi="Times New Roman"/>
                <w:sz w:val="20"/>
              </w:rPr>
              <w:t>Nominations of persons for election to the Cayman Company Board and the proposal of business to be considered by the shareholders may be made at 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pPr>
            <w:r>
              <w:rPr/>
              <w:t>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annual general meeting of shareholders: (i) pursuant to the Cayman Company’s notice of meeting of shareholders (with respect to business other than nominations); (ii) brought specifically by or at the direction of the Cayman Company Board; or (iii) by any shareholder of the Cayman Company who was a shareholder of record at the time of giving the shareholders’ notice provided for in the Cayman Articles below, who is entitled to vote at the meeting and who complied with the notice procedures set forth in Cayman Articles. Such notice must be received by the Cayman Company not later than the close of business on the ninetieth day and no earlier than the close of business on the one hundred twentieth day prior to the first anniversary of the preceding year’s annual meeting, or if no annual meeting was held in the preceding year, not later than the close of business on the later of the ninetieth day prior to such meeting or the tenth day following the day on which public announcement is first made of the date of such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director nominations or other business to be properly brought before an annual general meeting by a shareholder, the shareholder must (i) have given Timely Notice in writing and (ii) must comply with the requirements in the Cayman Articles as to the contents of the Timely Notice.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Certificate of Incorporation and Memorandum of Association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Massachusetts Articles may be amended by the affirmative vote of the majority of the outstanding shares of capital stock entitled to vote on such amendment at a duly constituted meeting of shareholders called expressly for such purpose.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i) a majority of not less than two-thirds of the shareholders as, being entitled to do so, vote in person or, where proxies are allowed, by proxy at a general meeting of the Cayman Company of which notice specifying the intention to propose the resolution as a special resolution has been duly given and where a poll is taken regard shall be had in computing a majority to the number of votes to which each shareholder is entitled or ii) approved in writing by all of the shareholders entitled to vote at a general meeting of the Cayman Company in one or more instruments each signed by one or more of the shareholders (a “special resolution”) alter or amend the memorandum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of association and articles of association forming a part of the Cayman Articles, in whole or in part.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Bylaws and Articles of Association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Except as otherwise provided by law, the Massachusetts Bylaws may be adopted, amended, or repealed by the Massachusetts Corporation Board. Any adoption, amendment, or repeal of the Massachusetts Bylaws by the Massachusetts Corporation Board pursuant to a resolution adopted by a majority of the directors at a meeting of directors where a quorum is present or by unanimous written consent of the Massachusetts Corporation Board. The Massachusetts Bylaws may also be adopted, amended, or repealed by the shareholders votes cast in favor representing a majority of the votes entitled to be cast on the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Limitation on Director and Officer Liability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Directors shall not be liable to the Massachusetts Corporation or its shareholders for damages for any breach of fiduciary duty, except to the extent that the elimination or limitations of liability is not permitted under law.</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Companies Act does not restrict the authority of a Cayman exempted company to indemnify its directors, officers, employees, or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Indemnification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 alleged acts or omissions as a director or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 personal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the Massachusetts Corporation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Massachusetts Articles will be in addition to and not exclusive of any other rights to which any officer or director of the Massachusetts Corporation may otherwise be lawfully entitled.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 provided that such waiver shall not extend to any matter in respect of any actual fraud, willful default or willful neglect which may attach to such director or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Cayman Articles or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to indemnification and advancement of expenses conferred on any Indemnified Person as set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out above will not be exclusive of any other rights that any Indemnified Person may have or hereafter acquire pursuant to an agreement with the Cayman Company or otherwise.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Conversion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Massachusetts Corporation common stock is neither convertible nor redeemable.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Holders of Massachusetts Series A Preferred Stock have the right to convert such shares into shares of Massachusetts Corporation common stock at any time at a ratio of 1 share of Massachusetts Series A Preferred Stock to 1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the Massachusetts Series B Preferred Stock is issued in connection with the Merger, the holders of the Massachusetts Series B Preferred Stock will have the right to convert such shares into Massachusetts Corporation common stock at any time at a ratio of 1 share of Massachusetts Series B Preferred Stock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In accordance with the Cayman Series A Certificate of Designation, each Cayman Series A Preferred Shares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accordance with the Cayman Series B Certificate of Designation, each Cayman Series B Preferred Shares then issued and outstanding shall be convertible, at any time and from time to time, at the option of the holder thereof, at 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Preemptive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Massachusetts Corporation shareholders do not have preemptive rights. Thus, if additional shares of 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Cayman Company shareholders will not have preemptive rights. Thus, if additional Cayman Shares are issued, the current holders of Cayman Shares will own a proportionately smaller interest in a larger number of outstanding Cayman Shares to the extent that they do not participate in the additional issuance.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Distributions to Shareholders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Subject to preferences that may be applicable to any outstanding shares of Massachusetts Corporation preferred stock, the holders of Massachusetts Corporation common stock are entitled to receive ratably such dividends as may be declared by the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Subject to the Companies Act, the Cayman Articles, and any certificate of designation, and except as otherwise provided by the rights attached to any shares, the directors may resolve to declare dividends (including interim dividends) and other distributions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4" w:type="dxa"/>
            <w:tcBorders/>
          </w:tcPr>
          <w:p>
            <w:pPr>
              <w:pStyle w:val="TableContents"/>
              <w:bidi w:val="0"/>
              <w:spacing w:before="0" w:after="283"/>
              <w:jc w:val="left"/>
              <w:rPr/>
            </w:pPr>
            <w:r>
              <w:rPr/>
              <w:t>Massachusetts Corporation Board out of legally available funds.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 declared and paid according to the par value of the Cayman Shares. Dividends may be paid in cash, in property, or in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Cayman Islands company may only make distributions by way of a dividend out of its profits, retained earnings, and/or share premium account.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Exclusive Forum</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 (ii) 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 successor statute; or (iv) any action asserting a claim against the Massachusetts Corporation governed by the internal affairs doctrine.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any derivative action or proceeding brought on behalf of the Cayman Company; (b) any action asserting a claim of breach of any fiduciary or other duty owed by any current or former director, officer, or other employee of the Cayman Company to the Cayman Company or the members; (c) any action asserting a claim arising pursuant to any provision of the Companies Act, the Cayman Articles; or (d) any action asserting a claim against the Company concerning its internal affairs.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Registration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the Massachusetts Corporation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 will enter into a registration rights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Assuming the Massachusetts Corporation enters into a registration rights agreement with the investors participating in the Korsana Pre-Closing Financing, the Cayman Company will have comparable obligations pursuant to the registration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204" w:type="dxa"/>
            <w:tcBorders/>
          </w:tcPr>
          <w:p>
            <w:pPr>
              <w:pStyle w:val="TableContents"/>
              <w:bidi w:val="0"/>
              <w:spacing w:before="0" w:after="283"/>
              <w:jc w:val="left"/>
              <w:rPr/>
            </w:pPr>
            <w:r>
              <w:rPr/>
              <w:t>agreement with the investors participating in the Korsana Pre-Closing Financing, pursuant to which, among other things, the Combined Company will agree to prepare and file a resale registration statement covering the resale of certain shares of Massachusetts Corporation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 Transfer Restrictions Applicable to Shareholders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Shares of Massachusetts Corporation common stock are transferable in the manner prescribed by the MBCA.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Comparison of Shareholder Rights under Massachusetts and Shareholder Rights under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and the common law of the Cayman Islands are similar in many respects to the statutory corporate laws of Massachusetts, as governed by the MBCA. However, there are certain differences that may affect the rights of a shareholder or shareholder of the Combined Company, as well as the corporate governance of the Combined Company. The following are brief summaries of material differences between the current rights of shareholders of the Massachusetts Corporation under the MBCA and the rights of shareholders of the Cayman Company following completion of the Cayman Redomestication under the Companies Act. This section does not include a complete description of all differences among such rights, nor does it include a complete description of such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or Decreasing Authorized Capital Stock or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shareholders must approve an amendment to the corporation’s charter to increase or decrease the number of authorized shares in accordance with the provisions of the applicable statute.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memorandum and articles of association of a Cayman Islands exempted company sets the authorized share capital. Any changes made to the authorized share capital of a Cayman Islands exempted company will require an ordinary resolution and any amendment to the memorandum and articles of association of a Cayman Islands exempted company will require a special resolution.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Companies Act does not provide for the classification of directors into classes with staggered terms of office, Cayman Islands law allows companies to implement a classified board structure through their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Although the MBCA does not generally grant shareholders cumulative voting rights, a Massachusetts corporation may provide in its certificate of incorporation or bylaws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out in its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do not provide for cumulative voting in the election of directors. Similarly, the Cayman Articles do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stock entitled to vote for the election of directors. In addition, the Massachusetts Corporation Board is authorized to remove any director or directors, for cause, at a meeting of the board of directors, by vote of a majority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present. Additionally, under the Cayman Certificate of Designation for the Cayman Series B Preferred Shares, any Cayman Preferred Director may be removed without cause only by the affirmative vote of the holders of a simple majority of the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Fiduciary Duties and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Flexibility for Decisions, Including Takeovers </w:t>
      </w:r>
    </w:p>
    <w:p>
      <w:pPr>
        <w:pStyle w:val="TextBody"/>
        <w:bidi w:val="0"/>
        <w:spacing w:before="120" w:after="0"/>
        <w:jc w:val="left"/>
        <w:rPr>
          <w:rFonts w:ascii="Times New Roman" w:hAnsi="Times New Roman"/>
          <w:sz w:val="20"/>
        </w:rPr>
      </w:pPr>
      <w:r>
        <w:rPr>
          <w:rFonts w:ascii="Times New Roman" w:hAnsi="Times New Roman"/>
          <w:sz w:val="20"/>
        </w:rPr>
        <w:t xml:space="preserve">The MBCA does not provide a list of statutory factors that corporate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Personal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MBCA authorizes a corporation to adopt a charter provision eliminating or limiting the personal liability of directors and officers to the corporation for monetary damages for breach of fiduciary duty,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MBCA has statutory mechanisms that permit corporations to indemnify directors, officers, employees, and agents in similar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provide that the liability of Massachusetts Corporation directors for damages for any breach of fiduciary duty shall be limited to the fullest extent permitted by law. The Massachusetts Articles also provides that the Massachusetts Corporation will indemnify, and advance funds to and reimburse expenses of, Massachusetts Articles directors and officers that have been appointed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 with Massachusetts Corporation directors and officers, and the Massachusetts Corporation carries insurance policies insuring Massachusetts Corporation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a corporation to advance expenses relating to the defense of any proceeding to directors and officers contingent upon such individuals’ commitment to repay any advances unless it is determined ultimately that such individuals are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Both the MBCA and the Companies Act do not have a specific statute governing either the establishment of director compensation, or the fairness of director compensation. The Combined Company’s board of directors after the Cayman Redomestication will establish the compensation of its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prescribe rules for the written consent of directors and the process is governed by a Cayman Islands exempted company’s articles of association which typically allows board decisions to be made by unanimous written consent in lieu of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Actions by Written Consent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Unless further restricted in the certificate of incorporation,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Business Combinations </w:t>
      </w:r>
    </w:p>
    <w:p>
      <w:pPr>
        <w:pStyle w:val="TextBody"/>
        <w:bidi w:val="0"/>
        <w:spacing w:before="120" w:after="0"/>
        <w:jc w:val="left"/>
        <w:rPr>
          <w:rFonts w:ascii="Times New Roman" w:hAnsi="Times New Roman"/>
          <w:sz w:val="20"/>
        </w:rPr>
      </w:pPr>
      <w:r>
        <w:rPr>
          <w:rFonts w:ascii="Times New Roman" w:hAnsi="Times New Roman"/>
          <w:sz w:val="20"/>
        </w:rPr>
        <w:t>While Massachusetts law provides certain protections to shareholders in connection with certain business combinations, which can be found in Chapter 110F of the MBCA, Cayman Islands law does not provide equivalent statutory protections to shareholders. Under Cayman Islands law, any specific provisions relating to business combinations needs to be set out expressly in the articles of association of a Cayman Islands exempted company. See “</w:t>
      </w:r>
      <w:r>
        <w:rPr>
          <w:rFonts w:ascii="Times New Roman" w:hAnsi="Times New Roman"/>
          <w:i/>
          <w:sz w:val="20"/>
        </w:rPr>
        <w:t>Shareholder and Shareholder Vote for Mergers and Other Corporation Reorganizations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Corporation is subject to the provisions of Chapter 110F of the MBCA.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corporation’s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less than a majority of the shares entitled to vote on the matter. The Massachusetts Articles provide that a merger, consolidation, or sale of substantially all of the assets of the corporation may be approved by a majority of all of the shares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 majority to the number of votes to which each shareholder is entitled or (ii)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requires.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shareholders have appraisal rights in the event of certain corporate actions such as a merger, share exchange or action that materially and adversely affects the rights of a shareholder. If a proposed corporate action requiring appraisal rights is submitted to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 </w:t>
      </w:r>
    </w:p>
    <w:p>
      <w:pPr>
        <w:pStyle w:val="TextBody"/>
        <w:bidi w:val="0"/>
        <w:spacing w:before="24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mechanics and timing procedures vary somewhat between Massachusetts and the Cayman Islands, but both require technical compliance with specific notice and payment protocols.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Shareholders and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special meetings of shareholders to be called by the board of directors or by any other person authorized in the certificate of incorporation or bylaws to call a special shareholder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Pursuant to Petition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 shareholder of a corporation may apply to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provision allowing shareholders to petition a court to compel a general meeting and Cayman Islands exempted companies are not required to hold annual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meetings,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Adjournment of Shareholder and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proxy executed by a shareholder will remain valid for a period of eleven months,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equivalent.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the certificate of incorporation and bylaws may establish quorum and voting requirements. If the certificate of incorporation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majority of the votes entitled to be cast on the matter by the voting group constitutes a quorum of that voting group for action on that matter and, favorable action on a matter, other than the election of directors, is taken by a voting group if the votes cast within the group favoring the action exceed the votes cast opposing the action. A bylaw dealing with quorum or voting requirements for shareholders, including additional voting groups, may not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generally within the past three years, including financial statements furnished, (5) a list of the names and business addresses of the corporation’s current directors and officers, and (6) the corporation’s most recent annual report delivered to the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Doesn’t Change After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Apart from being governed by the Cayman Articles, the Companies Act, and the common law of the Cayman Islands, following completion of the Cayman Redomestication, the Combined Company will continue to exist in the form of a Cayman exempt company and will continue to be treated as a U.S. corporation for all purposes under the Code. By virtue of the Cayman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management, including all directors and officers, will remain the same in connection with the Cayman Redomestication and will have the same positions with the Cayman Company. To the extent that the Cayman Redomestication will require the consent or waiver of a third party, the Combined Company will use commercially reasonable effects to obtain such consent or waiver before completing the Cayman Redomestication. Cyclerion and Korsana do not expect that any such required consent will impede the Combined Company’s ability to redomesticate to the Cayman Islands. The Cayman Redomestication will not otherwise adversely affect any of the Combined Company’s material contracts with any third parties, and the Combined Company’s rights and obligations under such material contractual arrangements will continue as rights and obligations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 Exchange Listing or Securities Act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continue to be a publicly held company following completion of the Cayman Redomestication, and the Cayman Shares will continue to be listed on Nasdaq and traded under the symbol “KRSA”. We expect that the Cayman Shares will trade under a new CUSIP. The Combined Company will continue to file required periodic reports and other documents with the SEC. Except as related to the implementation of a new CUSIP, there is not expected to be any interruption in the trading of the Cayman Shares as a result of the Cayman Redomestication. The Combined Company and its shareholders will be in the same respective positions under the federal securities laws after the Cayman Redomestication as the Combined Company and its shareholders were prior to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Material Accounting Implications </w:t>
      </w:r>
    </w:p>
    <w:p>
      <w:pPr>
        <w:pStyle w:val="TextBody"/>
        <w:bidi w:val="0"/>
        <w:spacing w:before="120" w:after="0"/>
        <w:jc w:val="left"/>
        <w:rPr>
          <w:rFonts w:ascii="Times New Roman" w:hAnsi="Times New Roman"/>
          <w:sz w:val="20"/>
        </w:rPr>
      </w:pPr>
      <w:r>
        <w:rPr>
          <w:rFonts w:ascii="Times New Roman" w:hAnsi="Times New Roman"/>
          <w:sz w:val="20"/>
        </w:rPr>
        <w:t xml:space="preserve">Effecting the Cayman Redomestication will not have any material accounting implications.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 Exchange of Stock Certificates Required </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not be required to exchange their existing stock certificates (if any) for new share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the Combined Company common stock and the Combined Company convertible preferred stock (the “Combined Company stock”) of the Cayman Redomestication, and, subject to the limitations, qualifications, and assumptions described herein and in the opinion filed as Exhibit 8.1 hereto, insofar as it describes matters of federal income tax law or conclusions with respect thereto, constitutes the opinion of Gibson, legal counsel to Korsana.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The Combined Company has not sought and will not seek any rulings from the IRS regarding the matters discussed below. There can be no assurance the IRS or a court will not take a contrary position to that discussed below regarding the tax considerations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the Combined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Combined Company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the Combined Company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Combined Company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the Combined Company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that own, or have owned, actually or constructively, more than 5% of the Combined Company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an entity or arrangement classified as a partnership for U.S. federal income tax purposes holds the Combined Company stock, the tax treatment of a partner in the partnership will depend on the status of the partner, the activities of the partnership, and certain determinations made at the partner level. Accordingly, a partnership holding Combined Company stock and each partner in such partnership is urged to consult its tax advisor regarding the U.S. federal income tax considerations to it of the Cayman Redomestication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the Combined Company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b/>
          <w:sz w:val="20"/>
        </w:rPr>
        <w:t>This discussion is for informational purposes only and is not tax advice. Each prospective investor is urged to consult its tax advisor with respect to the application of the U.S. federal income tax laws to its particular situation as well as any tax considerations of the Cayman Redomestication arising under U.S. federal estate or gift tax laws, the laws of any state, local or non-U.S. taxing jurisdiction or any applicable income tax treaty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Tax Status of the Cayman Company after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7874 of the Code, the Combined Company after the Cayman Redomestication is and will continue to be treated as a U.S. corporation for all purposes under the Code. As such, the Combined Company after the Cayman Redomestication is subject to U.S. federal income tax on the Combined Company’s worldwide taxable income (regardless of whether such income is “U.S. source” or “foreign source”) and is required to file a U.S. federal income tax return annually with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registration statement, Gibson, legal counsel to Korsana, will deliver an opinion that, subject to the limitations, qualifications, and assumptions described herein and in the opinion filed as Exhibit 8.1 hereto, the Cayman Redomestication will qualify as a “reorganization” for U.S. federal income tax purposes pursuant to Section 368(a)(1)(F) of the Code. As a result, a U.S. Holder will not recognize gain or loss upon the proposed Cayman Redomestication. A U.S. Holder will have the same aggregate basis in its Combined Company stock after the Cayman Redomestication as such U.S. Holder had in the corresponding Combined Company stock immediately prior to the Cayman Redomestication. A U.S. Holder’s holding period in the Combined Company stock immediately following the Cayman Redomestication will include such U.S. Holder’s holding period in the corresponding the Combined Company stock immediately prior to the Cayman Redomestication. Each U.S. Holder of shares of the Combined Company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Reporting Regarding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that receives shares of the Combined Company stock in the Cayman Redomestication is required to retain permanent records pertaining to the Cayman Redomestication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U.S. Holder who owned at least five percent (by vote or value) of the total outstanding stock of the Combined Company stock or who owned securities in the Combined Company stock with a basis of $1,000,000 or more is required to attach a statement to their tax returns for the year in which the Cayman Redomestication is consummated that contains the information listed in Treasury Regulations Section 1.368-3(b). Such statement must include the U.S. Holder’s tax basis in the holder’s Combined Company stock and the fair market value of such stock. Each U.S. Holder is urged to consult with its tax advisor to comply with these rules. </w:t>
      </w:r>
    </w:p>
    <w:p>
      <w:pPr>
        <w:pStyle w:val="TextBody"/>
        <w:bidi w:val="0"/>
        <w:spacing w:before="240" w:after="0"/>
        <w:jc w:val="left"/>
        <w:rPr>
          <w:rFonts w:ascii="Times New Roman" w:hAnsi="Times New Roman"/>
          <w:sz w:val="20"/>
        </w:rPr>
      </w:pPr>
      <w:r>
        <w:rPr>
          <w:rFonts w:ascii="Times New Roman" w:hAnsi="Times New Roman"/>
          <w:b/>
          <w:sz w:val="20"/>
        </w:rPr>
        <w:t>This discussion of U.S. federal income tax considerations of the Cayman Redomestication is for general information purposes only and is not intended to be, and should not be construed as, tax advice. Determining the actual tax considerations of the Cayman Redomestication to a holder may be complex and will depend on such holder’s specific situation and on factors that are not within Cyclerion’s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Cayman Redomestication does not require any Cayman Islands regulatory approval but certain documents will be required to be filed with the Cayman Islands Registrar of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undertaking confirming that the Cayman Company is able to pay its debts as they become due in the ordinary course of business together with a statement of the Cayman Company’s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sworn affidavit from a director stating that the Cayman Company is not in liquidation, subject to insolvency proceedings, or in the process of being wound up in any jurisdiction together with certain other declarations required under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good standing provided by the Secretary of the Commonwealth of Massachusetts immediately prior to the Cayman Redomestication in together with the charter documents of the Massachusetts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formal notice of continuation to be filed with the Cayman Islands Registrar of Companies, notifying it of the Cayman Company’s intent to continue as a Cayman Islands exempted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resolution resolving to change the domicile of the Massachusetts Corporation from Massachusetts to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the above requirements are satisfied, the Cayman Islands Registrar of Companies will issue a Certificate of Continuation, which serves as evidence that the Cayman Company has been duly registered in the Cayman Islands and migrated out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Cayman Redomestication requires the filing of the Plan of Domestication with Secretary of the Commonwealth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No other regulatory or governmental approvals or consents will be required in connection with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Massachusetts Corporation Common Stock are not entitled to appraisal rights with respect to the Cayman Redomestication described in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Cyclerion may become subject to various legal proceedings and claims that arise in the ordinary course of its business activities. As of the date of this proxy statement/prospectus, Cyclerion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Cyclerion because of defense and settlement costs, diversion of management resources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the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believes that the corporate laws of the Commonwealth of Massachusetts and the Cayman Islands are substantially comparable as to the rights of shareholders, at least on balance of the relevant considerations against one another and as relevant to the Combined Company. As part of its process, Cyclerion’s board of directors considered if domestication to the Cayman Islands would convey any non-ratable benefits on any of the Combined Company’s directors or officers and did not identify any such non-ratable benefits. However, others may allege, and shareholders should be aware in voting on the Redomestication Proposal and the Cayman Redomestication Resolutions, that the Combined Company’s directors and executive officers may be considered to have interests in the Cayman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Cayman Redomestication. Cyclerion’s board of directors has considered these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among other matters, in reaching the decision to approve the Cayman Redomestication and to recommend that Cyclerion’s shareholders vote in favor of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4A: To approve the domestication of Cyclerion from the Commonwealth of Massachusetts to the Cayman Islands by domestication pursuant to the MBCA and adopt the Cayman Redomestication Resolutions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Cayman Redomestication and the adoption of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4B: To resolve as a special resolution that: (i) the domestication of Cyclerion from the Commonwealth of Massachusetts to the Cayman Islands by way of continuation pursuant to the Companies Act and the Cayman Redomestication Resolutions be approved; and (ii) with effect from the registration of Cyclerion in the Cayman Islands, the memorandum of association and articles of association in the form presented to the Cyclerion Annual Meeting (with such further consequential amendments as may be deemed necessary by the Cyclerion Board) be and are adopted as the memorandum of association and articles of association of the Cayman Company with the name of the company as set out therein.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Proposal No. 4B.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Redomestication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EACH OF PROPOSALS NOS. 4A AND 4B AND THE ADOPTION OF THE CAYMAN REDOMESTICATION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1069_21"/>
      <w:bookmarkEnd w:id="23"/>
      <w:r>
        <w:rPr>
          <w:rFonts w:ascii="Times New Roman" w:hAnsi="Times New Roman"/>
          <w:b/>
          <w:sz w:val="20"/>
        </w:rPr>
        <w:t xml:space="preserve">PROPOSAL NO. 5 - THE DIRECTOR ELECTION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Cyclerion’s Bylaws provide that the Cyclerion Board shall consist of no less than three directors (except when there are fewer than three shareholders), and that the number of directors may be increased or decreased at any time by a vote of a majority of the directors then in office. The Cyclerion Board currently consists of six directors, all of whose current terms will expire at the Cyclerion Shareholders Meeting. The following individuals are being nominated to serve on the Cyclerion Board: Errol B. De Souza, Ph.D., Regina M. Graul, Ph.D., Peter M. Hecht, Ph.D., Michael Higgins, Steven E. Hyman, M.D., and Dina Katabi, Ph.D.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about each of the nominees and the Cyclerion Board generally, please see “Cyclerion Directors, Officers and Corporate Governance” elsewhere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elected, the nominees will hold office until the next Annual Meeting and until a respective successor is elected and has been qualified, or until such director resigns or is removed from office. </w:t>
      </w:r>
    </w:p>
    <w:p>
      <w:pPr>
        <w:pStyle w:val="TextBody"/>
        <w:bidi w:val="0"/>
        <w:spacing w:before="240" w:after="0"/>
        <w:jc w:val="left"/>
        <w:rPr>
          <w:rFonts w:ascii="Times New Roman" w:hAnsi="Times New Roman"/>
          <w:sz w:val="20"/>
        </w:rPr>
      </w:pPr>
      <w:r>
        <w:rPr>
          <w:rFonts w:ascii="Times New Roman" w:hAnsi="Times New Roman"/>
          <w:sz w:val="20"/>
        </w:rPr>
        <w:t xml:space="preserve">Cyclerion shareholders should understand, however, that if the Merger is consummated, the approval of the director nominees named in the Director Election Proposal will only have an effect until the completion of the Merger because the composition of the Cyclerion Board will be reconstituted upon completion of the Merger, in accordance with the Merger Agreement. Following the Merger, the Combined Company’s board of directors will consist of six members designated by Korsana, including Andrew Gottesdiener, Heidi Henson, Tomas Kiselak, Michelle Pernice, Nimish Shah, and Dr. Jonathan Violin. All of Cyclerion’s current directors are expected to resign from their positions as directors of Cyclerion, effective by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election of the director nominees named in the Director Election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election of the director nominees named in the Director Election Proposal. However, if the nominee is unable to serve or for good cause will not serve as a director, the proxies will be voted for the election of such substitute nominee as the Cyclerion Board may designate.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DIRECTOR NOMINEES NAMED IN THE DIRECTOR ELECTION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1069_22"/>
      <w:bookmarkEnd w:id="24"/>
      <w:r>
        <w:rPr>
          <w:rFonts w:ascii="Times New Roman" w:hAnsi="Times New Roman"/>
          <w:b/>
          <w:sz w:val="20"/>
        </w:rPr>
        <w:t xml:space="preserve">PROPOSAL NO. 6 - THE AUDITOR RATIFICATION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ratify the appointment by the audit committee of the Cyclerion Board (the “Cyclerion audit committee”) of Ernst &amp; Young LLP as Cyclerion’s independent registered public accounting firm for the fiscal year ending December 31, 2026. Ernst &amp; Young LLP has served as Cyclerion’s independent registered public accounting firm since 2019. </w:t>
      </w:r>
    </w:p>
    <w:p>
      <w:pPr>
        <w:pStyle w:val="TextBody"/>
        <w:bidi w:val="0"/>
        <w:spacing w:before="240" w:after="0"/>
        <w:jc w:val="left"/>
        <w:rPr>
          <w:rFonts w:ascii="Times New Roman" w:hAnsi="Times New Roman"/>
          <w:sz w:val="20"/>
        </w:rPr>
      </w:pPr>
      <w:r>
        <w:rPr>
          <w:rFonts w:ascii="Times New Roman" w:hAnsi="Times New Roman"/>
          <w:sz w:val="20"/>
        </w:rPr>
        <w:t xml:space="preserve">Neither the Cyclerion’s Bylaws nor other governing documents or law require shareholder ratification of the selection of Ernst &amp; Young LLP as Cyclerion’s independent registered public accounting firm. However, the Cyclerion audit committee has requested the Cyclerion Board submit the selection of Ernst &amp; Young LLP to the shareholders for ratification as a matter of good corporate practice. If the shareholders fail to ratify the selection, the Cyclerion audit committee of the will reconsider whether or not to retain that firm. Even if the selection is ratified, the Cyclerion audit committee in its discretion may direct the appointment of different independent auditors at any time during the year if they determine that such a change would be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A representative of Ernst &amp; Young LLP is expected to be present at the Cyclerion Shareholders Meeting and will have an opportunity to make a statement if he or she desires to do so and to respond to appropriate questions from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Cyclerion for the fiscal years ended December 31, 2025 and 2024 by Ernst &amp; Young LLP, Cyclerion’s principal accountant.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0"/>
        <w:gridCol w:w="363"/>
        <w:gridCol w:w="142"/>
        <w:gridCol w:w="886"/>
        <w:gridCol w:w="60"/>
        <w:gridCol w:w="363"/>
        <w:gridCol w:w="142"/>
        <w:gridCol w:w="886"/>
        <w:gridCol w:w="63"/>
      </w:tblGrid>
      <w:tr>
        <w:trPr/>
        <w:tc>
          <w:tcPr>
            <w:tcW w:w="485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w:t>
              <w:br/>
              <w:t>DECEMBER 31,</w:t>
            </w:r>
          </w:p>
        </w:tc>
        <w:tc>
          <w:tcPr>
            <w:tcW w:w="63"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385,000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385,000</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70,000</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15,000</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455,000</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400,000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Audit fees were for professional services rendered for the audit of Cyclerion’s annual financial statements and reviews of interim financial statements included in Cyclerion’s quarterly reports on Form 10-Q, including accounting consultations, as well as for services that are normally provided in connection with regulatory filings or engagements. </w:t>
      </w:r>
    </w:p>
    <w:p>
      <w:pPr>
        <w:pStyle w:val="TextBody"/>
        <w:bidi w:val="0"/>
        <w:spacing w:before="240" w:after="0"/>
        <w:jc w:val="left"/>
        <w:rPr>
          <w:rFonts w:ascii="Times New Roman" w:hAnsi="Times New Roman"/>
          <w:sz w:val="20"/>
        </w:rPr>
      </w:pPr>
      <w:r>
        <w:rPr>
          <w:rFonts w:ascii="Times New Roman" w:hAnsi="Times New Roman"/>
          <w:sz w:val="20"/>
        </w:rPr>
        <w:t xml:space="preserve">All of the services of Ernst &amp; Young LLP for the years ended December 31, 2025 and 2024 described above were pre-approved by the Cyclerion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adopted a policy for the pre-approval of audit and non-audit services rendered by Cyclerion’s independent registered public accounting firm, Ernst &amp; Young LLP. The policy generally pre-approves specified services in the defined categories of audit services, audit-related services and tax services up to specified amounts. Pre-approval may also be given as part of the Cyclerion audit committee’s approval of the scope of the engagement of the independent auditor or on an individual, explicit, case-by-case basis before the independent auditor is engaged to provide each service. The pre-approval of services may be delegated to one or more of the Cyclerion audit committee’s members, but the decision must be reported to the full Cyclerion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audit committee has determined that the rendering of services other than audit services by Ernst &amp; Young LLP is compatible with maintaining the principal accountant’s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reviewed and discussed the audited financial statements for the fiscal year ended December 31, 2025 with management of Cyclerion and Ernst &amp; Young LLP, Cyclerion’s independent registered public accounting firm. The Cyclerion audit committee has also received from, and discussed with, Cyclerion’s independent registered public accounting firm the written disclosures and other communications that Cyclerion’s independent registered public accounting firm is required to provide to the Cyclerion audit committee, including, the matters required to be discussed by the applicable requirements of the Public Company Accounting Oversight Board (“PCAOB”) and the SEC. The Cyclerion audit committee has also received the written disclosures and the letter from the independent registered public accounting firm required by applicable requirements of the PCAOB regarding the independent accountants’ communications with the Cyclerion audit committee concerning independence and has discussed with the independent registered public accounting firm the accounting firm’s independence. Based on the foregoing, the Cyclerion audit committee has recommended to the Cyclerion Board that the audited financial statements be included in Cyclerion’s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By the Audit Committee of the Board of Directors of Cyclerion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Michael J. Higgins, Chair </w:t>
      </w:r>
    </w:p>
    <w:p>
      <w:pPr>
        <w:pStyle w:val="TextBody"/>
        <w:bidi w:val="0"/>
        <w:spacing w:before="240" w:after="0"/>
        <w:jc w:val="left"/>
        <w:rPr>
          <w:rFonts w:ascii="Times New Roman" w:hAnsi="Times New Roman"/>
          <w:sz w:val="20"/>
        </w:rPr>
      </w:pPr>
      <w:r>
        <w:rPr>
          <w:rFonts w:ascii="Times New Roman" w:hAnsi="Times New Roman"/>
          <w:sz w:val="20"/>
        </w:rPr>
        <w:t xml:space="preserve">Errol B. De Souza, Ph.D. </w:t>
      </w:r>
    </w:p>
    <w:p>
      <w:pPr>
        <w:pStyle w:val="TextBody"/>
        <w:bidi w:val="0"/>
        <w:spacing w:before="240" w:after="0"/>
        <w:jc w:val="left"/>
        <w:rPr>
          <w:rFonts w:ascii="Times New Roman" w:hAnsi="Times New Roman"/>
          <w:sz w:val="20"/>
        </w:rPr>
      </w:pPr>
      <w:r>
        <w:rPr>
          <w:rFonts w:ascii="Times New Roman" w:hAnsi="Times New Roman"/>
          <w:sz w:val="20"/>
        </w:rPr>
        <w:t xml:space="preserve">Steven E. Hyman, M.D.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Auditor Ratification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material in this report is not “soliciting material,” is not deemed “filed” with the SEC and is not to be incorporated by reference in any filing of Cyclerion under the Securities Act of 1933, as amended, or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1069_23"/>
      <w:bookmarkEnd w:id="25"/>
      <w:r>
        <w:rPr>
          <w:rFonts w:ascii="Times New Roman" w:hAnsi="Times New Roman"/>
          <w:b/>
          <w:sz w:val="20"/>
        </w:rPr>
        <w:t xml:space="preserve">PROPOSAL NO. 7 -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Stock Incentive Plan (the “2026 Stock Plan”) to be effective on the closing date of the Merger. The 2026 Stock Plan was approved by the Cyclerion Board on July 16, 2026, subject to stockholder approval and the consummation of the Merger. If the 2026 Stock Plan is approved by stockholders and the Merger is consummated, no further awards will be granted under Cyclerion’s 2019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P </w:t>
      </w:r>
      <w:r>
        <w:rPr>
          <w:rFonts w:ascii="Times New Roman" w:hAnsi="Times New Roman"/>
          <w:sz w:val="20"/>
        </w:rPr>
        <w:t xml:space="preserve">to this proxy statement/prospectus. Stockholders are urged to read the 2026 Stock Plan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Stock Plan will be 10% of the total number of shares of outstanding capital stock immediately following the consummation of the Merger (including Combined Company common stock, preferred stock and unexercised pre-funded warrants on an as-converted basis), plus the shares of stock available for issuance under the Korsana 2025 Equity Incentive Plan as of the effective date of the 2026 Stock Plan (after giving effect to the Merger) and shares subject to outstanding awards under the Korsana 2025 Equity Incentive Plan that are not issued because such award is forfeited, canceled, terminated, expires or otherwise lapses without being exercised, or is settled in cash after the effective date of the 2026 Stock Plan,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5% of the diluted stock (including Combined Company common stock, preferred stock and unexercised pre-funded warrants) on the preceding December 31, unless a lower, or no, increase is determined by the Administrator. Only 60,000,000 shares of Combined Company common stock may be issued under the 2026 Stock Plan as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2026 Stock Plan may be either authorized and unissued shares or previously issued shares acquired by the Combined Company. On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retained or withheld in payment of any exercise price, purchase price, or tax withholding obligation of an Award will again become available for grant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As of July 23, 2026, the closing price of a share of Cyclerion Common Stock was $3.62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Current or prospective employees, officers, non-employee directors, and other individual service providers of the Combined Company and its subsidiaries will be eligible to participate in the 2026 Stock Plan, if selected by the Administrator. Following the Merger, it is expected that approximately 32 employees (including three executive officers), five non-employee directors and approximately 14 other individual service providers of the Combined Company will be eligible to participate in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dollar value of equity-based (based on the grant date fair market value of equity-based Awards) and cash compensation granted under the 2026 Stock Plan or otherwise to any non-employee director for service on the board may not exceed $750,000 during any full calendar year following the effective date;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Stock Appreciation Rights</w:t>
      </w:r>
      <w:r>
        <w:rPr>
          <w:rFonts w:ascii="Times New Roman" w:hAnsi="Times New Roman"/>
          <w:sz w:val="20"/>
        </w:rPr>
        <w:t xml:space="preserve">. SARs may be granted alone or in conjunction with all or part of a stock option.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Restricted Stock and RSUs</w:t>
      </w:r>
      <w:r>
        <w:rPr>
          <w:rFonts w:ascii="Times New Roman" w:hAnsi="Times New Roman"/>
          <w:sz w:val="20"/>
        </w:rPr>
        <w:t xml:space="preserve">. Awards of restricted stock consist of shares of stock that are transferred to the participant subject to restrictions that may result in forfeiture if specified conditions are not satisfied. RSUs result in the transfer of shares of stock or cash to the participant only after specified conditions are satisfied.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Administrator will determine the restrictions and conditions applicable to each award of restricted stock or RSUs, which may include performance vesting conditions. </w:t>
      </w:r>
    </w:p>
    <w:p>
      <w:pPr>
        <w:pStyle w:val="TextBody"/>
        <w:bidi w:val="0"/>
        <w:spacing w:before="240" w:after="0"/>
        <w:jc w:val="left"/>
        <w:rPr>
          <w:rFonts w:ascii="Times New Roman" w:hAnsi="Times New Roman"/>
          <w:sz w:val="20"/>
        </w:rPr>
      </w:pPr>
      <w:r>
        <w:rPr>
          <w:rFonts w:ascii="Times New Roman" w:hAnsi="Times New Roman"/>
          <w:sz w:val="20"/>
          <w:u w:val="single"/>
        </w:rPr>
        <w:t>Other Stock-Based Awards</w:t>
      </w:r>
      <w:r>
        <w:rPr>
          <w:rFonts w:ascii="Times New Roman" w:hAnsi="Times New Roman"/>
          <w:sz w:val="20"/>
        </w:rPr>
        <w:t xml:space="preserve">. Other stock-based awards are Awards denominated in or payable in, valued in whole or in part by reference to, or otherwise based on or related to, the value of Combined Company common stock. </w:t>
      </w:r>
    </w:p>
    <w:p>
      <w:pPr>
        <w:pStyle w:val="TextBody"/>
        <w:bidi w:val="0"/>
        <w:spacing w:before="240" w:after="0"/>
        <w:jc w:val="left"/>
        <w:rPr>
          <w:rFonts w:ascii="Times New Roman" w:hAnsi="Times New Roman"/>
          <w:sz w:val="20"/>
        </w:rPr>
      </w:pPr>
      <w:r>
        <w:rPr>
          <w:rFonts w:ascii="Times New Roman" w:hAnsi="Times New Roman"/>
          <w:sz w:val="20"/>
          <w:u w:val="single"/>
        </w:rPr>
        <w:t>Incentive Bonuses</w:t>
      </w:r>
      <w:r>
        <w:rPr>
          <w:rFonts w:ascii="Times New Roman" w:hAnsi="Times New Roman"/>
          <w:sz w:val="20"/>
        </w:rPr>
        <w:t xml:space="preserve">.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recoupment in accordance with any clawback policy adopted by the Combined Company (or any successor or other clawback policy adopted by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capitalization of the Combined Company, including any reorganization, reclassification, combination of shares, stock split, reverse stock split, spin-off, dividend or distribution (other than quarterly cash dividends), the share pool and outstanding Awards will be equitably adjusted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if Awards are not assumed, continued or substituted for, then all outstanding Awards will become fully vested and exercisable (with performance based on target or actual achievement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2036.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tax advisor concerning the tax implications of Awards granted under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The Administrator of the 2026 Stock Plan may grant Awards under the 2026 Stock Plan that are or may become non-deductible when it believes doing so is in the best interests of the Combined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Cyclerion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Stock Plan Proposal. However, the Stock Plan Proposal is conditioned on the consummation of the Merger. Notwithstanding the approval of the Stock Plan Proposal, if the Merger is not completed, the actions contemplated by the Stock Plan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Stock Plan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11069_24"/>
      <w:bookmarkEnd w:id="26"/>
      <w:r>
        <w:rPr>
          <w:rFonts w:ascii="Times New Roman" w:hAnsi="Times New Roman"/>
          <w:b/>
          <w:sz w:val="20"/>
        </w:rPr>
        <w:t xml:space="preserve">PROPOSAL NO. 8 -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Employee Stock Purchase Plan (the “2026 ESPP”) to be effective on the closing date of the Merger. The 2026 ESPP was approved by the Cyclerion Board on July 16, 2026, subject to stockholder approval and the consummation of the Merger. If the 2026 ESPP is approved by stockholders and the Merger is consummated, Cyclerion’s 2019 Employee Share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ESPP is not intended to be complete and is qualified in its entirety by the complete text of the 2026 ESPP, a copy of which is attached as </w:t>
      </w:r>
      <w:r>
        <w:rPr>
          <w:rFonts w:ascii="Times New Roman" w:hAnsi="Times New Roman"/>
          <w:i/>
          <w:sz w:val="20"/>
        </w:rPr>
        <w:t xml:space="preserve">Annex Q </w:t>
      </w:r>
      <w:r>
        <w:rPr>
          <w:rFonts w:ascii="Times New Roman" w:hAnsi="Times New Roman"/>
          <w:sz w:val="20"/>
        </w:rPr>
        <w:t xml:space="preserve">to this proxy statement/prospectus. Stockholders are urged to read the 2026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will be administered by the compensation committee of the Combined Company board of directors or another committee designated by the Combined Company board of directors to administer,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The ESPP Administrator may adopt rules or procedures relating to the operation and administration of the 2026 ESPP to accommodate the specific requirements of local laws and procedures, including to adopt sub-plans for participants outside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ESPP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ESPP will be the lesser of (i) 1% of the total number of shares of outstanding capital stock immediately following the consummation of the Merger (including Combined Company common stock, preferred stock and unexercised pre-funded warrants) or (ii) 1,000,000 shares,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1% of the diluted stock (including Combined Company common stock, preferred stock and unexercised pre-funded warrants) on the preceding December 31 or 2,000,000,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total number of shares to be purchased by all participants on any exercise date (as defined below) exceeds the number of shares remaining available for issuance under the 2026 ESPP, the ESPP Administrator may make a pro rata allocation of the remaining available number of shares in as uniform a manner as possible and as the ESPP Administrator determines to be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July 23, 2026, the closing price of a share of Cyclerion Common Stock was $3.62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However, any employee who would own (or pursuant to Section 424(d) of the Code would be deemed to own) more than 5% of the voting power or value of the Combined Company common stock immediately after a grant under the 2026 ESPP is not eligible to participate, and no participant may purchase more than $25,000 of Combined Company common stock in any one calendar year. Following the Merger, it is expected that approximately 32 employees will be eligible to participate in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2026 ESPP is generally implemented by a series of “offering periods” which will not exceed 27 months. The offering periods under the 2026 ESPP will be established by the ESPP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Payroll Deductions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in an offering period, an eligible employee must execute and submit a properly completed subscription agreement on or before a date determined by the ESPP Administrator prior to the applicable enrollment date. Once enrolled in the 2026 ESPP, a participant can purchase shares of Combined Company common stock with payroll deductions at the end of the applicable offering period. Once an offering period is over, a participant is automatically enrolled in the next offering period unless the participant chooses to withdraw from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request a deduction in an amount expressed as a whole percentage between 1% and 15% and all payroll deductions will be credited to the eligible employee’s account. The maximum permissible contribution by any participant for all offering periods during any calendar year is $25,000. No interest will be paid on any amount held in the account of any eligible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 </w:t>
      </w:r>
    </w:p>
    <w:p>
      <w:pPr>
        <w:pStyle w:val="TextBody"/>
        <w:bidi w:val="0"/>
        <w:spacing w:before="120" w:after="0"/>
        <w:jc w:val="left"/>
        <w:rPr>
          <w:rFonts w:ascii="Times New Roman" w:hAnsi="Times New Roman"/>
          <w:sz w:val="20"/>
        </w:rPr>
      </w:pPr>
      <w:r>
        <w:rPr>
          <w:rFonts w:ascii="Times New Roman" w:hAnsi="Times New Roman"/>
          <w:sz w:val="20"/>
        </w:rPr>
        <w:t xml:space="preserve">On the first trading day of each offering period, each eligible employee automatically will be granted an option to acquire shares of Combined Company common stock on the exercise date. All participants granted options under the 2026 ESPP will have the same rights and privileges consistent with the requirements set forth in Section 423 of the Code. No eligible employee will be permitted to purchase more than 2,500 shares of Combined Company common stock during each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2026 ESPP is determined by the ESPP Administrator, but in no event will be less than 85% of the fair market value of the Combined Company common stock on the first or the last trading day of the offering period, whichever is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Options </w:t>
      </w:r>
    </w:p>
    <w:p>
      <w:pPr>
        <w:pStyle w:val="TextBody"/>
        <w:bidi w:val="0"/>
        <w:spacing w:before="120" w:after="0"/>
        <w:jc w:val="left"/>
        <w:rPr>
          <w:rFonts w:ascii="Times New Roman" w:hAnsi="Times New Roman"/>
          <w:sz w:val="20"/>
        </w:rPr>
      </w:pPr>
      <w:r>
        <w:rPr>
          <w:rFonts w:ascii="Times New Roman" w:hAnsi="Times New Roman"/>
          <w:sz w:val="20"/>
        </w:rPr>
        <w:t xml:space="preserve">At the end of each offering period, unless the participant has withdrawn from the 2026 ESPP, payroll deductions are applied automatically to purchase shares of Combined Company common stock at the price described above. The number of shares purchased is determined by dividing the payroll deductions by the applicable purchase price,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payroll deductions accumulated in a participant’s account that are not sufficient to purchase a full share will be retained in the participant’s account for the subsequent option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Cancellation and Withdrawal </w:t>
      </w:r>
    </w:p>
    <w:p>
      <w:pPr>
        <w:pStyle w:val="TextBody"/>
        <w:bidi w:val="0"/>
        <w:spacing w:before="120" w:after="0"/>
        <w:jc w:val="left"/>
        <w:rPr>
          <w:rFonts w:ascii="Times New Roman" w:hAnsi="Times New Roman"/>
          <w:sz w:val="20"/>
        </w:rPr>
      </w:pPr>
      <w:r>
        <w:rPr>
          <w:rFonts w:ascii="Times New Roman" w:hAnsi="Times New Roman"/>
          <w:sz w:val="20"/>
        </w:rPr>
        <w:t xml:space="preserve">Participants may cancel all (but not less than all) of their option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2026 ESPP may not be transferred by a participant and may be exercised during a participant’s lifetime only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reorganizations, recapitalizations, stock splits, reverse stock splits, stock dividends, extraordinary dividends or distributions, or similar events, the ESPP Administrator will appropriately adjust the number and class of shares available under the 2026 ESPP and the applicable purchase price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Other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option period or upon its exercise on the exercise date at the end of an option period. Upon the disposition of shares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Combined Company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 xml:space="preserve">not </w:t>
      </w:r>
      <w:r>
        <w:rPr>
          <w:rFonts w:ascii="Times New Roman" w:hAnsi="Times New Roman"/>
          <w:sz w:val="20"/>
        </w:rPr>
        <w:t xml:space="preserve">conditioned upon the approval of the ESPP Proposal. However, the ESPP Proposal is conditioned on the consummation of the Merger. Notwithstanding the approval of the ESPP Proposal, if the Merger is not completed, the actions contemplated by the ESPP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ESPP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1069_25"/>
      <w:bookmarkEnd w:id="27"/>
      <w:r>
        <w:rPr>
          <w:rFonts w:ascii="Times New Roman" w:hAnsi="Times New Roman"/>
          <w:b/>
          <w:sz w:val="20"/>
        </w:rPr>
        <w:t xml:space="preserve">PROPOSAL NO. 9 -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Pursuant to Section 14A of the Exchange Act and Rule 14a-21(c) thereunder, Cyclerion is seeking non-binding, advisory shareholder approval of certain compensation arrangements for Cyclerion named executive officers that are based on or otherwise relate to the Merger, as disclosed pursuant to Item 402(t) of Regulation S-K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 — Golden Parachute Compensation</w:t>
      </w:r>
      <w:r>
        <w:rPr>
          <w:rFonts w:ascii="Times New Roman" w:hAnsi="Times New Roman"/>
          <w:sz w:val="20"/>
        </w:rPr>
        <w:t xml:space="preserve">” beginning on page 156 of this proxy statement/prospectus. At the Cyclerion Shareholders Meeting, Cyclerion will therefore ask its shareholders to adopt the following resolution: </w:t>
      </w:r>
    </w:p>
    <w:p>
      <w:pPr>
        <w:pStyle w:val="TextBody"/>
        <w:bidi w:val="0"/>
        <w:spacing w:before="120" w:after="0"/>
        <w:jc w:val="left"/>
        <w:rPr/>
      </w:pPr>
      <w:r>
        <w:rPr/>
        <w:t>“</w:t>
      </w:r>
      <w:r>
        <w:rPr>
          <w:rFonts w:ascii="Times New Roman" w:hAnsi="Times New Roman"/>
          <w:b/>
          <w:sz w:val="20"/>
        </w:rPr>
        <w:t>RESOLVED: That certain compensation arrangements for Cyclerion named executive officers in connection with the Merger, as disclosed pursuant to Item 402(t) of Regulation S-K in the section titled “</w:t>
      </w:r>
      <w:r>
        <w:rPr>
          <w:rFonts w:ascii="Times New Roman" w:hAnsi="Times New Roman"/>
          <w:b/>
          <w:i/>
          <w:sz w:val="20"/>
        </w:rPr>
        <w:t>The Merger</w:t>
      </w:r>
      <w:r>
        <w:rPr>
          <w:rFonts w:ascii="Times New Roman" w:hAnsi="Times New Roman"/>
          <w:sz w:val="20"/>
        </w:rPr>
        <w:t xml:space="preserve"> — </w:t>
      </w:r>
      <w:r>
        <w:rPr>
          <w:rFonts w:ascii="Times New Roman" w:hAnsi="Times New Roman"/>
          <w:b/>
          <w:i/>
          <w:sz w:val="20"/>
        </w:rPr>
        <w:t>Interests of Cyclerion</w:t>
      </w:r>
      <w:r>
        <w:rPr>
          <w:rFonts w:ascii="Times New Roman" w:hAnsi="Times New Roman"/>
          <w:sz w:val="20"/>
        </w:rPr>
        <w:t>’</w:t>
      </w:r>
      <w:r>
        <w:rPr>
          <w:rFonts w:ascii="Times New Roman" w:hAnsi="Times New Roman"/>
          <w:b/>
          <w:i/>
          <w:sz w:val="20"/>
        </w:rPr>
        <w:t>s</w:t>
      </w:r>
      <w:r>
        <w:rPr>
          <w:rFonts w:ascii="Times New Roman" w:hAnsi="Times New Roman"/>
          <w:sz w:val="20"/>
        </w:rPr>
        <w:t xml:space="preserve"> </w:t>
      </w:r>
      <w:r>
        <w:rPr>
          <w:rFonts w:ascii="Times New Roman" w:hAnsi="Times New Roman"/>
          <w:b/>
          <w:i/>
          <w:sz w:val="20"/>
        </w:rPr>
        <w:t>Directors and Executive Officers in the Merger — Golden Parachute Compensation</w:t>
      </w:r>
      <w:r>
        <w:rPr>
          <w:rFonts w:ascii="Times New Roman" w:hAnsi="Times New Roman"/>
          <w:sz w:val="20"/>
        </w:rPr>
        <w:t xml:space="preserve">” </w:t>
      </w:r>
      <w:r>
        <w:rPr>
          <w:rFonts w:ascii="Times New Roman" w:hAnsi="Times New Roman"/>
          <w:b/>
          <w:sz w:val="20"/>
        </w:rPr>
        <w:t xml:space="preserve">in the proxy statement/prospectus, are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Accordingly, to the extent Cyclerion is contractually obligated to pay the compensation, the compensation will be payable to the named executive officers, subject only to the conditions applicable thereto, if the Merger is completed, regardless of the outcome of the advisory vote.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Merger Compensation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1069_26"/>
      <w:bookmarkEnd w:id="28"/>
      <w:r>
        <w:rPr>
          <w:rFonts w:ascii="Times New Roman" w:hAnsi="Times New Roman"/>
          <w:b/>
          <w:sz w:val="20"/>
        </w:rPr>
        <w:t xml:space="preserve">PROPOSAL NO. 10 – THE SAY-ON-PAY PROPOSAL </w:t>
      </w:r>
    </w:p>
    <w:p>
      <w:pPr>
        <w:pStyle w:val="TextBody"/>
        <w:bidi w:val="0"/>
        <w:spacing w:before="240" w:after="0"/>
        <w:jc w:val="left"/>
        <w:rPr>
          <w:rFonts w:ascii="Times New Roman" w:hAnsi="Times New Roman"/>
          <w:sz w:val="20"/>
        </w:rPr>
      </w:pPr>
      <w:r>
        <w:rPr>
          <w:rFonts w:ascii="Times New Roman" w:hAnsi="Times New Roman"/>
          <w:sz w:val="20"/>
        </w:rPr>
        <w:t xml:space="preserve">Section 14A of the Exchange Act requires that Cyclerion provide its shareholders with the opportunity to vote to approve, on a non-binding, advisory basis, not less frequently than once every three years, the compensation of Cyclerion’s named executive officers as disclosed in this proxy statement/prospectus in accordance with the compensation disclosure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programs are designed to effectively align Cyclerion’s executives’ interests with the interests of Cyclerion’s shareholders by focusing on long-term equity incentives that correlate with the growth of sustainable long-term value for Cyclerion’s shareholders. Cyclerion’s shareholders are urged to read the section titled “Cyclerion Executive Officer and Director Compensation” in this proxy statement/prospectus, which discusses how Cyclerion’s executive compensation policies and practices implement Cyclerion’s compensation philosophy and contains tabular information and narrative discussion about the compensation of Cyclerion’s named executive officers. The Compensation Committee of the Cyclerion Board (the “Cyclerion Compensation Committee”) believes that the objectives of Cyclerion’s executive compensation program, as they relate to Cyclerion’s named executive officers, are appropriate for a company of Cyclerion’s size and stage of development and that its compensation policies and practices help meet those objectives. In addition, the Cyclerion Compensation Committee believes that Cyclerion’s executive compensation program, as it relates to Cyclerion’s named executive officers, achieves an appropriate balance between fixed compensation and variable incentive compensation. The Cyclerion Board and the Cyclerion Compensation Committee believe that Cyclerion’s policies and practices are effective in implementing Cyclerion’s compensation philosophy and in achieving Cyclerion’s compensation program goal. Accordingly, Cyclerion is asking its shareholders to approve the compensation of Cyclerion’s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compensation of Cyclerion’s named executive officers, as described in this proxy statement/prospectus in accordance with the compensation disclosure rules of the SEC. Accordingly, Cyclerion is asking its shareholders to vote on the following resolution at the Cyclerion Shareholders Meeting: </w:t>
      </w:r>
    </w:p>
    <w:p>
      <w:pPr>
        <w:pStyle w:val="TextBody"/>
        <w:bidi w:val="0"/>
        <w:spacing w:before="120" w:after="0"/>
        <w:jc w:val="left"/>
        <w:rPr/>
      </w:pPr>
      <w:r>
        <w:rPr/>
        <w:t>“</w:t>
      </w:r>
      <w:r>
        <w:rPr>
          <w:rFonts w:ascii="Times New Roman" w:hAnsi="Times New Roman"/>
          <w:b/>
          <w:sz w:val="20"/>
        </w:rPr>
        <w:t xml:space="preserve">RESOLVED, that the compensation paid to the Cyclerion’s named executive officers, as disclosed in Cyclerion’s proxy statement/prospectus related to its 2026 Annual Meeting of Shareholders, pursuant to the compensation disclosure rules of the SEC, including the compensation tables and the related material disclosed in the proxy statement/prospectus is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Say-on-Pay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Say-on-Pay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SAY-ON-PAY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1069_27"/>
      <w:bookmarkEnd w:id="29"/>
      <w:r>
        <w:rPr>
          <w:rFonts w:ascii="Times New Roman" w:hAnsi="Times New Roman"/>
          <w:b/>
          <w:sz w:val="20"/>
        </w:rPr>
        <w:t xml:space="preserve">PROPOSAL NO. 11 -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Cyclerion fails to receive a sufficient number of votes to approve the Nasdaq Stock Issuance Proposal, the Authorized Share Increase Proposal, and/or the Reverse Stock Split Proposal, Cyclerion may propose to adjourn the Cyclerion Shareholders Meeting, for a period of not more than 60 days, for the purpose of soliciting additional proxies to approve the Nasdaq Stock Issuance Proposal, the Authorized Share Increase Proposal, and/or the Reverse Stock Split Proposal. Cyclerion currently does not intend to propose adjournment at the Cyclerion Shareholders Meeting if there are sufficient votes to approve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11069_28"/>
      <w:bookmarkEnd w:id="30"/>
      <w:r>
        <w:rPr>
          <w:rFonts w:ascii="Times New Roman" w:hAnsi="Times New Roman"/>
          <w:b/>
          <w:sz w:val="20"/>
        </w:rPr>
        <w:t xml:space="preserve">CYCLERION’S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Strategy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announcement of the Merger, we were focused on building a pipeline of innovative therapeutics to address serious neuropsychiatric disorders with significant unmet medical need. Our strategic focus has been centered on the development of a novel therapeutic approach for neuropsychiatric conditions, with the lead indication being treatment-resistant depression (“TRD”), which we believe represents a substantial clinical and commercial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Primary Focus on New Potential Treatment for Treatment Resistant Depression </w:t>
      </w:r>
    </w:p>
    <w:p>
      <w:pPr>
        <w:pStyle w:val="TextBody"/>
        <w:bidi w:val="0"/>
        <w:spacing w:before="120" w:after="0"/>
        <w:jc w:val="left"/>
        <w:rPr>
          <w:rFonts w:ascii="Times New Roman" w:hAnsi="Times New Roman"/>
          <w:sz w:val="20"/>
        </w:rPr>
      </w:pPr>
      <w:r>
        <w:rPr>
          <w:rFonts w:ascii="Times New Roman" w:hAnsi="Times New Roman"/>
          <w:sz w:val="20"/>
        </w:rPr>
        <w:t>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 to the announcement of the Merger, prioritized CYC-126, an individualized therapy for TRD as our foundational development program.</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program (the “MIT License Agreement”).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entered into a collaboration and option-to-license agreement with Medsteer SAS (“Medsteer”) to access certain technology, data assets, and technical know-how related to drug delivery and physiological monitoring. Under the terms of the Collaboration Agreement, the Company paid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advancing development planning, regulatory strategy, and commercial positioning for this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2026, we received notice from the FDA confirming prior informal communications that CYC-126 will be regulated under the FDA’s Center for Drug Evaluation and Research (“CDER”), with the FDA’s Center for Devices and Radiologic Health (“CDRH”) providing input and reviews as applicable. We believe that the FDA feedback provided clear guidance that the Company believes will help enable an FDA IND submission. The FDA guidance supported continued advancement of the planned Phase 2 study design, leveraging FDA-approved anesthetics and their well-established nonclinical and clinical safety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also recently announced the formation of a Clinical Advisory Board with the appointment of five internationally recognized key leaders in neuropsychiatry anesthesiology clinical care, and clinical development. This advisory board will provide strategic guidance and support key decision making regarding clinical development as Cyclerion seeks to advance CYC-126 for TRD and builds a pipeline across neuropsychiatric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announcement of the Merger, CYC-126 was being developed as a potential anesthetic-based therapy for neuropsychiatric indications, including TRD. The system is designed to deliver anesthetic agents while monitoring brain activity to support individualized dosing through a patient feedback loop. The Company believes this approach may provide a differentiated treatment option for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CYC-126 consists of two generic intravenous anesthetic agents, propofol and dexmedetomidine, administered through a personalized delivery system intended to operate as a clinical decision support tool for an anesthesiologist. The treatment would be expected to be delivered in a hospital-based setting, such as a procedure room or post-anesthesia care unit (“PACU”), followed by a short recovery period in the PACU. </w:t>
      </w:r>
    </w:p>
    <w:p>
      <w:pPr>
        <w:pStyle w:val="TextBody"/>
        <w:bidi w:val="0"/>
        <w:spacing w:before="240" w:after="0"/>
        <w:jc w:val="left"/>
        <w:rPr>
          <w:rFonts w:ascii="Times New Roman" w:hAnsi="Times New Roman"/>
          <w:sz w:val="20"/>
        </w:rPr>
      </w:pPr>
      <w:r>
        <w:rPr>
          <w:rFonts w:ascii="Times New Roman" w:hAnsi="Times New Roman"/>
          <w:sz w:val="20"/>
        </w:rPr>
        <w:t xml:space="preserve">Major depressive disorder (“MDD”) is a prevalent psychiatric illness characterized by episodes of depressed mood, cognitive disturbances, and diminished interest or pleasure in activities lasting for at least two weeks. A subset of patients with MDD who do not achieve an adequate response after at least two antidepressant treatments are considered to have treatment-resistant depression. It is estimated that more than one-third of patients with medication-treated MDD meet criteria for TRD, representing approximately 2.8 to 3 million adults in the United States. Patients with TRD experience higher hospitalization rates, increased suicide risk, greater psychiatric comorbidity, and limited effective treatment options. </w:t>
      </w:r>
    </w:p>
    <w:p>
      <w:pPr>
        <w:pStyle w:val="TextBody"/>
        <w:bidi w:val="0"/>
        <w:spacing w:before="240" w:after="0"/>
        <w:jc w:val="left"/>
        <w:rPr>
          <w:rFonts w:ascii="Times New Roman" w:hAnsi="Times New Roman"/>
          <w:sz w:val="20"/>
        </w:rPr>
      </w:pPr>
      <w:r>
        <w:rPr>
          <w:rFonts w:ascii="Times New Roman" w:hAnsi="Times New Roman"/>
          <w:sz w:val="20"/>
        </w:rPr>
        <w:t xml:space="preserve">Propofol and dexmedetomidine have an established clinical safety database as widely used anesthetic agents. Additionally, several early-phase clinical studies have suggested that propofol may have rapid-acting antidepressant effects in patients with TRD. Cyclerion is developing CYC-126 to incorporate a proprietary, technology-enabled delivery approach designed to achieve and maintain specific electroencephalogram (“EEG”) states. The Company believes that controlled sedation may modulate communication among brain regions that are dysregulated in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in 2018 to focus on the treatment of serious diseases with novel sGC stimulators in both the central nervous system (CNS) and the periphery. Since that time, our strategy for Cyclerion has changed and our sGC assets zagociquat and CY3018 were sold in 2023 to Tisento, we out-licensed praliciguat in 2021. We also entered into a non-binding license option agreement for olinciguat in 2024 which was terminated in 2025. Our prior strategy to conduct research and development on sGC stimulators has been discontinued and we do not intend to internally pursue research and development or commercialization with any sGC asset.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high-level summary of our historical sGC portfolio: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6"/>
        <w:gridCol w:w="204"/>
        <w:gridCol w:w="2741"/>
        <w:gridCol w:w="204"/>
        <w:gridCol w:w="2620"/>
        <w:gridCol w:w="120"/>
        <w:gridCol w:w="2340"/>
      </w:tblGrid>
      <w:tr>
        <w:trPr/>
        <w:tc>
          <w:tcPr>
            <w:tcW w:w="19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976"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8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4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76"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b/>
              </w:rPr>
            </w:pPr>
            <w:r>
              <w:rPr>
                <w:b/>
              </w:rPr>
              <w:t>Program</w:t>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41" w:type="dxa"/>
            <w:tcBorders>
              <w:bottom w:val="single" w:sz="2" w:space="0" w:color="000000"/>
            </w:tcBorders>
            <w:tcMar>
              <w:bottom w:w="28" w:type="dxa"/>
            </w:tcMar>
            <w:vAlign w:val="bottom"/>
          </w:tcPr>
          <w:p>
            <w:pPr>
              <w:pStyle w:val="TableContents"/>
              <w:bidi w:val="0"/>
              <w:spacing w:before="0" w:after="283"/>
              <w:jc w:val="left"/>
              <w:rPr>
                <w:b/>
              </w:rPr>
            </w:pPr>
            <w:r>
              <w:rPr>
                <w:b/>
              </w:rPr>
              <w:t>Indication(s)</w:t>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20" w:type="dxa"/>
            <w:tcBorders>
              <w:bottom w:val="single" w:sz="2" w:space="0" w:color="000000"/>
            </w:tcBorders>
            <w:tcMar>
              <w:bottom w:w="28" w:type="dxa"/>
            </w:tcMar>
            <w:vAlign w:val="bottom"/>
          </w:tcPr>
          <w:p>
            <w:pPr>
              <w:pStyle w:val="TableContents"/>
              <w:bidi w:val="0"/>
              <w:spacing w:before="0" w:after="283"/>
              <w:jc w:val="left"/>
              <w:rPr>
                <w:b/>
              </w:rPr>
            </w:pPr>
            <w:r>
              <w:rPr>
                <w:b/>
              </w:rPr>
              <w:t>Description</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4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b/>
              </w:rPr>
            </w:pPr>
            <w:r>
              <w:rPr>
                <w:b/>
              </w:rPr>
              <w:t>Status</w:t>
            </w:r>
          </w:p>
        </w:tc>
      </w:tr>
      <w:tr>
        <w:trPr>
          <w:trHeight w:val="120" w:hRule="atLeast"/>
        </w:trPr>
        <w:tc>
          <w:tcPr>
            <w:tcW w:w="1976" w:type="dxa"/>
            <w:tcBorders>
              <w:left w:val="single" w:sz="2" w:space="0" w:color="000000"/>
            </w:tcBorders>
            <w:tcMar>
              <w:left w:w="160" w:type="dxa"/>
            </w:tcMar>
            <w:vAlign w:val="center"/>
          </w:tcPr>
          <w:p>
            <w:pPr>
              <w:pStyle w:val="TableContents"/>
              <w:bidi w:val="0"/>
              <w:spacing w:before="0" w:after="283"/>
              <w:jc w:val="left"/>
              <w:rPr/>
            </w:pPr>
            <w:r>
              <w:rPr/>
              <w:t> </w:t>
            </w:r>
          </w:p>
        </w:tc>
        <w:tc>
          <w:tcPr>
            <w:tcW w:w="29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824"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4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197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Zagociguat (CNS-penetrant)</w:t>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41" w:type="dxa"/>
            <w:tcBorders>
              <w:bottom w:val="single" w:sz="2" w:space="0" w:color="000000"/>
            </w:tcBorders>
            <w:tcMar>
              <w:bottom w:w="28" w:type="dxa"/>
            </w:tcMar>
          </w:tcPr>
          <w:p>
            <w:pPr>
              <w:pStyle w:val="TableContents"/>
              <w:bidi w:val="0"/>
              <w:spacing w:before="0" w:after="283"/>
              <w:jc w:val="left"/>
              <w:rPr/>
            </w:pPr>
            <w:r>
              <w:rPr/>
              <w:t>MELAS syndrome (mitochondrial encephalopathy, lactic acidosis, and stroke-like episodes syndrome), cognitive impairment</w:t>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20" w:type="dxa"/>
            <w:tcBorders>
              <w:bottom w:val="single" w:sz="2" w:space="0" w:color="000000"/>
            </w:tcBorders>
            <w:tcMar>
              <w:bottom w:w="28" w:type="dxa"/>
            </w:tcMar>
          </w:tcPr>
          <w:p>
            <w:pPr>
              <w:pStyle w:val="TableContents"/>
              <w:bidi w:val="0"/>
              <w:spacing w:before="0" w:after="283"/>
              <w:jc w:val="left"/>
              <w:rPr/>
            </w:pPr>
            <w:r>
              <w:rPr/>
              <w:t>Zagociguat is a CNS-penetrant sGC stimulator that has shown rapid improvements across a range of endpoints reflecting multiple domains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40"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Sold to Tisento as part of the Asset Purchase Agreement in July 2023. On January 8, 2026, Tisento announced completion of enrollment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937"/>
        <w:gridCol w:w="196"/>
        <w:gridCol w:w="2740"/>
        <w:gridCol w:w="196"/>
        <w:gridCol w:w="2624"/>
        <w:gridCol w:w="120"/>
        <w:gridCol w:w="2392"/>
      </w:tblGrid>
      <w:tr>
        <w:trPr/>
        <w:tc>
          <w:tcPr>
            <w:tcW w:w="193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9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6"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8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37"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b/>
              </w:rPr>
            </w:pPr>
            <w:r>
              <w:rPr>
                <w:b/>
              </w:rPr>
              <w:t>Program</w:t>
            </w:r>
          </w:p>
        </w:tc>
        <w:tc>
          <w:tcPr>
            <w:tcW w:w="19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40" w:type="dxa"/>
            <w:tcBorders>
              <w:bottom w:val="single" w:sz="2" w:space="0" w:color="000000"/>
            </w:tcBorders>
            <w:tcMar>
              <w:bottom w:w="28" w:type="dxa"/>
            </w:tcMar>
            <w:vAlign w:val="bottom"/>
          </w:tcPr>
          <w:p>
            <w:pPr>
              <w:pStyle w:val="TableContents"/>
              <w:bidi w:val="0"/>
              <w:spacing w:before="0" w:after="283"/>
              <w:jc w:val="left"/>
              <w:rPr>
                <w:b/>
              </w:rPr>
            </w:pPr>
            <w:r>
              <w:rPr>
                <w:b/>
              </w:rPr>
              <w:t>Indication(s)</w:t>
            </w:r>
          </w:p>
        </w:tc>
        <w:tc>
          <w:tcPr>
            <w:tcW w:w="19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24" w:type="dxa"/>
            <w:tcBorders>
              <w:bottom w:val="single" w:sz="2" w:space="0" w:color="000000"/>
            </w:tcBorders>
            <w:tcMar>
              <w:bottom w:w="28" w:type="dxa"/>
            </w:tcMar>
            <w:vAlign w:val="bottom"/>
          </w:tcPr>
          <w:p>
            <w:pPr>
              <w:pStyle w:val="TableContents"/>
              <w:bidi w:val="0"/>
              <w:spacing w:before="0" w:after="283"/>
              <w:jc w:val="left"/>
              <w:rPr>
                <w:b/>
              </w:rPr>
            </w:pPr>
            <w:r>
              <w:rPr>
                <w:b/>
              </w:rPr>
              <w:t>Description</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92"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b/>
              </w:rPr>
            </w:pPr>
            <w:r>
              <w:rPr>
                <w:b/>
              </w:rPr>
              <w:t>Status</w:t>
            </w:r>
          </w:p>
        </w:tc>
      </w:tr>
      <w:tr>
        <w:trPr/>
        <w:tc>
          <w:tcPr>
            <w:tcW w:w="1937" w:type="dxa"/>
            <w:tcBorders>
              <w:left w:val="single" w:sz="2" w:space="0" w:color="000000"/>
            </w:tcBorders>
            <w:tcMar>
              <w:left w:w="160" w:type="dxa"/>
            </w:tcMar>
          </w:tcPr>
          <w:p>
            <w:pPr>
              <w:pStyle w:val="TableContents"/>
              <w:bidi w:val="0"/>
              <w:spacing w:before="0" w:after="283"/>
              <w:jc w:val="left"/>
              <w:rPr/>
            </w:pPr>
            <w:r>
              <w:rPr/>
              <w:t> </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740" w:type="dxa"/>
            <w:tcBorders/>
          </w:tcPr>
          <w:p>
            <w:pPr>
              <w:pStyle w:val="TableContents"/>
              <w:bidi w:val="0"/>
              <w:spacing w:before="0" w:after="283"/>
              <w:jc w:val="left"/>
              <w:rPr/>
            </w:pPr>
            <w:r>
              <w:rPr/>
              <w:t>associated with schizophrenia, and Alzheimer’s Disease with Vascular Pathology (ADV)</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624" w:type="dxa"/>
            <w:tcBorders/>
          </w:tcPr>
          <w:p>
            <w:pPr>
              <w:pStyle w:val="TableContents"/>
              <w:bidi w:val="0"/>
              <w:spacing w:before="0" w:after="283"/>
              <w:jc w:val="left"/>
              <w:rPr/>
            </w:pPr>
            <w:r>
              <w:rPr/>
              <w:t>of disease activity, including mitochondrial disease-associated biomarkers.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392" w:type="dxa"/>
            <w:tcBorders>
              <w:right w:val="single" w:sz="2" w:space="0" w:color="000000"/>
            </w:tcBorders>
            <w:tcMar>
              <w:right w:w="40" w:type="dxa"/>
            </w:tcMar>
          </w:tcPr>
          <w:p>
            <w:pPr>
              <w:pStyle w:val="TableContents"/>
              <w:bidi w:val="0"/>
              <w:spacing w:before="0" w:after="283"/>
              <w:jc w:val="left"/>
              <w:rPr/>
            </w:pPr>
            <w:r>
              <w:rPr/>
              <w:t>in PRIZM, a global phase 2b study of zagociguat for the treatment of MELAS. Zagociguat received Fast Track designation in June 2025 from the U.S. Food and Drug Administration for the treatment of MELAS.</w:t>
            </w:r>
          </w:p>
        </w:tc>
      </w:tr>
      <w:tr>
        <w:trPr>
          <w:trHeight w:val="120" w:hRule="atLeast"/>
        </w:trPr>
        <w:tc>
          <w:tcPr>
            <w:tcW w:w="19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6"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8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37" w:type="dxa"/>
            <w:tcBorders>
              <w:left w:val="single" w:sz="2" w:space="0" w:color="000000"/>
            </w:tcBorders>
            <w:tcMar>
              <w:left w:w="160" w:type="dxa"/>
            </w:tcMar>
          </w:tcPr>
          <w:p>
            <w:pPr>
              <w:pStyle w:val="TableContents"/>
              <w:bidi w:val="0"/>
              <w:spacing w:before="0" w:after="283"/>
              <w:jc w:val="left"/>
              <w:rPr/>
            </w:pPr>
            <w:r>
              <w:rPr/>
              <w:t>CY3018 (CNS-penetrant)</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740" w:type="dxa"/>
            <w:tcBorders/>
          </w:tcPr>
          <w:p>
            <w:pPr>
              <w:pStyle w:val="TableContents"/>
              <w:bidi w:val="0"/>
              <w:spacing w:before="0" w:after="283"/>
              <w:jc w:val="left"/>
              <w:rPr/>
            </w:pPr>
            <w:r>
              <w:rPr/>
              <w:t>Neuropsychiatric disorders</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624" w:type="dxa"/>
            <w:tcBorders/>
          </w:tcPr>
          <w:p>
            <w:pPr>
              <w:pStyle w:val="TableContents"/>
              <w:bidi w:val="0"/>
              <w:spacing w:before="0" w:after="283"/>
              <w:jc w:val="left"/>
              <w:rPr/>
            </w:pPr>
            <w:r>
              <w:rPr/>
              <w:t>CY3018 is a CNS-penetrant sGC stimulator in preclinical development that has potential for the treatment of neuropsychiatric diseases and disorders.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392" w:type="dxa"/>
            <w:tcBorders>
              <w:right w:val="single" w:sz="2" w:space="0" w:color="000000"/>
            </w:tcBorders>
            <w:tcMar>
              <w:right w:w="40" w:type="dxa"/>
            </w:tcMar>
          </w:tcPr>
          <w:p>
            <w:pPr>
              <w:pStyle w:val="TableContents"/>
              <w:bidi w:val="0"/>
              <w:spacing w:before="0" w:after="283"/>
              <w:jc w:val="left"/>
              <w:rPr/>
            </w:pPr>
            <w:r>
              <w:rPr/>
              <w:t>Sold to Tisento as part of the Asset Purchase Agreement in July 2023.</w:t>
            </w:r>
          </w:p>
        </w:tc>
      </w:tr>
      <w:tr>
        <w:trPr>
          <w:trHeight w:val="120" w:hRule="atLeast"/>
        </w:trPr>
        <w:tc>
          <w:tcPr>
            <w:tcW w:w="19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6"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8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37" w:type="dxa"/>
            <w:tcBorders>
              <w:left w:val="single" w:sz="2" w:space="0" w:color="000000"/>
            </w:tcBorders>
            <w:tcMar>
              <w:left w:w="160" w:type="dxa"/>
            </w:tcMar>
          </w:tcPr>
          <w:p>
            <w:pPr>
              <w:pStyle w:val="TableContents"/>
              <w:bidi w:val="0"/>
              <w:spacing w:before="0" w:after="283"/>
              <w:jc w:val="left"/>
              <w:rPr/>
            </w:pPr>
            <w:r>
              <w:rPr/>
              <w:t>Praliciguat (peripheral)</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740" w:type="dxa"/>
            <w:tcBorders/>
          </w:tcPr>
          <w:p>
            <w:pPr>
              <w:pStyle w:val="TableContents"/>
              <w:bidi w:val="0"/>
              <w:spacing w:before="0" w:after="283"/>
              <w:jc w:val="left"/>
              <w:rPr/>
            </w:pPr>
            <w:r>
              <w:rPr/>
              <w:t>Focal Segmental Glomerulosclerosis (FSGS)</w:t>
            </w:r>
          </w:p>
        </w:tc>
        <w:tc>
          <w:tcPr>
            <w:tcW w:w="196" w:type="dxa"/>
            <w:tcBorders>
              <w:left w:val="single" w:sz="2" w:space="0" w:color="000000"/>
            </w:tcBorders>
            <w:tcMar>
              <w:left w:w="28" w:type="dxa"/>
            </w:tcMar>
            <w:vAlign w:val="bottom"/>
          </w:tcPr>
          <w:p>
            <w:pPr>
              <w:pStyle w:val="TableContents"/>
              <w:bidi w:val="0"/>
              <w:spacing w:before="0" w:after="283"/>
              <w:jc w:val="left"/>
              <w:rPr/>
            </w:pPr>
            <w:r>
              <w:rPr/>
              <w:t>  </w:t>
            </w:r>
          </w:p>
        </w:tc>
        <w:tc>
          <w:tcPr>
            <w:tcW w:w="2624" w:type="dxa"/>
            <w:tcBorders/>
          </w:tcPr>
          <w:p>
            <w:pPr>
              <w:pStyle w:val="TableContents"/>
              <w:bidi w:val="0"/>
              <w:spacing w:before="0" w:after="283"/>
              <w:jc w:val="left"/>
              <w:rPr/>
            </w:pPr>
            <w:r>
              <w:rPr/>
              <w:t>Praliciguat is a systemic sGC stimulator that is licensed to Akebia for the treatment of a rare kidney disease.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392" w:type="dxa"/>
            <w:tcBorders>
              <w:right w:val="single" w:sz="2" w:space="0" w:color="000000"/>
            </w:tcBorders>
            <w:tcMar>
              <w:right w:w="40" w:type="dxa"/>
            </w:tcMar>
          </w:tcPr>
          <w:p>
            <w:pPr>
              <w:pStyle w:val="TableContents"/>
              <w:bidi w:val="0"/>
              <w:spacing w:before="0" w:after="283"/>
              <w:jc w:val="left"/>
              <w:rPr/>
            </w:pPr>
            <w:r>
              <w:rPr/>
              <w:t>Out-licensed to Akebia in 2021 and renegotiated terms effective December 2024. In December 2025, Akebia announced that the first patient has been dosed in a Phase 2 clinical trial of praliciguat. In February 2026, we received a $1,000,000 milestone payment from Akebia tied to the commencement of the</w:t>
            </w:r>
          </w:p>
        </w:tc>
      </w:tr>
      <w:tr>
        <w:trPr>
          <w:trHeight w:val="120" w:hRule="atLeast"/>
        </w:trPr>
        <w:tc>
          <w:tcPr>
            <w:tcW w:w="19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6"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8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3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Olinciguat (peripheral)</w:t>
            </w:r>
          </w:p>
        </w:tc>
        <w:tc>
          <w:tcPr>
            <w:tcW w:w="19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40" w:type="dxa"/>
            <w:tcBorders>
              <w:bottom w:val="single" w:sz="2" w:space="0" w:color="000000"/>
            </w:tcBorders>
            <w:tcMar>
              <w:bottom w:w="28" w:type="dxa"/>
            </w:tcMar>
          </w:tcPr>
          <w:p>
            <w:pPr>
              <w:pStyle w:val="TableContents"/>
              <w:bidi w:val="0"/>
              <w:spacing w:before="0" w:after="283"/>
              <w:jc w:val="left"/>
              <w:rPr/>
            </w:pPr>
            <w:r>
              <w:rPr/>
              <w:t>Cardiovascular diseases</w:t>
            </w:r>
          </w:p>
        </w:tc>
        <w:tc>
          <w:tcPr>
            <w:tcW w:w="19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624" w:type="dxa"/>
            <w:tcBorders>
              <w:bottom w:val="single" w:sz="2" w:space="0" w:color="000000"/>
            </w:tcBorders>
            <w:tcMar>
              <w:bottom w:w="28" w:type="dxa"/>
            </w:tcMar>
          </w:tcPr>
          <w:p>
            <w:pPr>
              <w:pStyle w:val="TableContents"/>
              <w:bidi w:val="0"/>
              <w:spacing w:before="0" w:after="283"/>
              <w:jc w:val="left"/>
              <w:rPr/>
            </w:pPr>
            <w:r>
              <w:rPr/>
              <w:t>Olinciguat is a vascular sGC stimulator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9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Cyclerion entered into an exclusive non-binding license option agreement in July 2024 but terminated it in 2025. Cyclerion is currently exploring potential license opportunities.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status of sGC stimulator assets that are either licensed or may be divested to other entities: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28310" cy="1010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8310" cy="10109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Akebia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a License Agreement with Akebia (the “Akebia License Agreement”) relating to the exclusive worldwide license to Akebia of our rights to the development, manufacture, medical affairs and commercialization of pharmaceutical products containing the pharmaceutical compound known as praliciguat and other related products and forms thereof enumerated in the Akebia License Agreement. Pursuant to the Akebia License Agreement, Akebia will be responsible for all future research, development, regulatory, and commercialization activities for the out-licensed praliciguat products. In 2021, Akebia paid a $3.0 million upfront payment to us upon signing of the Akebia License Agreement. </w:t>
      </w:r>
    </w:p>
    <w:p>
      <w:pPr>
        <w:pStyle w:val="TextBody"/>
        <w:bidi w:val="0"/>
        <w:spacing w:before="240" w:after="0"/>
        <w:jc w:val="left"/>
        <w:rPr>
          <w:rFonts w:ascii="Times New Roman" w:hAnsi="Times New Roman"/>
          <w:sz w:val="20"/>
        </w:rPr>
      </w:pPr>
      <w:r>
        <w:rPr>
          <w:rFonts w:ascii="Times New Roman" w:hAnsi="Times New Roman"/>
          <w:sz w:val="20"/>
        </w:rPr>
        <w:t>On December 13, 2024, we announced that Cyclerion and Akebia re-negotiated a mutually beneficial amendment to Akebia’s exclusive license agreement for praliciguat, a systemic sGC stimulator. Under this new license amendment, we will receive $1.75 million in amendment payments, of which $1.25 million was paid in December 2024 and an additional payment of $0.5 million is due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this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the Akebia License Agreement will expire on a product-by-product and country-by-country basis upon the expiration of the last royalty term, which ends upon the longest of (i) the expiration of the patents licensed under the Akebia License Agreement, (ii) the expiration of regulatory exclusivity for such product, and (iii) 10 years from first commercial sale of such product. Akebia may terminate the Akebia License Agreement in its entirety or only with respect to a particular licensed compound or product upon 180 days’ prior written notice to Cyclerion, subject to certain obligations to license back to Cyclerion licensed compounds and candidates and related assets. The parties also have customary termination rights, subject to a cure period, in the event of the other party’s material breach of the Akebia License Agreement or in the event of certain additional circumstances. </w:t>
      </w:r>
    </w:p>
    <w:p>
      <w:pPr>
        <w:pStyle w:val="TextBody"/>
        <w:bidi w:val="0"/>
        <w:spacing w:before="240" w:after="0"/>
        <w:jc w:val="left"/>
        <w:rPr>
          <w:rFonts w:ascii="Times New Roman" w:hAnsi="Times New Roman"/>
          <w:sz w:val="20"/>
        </w:rPr>
      </w:pPr>
      <w:r>
        <w:rPr>
          <w:rFonts w:ascii="Times New Roman" w:hAnsi="Times New Roman"/>
          <w:sz w:val="20"/>
        </w:rPr>
        <w:t>In January 2026, Akebia announced that the first patient was dosed in a Phase 2 clinical trial evaluating praliciguat for focal segmental glomerulosclerosis (FSGS), a rare kidney disease. The randomized, double-blind, placebo-controlled study is designed to evaluate the efficacy and safety of praliciguat, an oral soluble guanylate cyclase (sGC) stimulator, in approximately 60 adult patients.</w:t>
      </w:r>
    </w:p>
    <w:p>
      <w:pPr>
        <w:pStyle w:val="TextBody"/>
        <w:bidi w:val="0"/>
        <w:spacing w:before="240" w:after="0"/>
        <w:jc w:val="left"/>
        <w:rPr>
          <w:rFonts w:ascii="Times New Roman" w:hAnsi="Times New Roman"/>
          <w:sz w:val="20"/>
        </w:rPr>
      </w:pPr>
      <w:r>
        <w:rPr>
          <w:rFonts w:ascii="Times New Roman" w:hAnsi="Times New Roman"/>
          <w:sz w:val="20"/>
        </w:rPr>
        <w:t xml:space="preserve">Cyclerion is not responsible for the conduct of this study, and there can be no assurance regarding the timing, outcome, or potential commercialization of praliciguat.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Tisento Asset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11, 2023, we entered into an Asset Purchase Agreement (the “Asset Purchase Agreement”) with an investor group that included Peter Hecht (our former CEO), JW Celtics Investment Corp and JW Cycle Inc. which subsequently changed their names to Tisento Therapeutics Holdings Inc. (“Tisento Parent”) and Tisento Therapeutics Inc. (“Tisento”). Upon the closing in July 2023, following receipt of approval by the Cyclerion stockholders of the transactions contemplated by the Asset Purchase Agreement, we sold to Tisento certain assets (the “Transferred Assets”) and Tisento assumed certain liabilities relating thereto. In consideration for such sale and assumption, at the closing we received proceeds of $8.0 million as cash consideration, $2.4 million as reimbursement for certain operating expenses related to such assets for the period between signing and closing of the Asset Purchase Agreement, and shares of common stock of Tisento Parent comprising 10% of the then issued and outstanding equity securities of Tisento Parent immediately following such closing, subject to certain protections against future potential dilution.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Asset Purchase Agreement, we agreed not to compete with Tisento through July 2028 either alone or directly or indirectly with or through any affiliate or third party, initiate investigational new drug (“IND”)-enabling preclinical development, develop, commercially manufacture, commercialize, or otherwise exploit any compound or product that is (A) a CNS-penetrant sGC stimulator, (B) developed for the treatment of a program indication, and (C) reasonably expected to compete with any compound or product in a purchased program for the treatment of a program indication (any such compound or product, a “Cyclerion Competing Product”) anywhere in the world, or (ii) license, convey, grant, or otherwise transfer any rights to any third party to initiate IND-enabling preclinical development, develop, commercially manufacture, commercialize, or otherwise exploit a Cyclerion Competing Product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2025, Tisento Therapeutics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In June 2025, Tisento announced that it had received from the U.S, FDA “Fast Track Designation” for MELAS, lactic acidosis and certain Stroke-like Episodes. </w:t>
      </w:r>
    </w:p>
    <w:p>
      <w:pPr>
        <w:pStyle w:val="TextBody"/>
        <w:bidi w:val="0"/>
        <w:spacing w:before="240" w:after="0"/>
        <w:jc w:val="left"/>
        <w:rPr>
          <w:rFonts w:ascii="Times New Roman" w:hAnsi="Times New Roman"/>
          <w:sz w:val="20"/>
        </w:rPr>
      </w:pPr>
      <w:r>
        <w:rPr>
          <w:rFonts w:ascii="Times New Roman" w:hAnsi="Times New Roman"/>
          <w:sz w:val="20"/>
        </w:rPr>
        <w:t xml:space="preserve">PRIZM - a </w:t>
      </w:r>
      <w:r>
        <w:rPr>
          <w:rFonts w:ascii="Times New Roman" w:hAnsi="Times New Roman"/>
          <w:b/>
          <w:sz w:val="20"/>
        </w:rPr>
        <w:t>P</w:t>
      </w:r>
      <w:r>
        <w:rPr>
          <w:rFonts w:ascii="Times New Roman" w:hAnsi="Times New Roman"/>
          <w:sz w:val="20"/>
        </w:rPr>
        <w:t xml:space="preserve">hase 2b </w:t>
      </w:r>
      <w:r>
        <w:rPr>
          <w:rFonts w:ascii="Times New Roman" w:hAnsi="Times New Roman"/>
          <w:b/>
          <w:sz w:val="20"/>
        </w:rPr>
        <w:t>R</w:t>
      </w:r>
      <w:r>
        <w:rPr>
          <w:rFonts w:ascii="Times New Roman" w:hAnsi="Times New Roman"/>
          <w:sz w:val="20"/>
        </w:rPr>
        <w:t xml:space="preserve">andomized, Placebo-Controlled Trial </w:t>
      </w:r>
      <w:r>
        <w:rPr>
          <w:rFonts w:ascii="Times New Roman" w:hAnsi="Times New Roman"/>
          <w:b/>
          <w:sz w:val="20"/>
        </w:rPr>
        <w:t>I</w:t>
      </w:r>
      <w:r>
        <w:rPr>
          <w:rFonts w:ascii="Times New Roman" w:hAnsi="Times New Roman"/>
          <w:sz w:val="20"/>
        </w:rPr>
        <w:t xml:space="preserve">nvestigating </w:t>
      </w:r>
      <w:r>
        <w:rPr>
          <w:rFonts w:ascii="Times New Roman" w:hAnsi="Times New Roman"/>
          <w:b/>
          <w:sz w:val="20"/>
        </w:rPr>
        <w:t>Z</w:t>
      </w:r>
      <w:r>
        <w:rPr>
          <w:rFonts w:ascii="Times New Roman" w:hAnsi="Times New Roman"/>
          <w:sz w:val="20"/>
        </w:rPr>
        <w:t xml:space="preserve">agociguat in </w:t>
      </w:r>
      <w:r>
        <w:rPr>
          <w:rFonts w:ascii="Times New Roman" w:hAnsi="Times New Roman"/>
          <w:b/>
          <w:sz w:val="20"/>
        </w:rPr>
        <w:t>M</w:t>
      </w:r>
      <w:r>
        <w:rPr>
          <w:rFonts w:ascii="Times New Roman" w:hAnsi="Times New Roman"/>
          <w:sz w:val="20"/>
        </w:rPr>
        <w:t xml:space="preserve">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that will enroll approximately 44 participants at mitochondrial disease centers of excellence in the U.S., Italy, Germany, United Kingdom, Australia, and Canada. See ClinicalTrials.gov (NCT06402123)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Tisento announced completion of enrollment in the global Phase 2b PRIZM clinical trial evaluating oral zagociguat for the treatment of mitochondrial encephalomyopathy, lactic acidosis, and stroke-like episodes (MELAS). The study enrolled approximately 43 participants, and Tisento has indicated that top-line results are expected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does not control the conduct of this study and cannot provide assurance regarding its outcome or timing. </w:t>
      </w:r>
    </w:p>
    <w:p>
      <w:pPr>
        <w:pStyle w:val="TextBody"/>
        <w:bidi w:val="0"/>
        <w:spacing w:before="360" w:after="0"/>
        <w:jc w:val="left"/>
        <w:rPr>
          <w:rFonts w:ascii="Times New Roman" w:hAnsi="Times New Roman"/>
          <w:b/>
          <w:sz w:val="20"/>
        </w:rPr>
      </w:pPr>
      <w:r>
        <w:rPr>
          <w:rFonts w:ascii="Times New Roman" w:hAnsi="Times New Roman"/>
          <w:b/>
          <w:sz w:val="20"/>
        </w:rPr>
        <w:t xml:space="preserve">Olinciguat </w:t>
      </w:r>
    </w:p>
    <w:p>
      <w:pPr>
        <w:pStyle w:val="TextBody"/>
        <w:bidi w:val="0"/>
        <w:spacing w:before="12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the Optionee was terminating the Option Agreement. We are currently exploring potential strategic opportunities for olinciguat.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protect the intellectual property and proprietary technology that we believe is important to our business, including by pursuing and maintaining U.S. and foreign patents that cover our product candidates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 We expect to also rely on licenses for patented intellectual property owned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related to our sGC programs.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t>
      </w:r>
    </w:p>
    <w:p>
      <w:pPr>
        <w:pStyle w:val="TextBody"/>
        <w:bidi w:val="0"/>
        <w:spacing w:before="240" w:after="0"/>
        <w:jc w:val="left"/>
        <w:rPr>
          <w:rFonts w:ascii="Times New Roman" w:hAnsi="Times New Roman"/>
          <w:sz w:val="20"/>
        </w:rPr>
      </w:pPr>
      <w:r>
        <w:rPr>
          <w:rFonts w:ascii="Times New Roman" w:hAnsi="Times New Roman"/>
          <w:sz w:val="20"/>
        </w:rPr>
        <w:t>For our TRD strategy, we have licensed a patent application from MIT. We also hold an option to license certain technology owned by Medsteer, a leading technology provider of closed loop anesthesia delivery systems, under the Collaboration Agreement. The patent application licensed from MIT has not yet been granted. If we continue to progress the development of our product candidates, we intend to apply for certain U.S. and foreign patents related to our TRD product strategy.</w:t>
      </w:r>
    </w:p>
    <w:p>
      <w:pPr>
        <w:pStyle w:val="TextBody"/>
        <w:bidi w:val="0"/>
        <w:spacing w:before="240" w:after="0"/>
        <w:jc w:val="left"/>
        <w:rPr>
          <w:rFonts w:ascii="Times New Roman" w:hAnsi="Times New Roman"/>
          <w:sz w:val="20"/>
        </w:rPr>
      </w:pPr>
      <w:r>
        <w:rPr>
          <w:rFonts w:ascii="Times New Roman" w:hAnsi="Times New Roman"/>
          <w:sz w:val="20"/>
        </w:rPr>
        <w:t xml:space="preserve">The technology underlying our sGC patents and pending patent applications has been developed by us and was not acquired from any in-licensing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intellectual property portfolios for our most advanced product candidates in the sGC space (praliciguat and olinciguat)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Praliciguat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praliciguat patent portfolio includes 14 U.S. issued patents, 9 pending U.S. patent applications, and numerous patents and pending patent applications in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9,481,689, which will expire in 2034, is directed to praliciguat and pharmaceutical compositions thereof. The term of this U.S. patent may be eligible for patent term extension as described below. Three other U.S. patents, US 8,748,442, US 9,139,564, and 10,189,809, expire in 2031, and provide generic coverage of praliciguat and intermediates used in the preparation of praliciguat,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compounds related to praliciguat, respectively. A fifth U.S. patent, US 10,183,021 will expire in 2034 and is directed to the treatment of resistant hypertension with praliciguat or combinations of praliciguat and known anti-hypertensives. A sixth U.S. patent, US 10,639,308 will expire in 2034 and is directed to the treatment of diabetic nephropathy with praliciguat or combinations of praliciguat with other agents. The seventh U.S. patent, US 10,927,136 covers phosphorus prodrugs of praliciguat and will expire in 2037. The eighth U.S. Patent, US 11,389,449, is directed to the treatment of metabolic syndrome with praliciguat and will expire in 2038. The ninth U.S. Patent, US 11,357,777, is directed to the treatment of a severe form of liver disease named nonalcoholic steatohepatitis (NASH) with praliciguat and other compounds and will expire in 2039. The tenth to fourteenth U.S. Patents, US 11,319,308 (expiring in 2039), US 11,773,089 (expiring in 2037), US 11,274,096 (expiring in 2039), US 11,708,361 (expiring in 2039) and US 12,275,724 (expiring in 2039) are directed to the syntheses of praliciguat or of intermediates useful in the manufacture of praliciguat.</w:t>
      </w:r>
    </w:p>
    <w:p>
      <w:pPr>
        <w:pStyle w:val="TextBody"/>
        <w:bidi w:val="0"/>
        <w:spacing w:before="240" w:after="0"/>
        <w:jc w:val="left"/>
        <w:rPr>
          <w:rFonts w:ascii="Times New Roman" w:hAnsi="Times New Roman"/>
          <w:sz w:val="20"/>
        </w:rPr>
      </w:pPr>
      <w:r>
        <w:rPr>
          <w:rFonts w:ascii="Times New Roman" w:hAnsi="Times New Roman"/>
          <w:sz w:val="20"/>
        </w:rPr>
        <w:t xml:space="preserve">Two pending U.S. patent applications that, if issued, will expire in 2031 and 2034, respectively, provide generic coverage for praliciguat composition of matter. Two additional U.S. patent applications that, if issued, will expire in 2037 and 2039, respectively, provide coverage for methods of large-scale preparation of praliciguat. We also have a pending U.S. application directed to a praliciguat formulation, that, if issued, will expire in 2036. Another pending U.S. application is directed to phosphorous prodrugs of praliciguat and, if issued, will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Another of the U.S. pending applications is directed to methods of treating diabetic nephropathy with praliciguat, and if issued, will expire in 2040 or later. Another of the U.S. pending applications is directed to the use of certain sGC stimulators, including praliciguat for the treatment of HFpEF in post-menopausal women and, if issued, will expire in 2042.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eight granted European patents expiring between 2031 and 2039. Each of these patents is validated in multiple countries or registered in multiple countries as a European Unitary Patent. We hold nine granted Japanese patents expiring between 2031 and 2040. We also have numerous patent applications pending in foreign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Olinciguat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olinciguat patent portfolio includes 16 U.S. issued patents, five pending U.S. patent applications and numerous patents and pending applications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9,586,937, which will expire in 2034, is directed to olinciguat and pharmaceutical compositions thereof. The term of this U.S. patent may be eligible for patent term extension as described below. Three other U.S. patents, US 8,748,442, US 9,139,564, and US 10,189,809, expire in 2031, and provide generic coverage of olinciguat, intermediates used in the preparation of olinciguat, and compounds related to olinciguat, respectively. The fifth U.S. patent, US 10,517,874, which will expire in 2034 is directed to the treatment of SCD using olinciguat alone or in combinations with other therapeutic agents. The sixth and seventh U.S. issued patents, US 10,889,577, and US 11,572,358, will expire in 2037 and are directed to polymorphs of olinciguat. The eighth issued patent, US 11,207,323, will expire in 2034 and provides coverage for stereoisomers of olinciguat. Seven more U.S. issued patents, US 11,319,308 (expiring in 2039), US 11,773,089 (expiring in 2037), US 11,274,096 (expiring in 2039), US 11,834,444 (expiring in 2038), US 12,030,874 (expiring in 2039), US 12,247,025 (expiring in 2037 ), and US 12,275, 724 (expiring in 2039) are directed to the chiral syntheses of olinciguat or the syntheses of intermediates useful in the manufacture of olinciguat. The last U.S. issued patent, US 11,357,777, is directed to the treatment of NASH with olinciguat and other compounds and will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One pending U.S. patent application, if issued, will expire in 2037 and provides additional coverage for polymorphs of olinciguat. Two pending U.S. patent applications, if issued, will expire in 2031 and 2034, respectively, and provides generic coverage for olinciguat. One pending U.S. patent application is directed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processes and synthetic intermediates for preparing olinciguat and, will expire in 2037. A fifth pending U.S. patent application is directed to the treatment of heart failure with preserved ejection fraction (HFpEF) in post-menopausal women with olinciguat and other sGC stimulators. If issued, the corresponding patent will expire in 2042.</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nine granted European patents expiring between 2031 and 2039 each of them validated in multiple countries or registered in multiple countries as Unitary European Patents; eight granted Japanese patents expiring between 2031 and 2039; seven granted Chinese patents expiring between 2031 and 2039; and a large number of issued patents in other foreign jurisdictions, expiring between 2031 and 2039. We also have numerous pending patent applications in foreign jurisdictions. Some of these patents may be eligible for patent term extension or the foreign jurisdiction equivalent, depending on the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w:t>
      </w:r>
    </w:p>
    <w:p>
      <w:pPr>
        <w:pStyle w:val="TextBody"/>
        <w:bidi w:val="0"/>
        <w:spacing w:before="240" w:after="0"/>
        <w:jc w:val="left"/>
        <w:rPr>
          <w:rFonts w:ascii="Times New Roman" w:hAnsi="Times New Roman"/>
          <w:sz w:val="20"/>
        </w:rPr>
      </w:pPr>
      <w:r>
        <w:rPr>
          <w:rFonts w:ascii="Times New Roman" w:hAnsi="Times New Roman"/>
          <w:sz w:val="20"/>
        </w:rPr>
        <w:t xml:space="preserve">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and China, a patent’s term may be lengthened by patent term adjustment, which compensates a patentee for administrative delays by the respective patent offices, in examining and granting a patent, or, in the US, the term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that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 of a U.S. patent that covers an US Food and Drug Administration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Japan, and China, have similar patent term extension provisions, which allow for extension of the term of a patent that covers a drug approved by the applicable foreign regulatory agency.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Secrets and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United States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debarment, or civil or criminal investigations and penalties brought by the FDA, the Department of Justice, State Attorneys General, or other governmental entities. </w:t>
      </w:r>
    </w:p>
    <w:p>
      <w:pPr>
        <w:pStyle w:val="TextBody"/>
        <w:bidi w:val="0"/>
        <w:spacing w:before="240" w:after="0"/>
        <w:jc w:val="left"/>
        <w:rPr>
          <w:rFonts w:ascii="Times New Roman" w:hAnsi="Times New Roman"/>
          <w:sz w:val="20"/>
        </w:rPr>
      </w:pPr>
      <w:r>
        <w:rPr>
          <w:rFonts w:ascii="Times New Roman" w:hAnsi="Times New Roman"/>
          <w:sz w:val="20"/>
        </w:rPr>
        <w:t xml:space="preserve">The process required by the FDA before a drug may be approved and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extensive nonclinical laboratory and animal studies conducted in accordance with applicable regulations, including GLP regulations and applicable requirements for the humane use of laboratory animals;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commence;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to proceed with initiating the clinical trial at each corresponding investigational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applicable IND regulations, GCPs and other clinical-trial related regulations to establish the safety and efficacy of the product for each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an 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such as pre-approval inspection(s) of the manufacturing facility or facilities at which the product, or components thereof, are made to assess compliance with current GMP;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NDA;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acceptance, review and approval of the NDA, which may include an Advisory Committee review.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development and approval process requires substantial time, effort and financial resources and the receipt and timing of any approval is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Nonclinical and Clinical Trials in Support of an NDA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drug product candidate in humans, the product candidate must undergo rigorous nonclinical testing. Nonclinical studies include laboratory evaluations of the product candidate, as well as in vitro and animal studies to assess the potential safety and efficacy of the product candidate. The conduct of nonclinical studies that determine the product safety information for administration to humans must comply with federal regulations and requirements, including GLP regulations. The sponsor must submit the results of the nonclinical studies, together with manufacturing information, analytical data, any available clinical data or literature and a proposed clinical study protocol, to the FDA as part of an IND, which must become effective before clinical trials in a given indication may be commenced. The IND will become effective automatically 30 days after receipt by the FDA, unless the FDA raises concerns or questions about the content of the IND or the conduct of the proposed trial(s) as outlined in the IND prior to that time. In such a case, the IND sponsor must resolve any outstanding concerns with the FDA before the clinical trial(s) can proceed.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which must be provided to each clinical trial participant or his or her legal representative, and must monitor the clinical trial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are typically conducted in three sequential phases prior to approval, which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Phase 1 clinical trials generally involve a small number of healthy participants or disease-affected participants who are initially exposed to a single dose and then multiple doses of the product candidate. The primary purpose of these clinical trials is to assess the metabolism, pharmacokinetics, pharmacologic action, side effect tolerability and safety of the drug.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Phase 2 clinical trials usually involve studies in a limited population of participants with a disease or disorder to evaluate the efficacy of the product candidate for specific indications, determine dosage tolerance and optimal dosage, and identify possible adverse effects and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Phase 3 clinical trials generally involve a larger number of participants at multiple sites and are designed to provide the data necessary to demonstrate the effectiveness of the product for its intended use, its safety in use, to establish the overall benefit/risk profile of the product and to provide an adequate basis for product approval by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Phase 4.</w:t>
            </w:r>
            <w:r>
              <w:rPr>
                <w:rFonts w:ascii="Times New Roman" w:hAnsi="Times New Roman"/>
                <w:sz w:val="20"/>
              </w:rPr>
              <w:t xml:space="preserve"> Post-approval trials, sometimes referred to as Phase 4 clinical trials, may be required to be conducted after approval to gain additional experience from the treatment of participants in the intended therapeutic indication and to document a clinical benefit in the case of drugs approved under accelerated approval regulations, or when otherwise requested by the FDA. Failure to conduct the Phase 4 clinical trials per the plan required by the FDA could result in enforcement action or withdrawal of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new information and changes such as the results of clinical trials, new nonclinical studies, new product quality data, or changes to manufacturing controls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requirements related to registration and reporting of certain clinical trials and completed clinical trial results to public registries.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Submission and Review of an NDA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the required nonclinical and clinical testing, the results of nonclinical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FDA has substantial discretion in the approval process and may refuse to accept any application or decide that the data is insufficient for approval and may require additional nonclinical or clinical studies, or other information (e.g., product quality data or manufacturing controls)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During the approval process, the FDA will also prepare an integrated benefit-risk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nonclinical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component parts for the same indication for seven years from the date of such approval, except in limited circumstances. Competitors, however, may receive approval of different active component parts for the same indication or obtain approval for the same active component parts for a different indication. If one of our product candidates designated as an orphan drug receives marketing approval for an indication broader than that which is designated, it may not be entitled to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Review and Approval Application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that are intended to expedite development and approval of drugs intended for the treatment of serious or life-threatening diseases or conditions and that demonstrate the potential to address unmet medical needs. </w:t>
      </w:r>
    </w:p>
    <w:p>
      <w:pPr>
        <w:pStyle w:val="TextBody"/>
        <w:bidi w:val="0"/>
        <w:spacing w:before="240" w:after="0"/>
        <w:jc w:val="left"/>
        <w:rPr>
          <w:rFonts w:ascii="Times New Roman" w:hAnsi="Times New Roman"/>
          <w:sz w:val="20"/>
        </w:rPr>
      </w:pPr>
      <w:r>
        <w:rPr>
          <w:rFonts w:ascii="Times New Roman" w:hAnsi="Times New Roman"/>
          <w:sz w:val="20"/>
        </w:rPr>
        <w:t>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w:t>
      </w:r>
    </w:p>
    <w:p>
      <w:pPr>
        <w:pStyle w:val="TextBody"/>
        <w:bidi w:val="0"/>
        <w:spacing w:before="240" w:after="0"/>
        <w:jc w:val="left"/>
        <w:rPr>
          <w:rFonts w:ascii="Times New Roman" w:hAnsi="Times New Roman"/>
          <w:sz w:val="20"/>
        </w:rPr>
      </w:pPr>
      <w:r>
        <w:rPr>
          <w:rFonts w:ascii="Times New Roman" w:hAnsi="Times New Roman"/>
          <w:sz w:val="20"/>
        </w:rPr>
        <w:t xml:space="preserve">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 </w:t>
      </w:r>
    </w:p>
    <w:p>
      <w:pPr>
        <w:pStyle w:val="TextBody"/>
        <w:bidi w:val="0"/>
        <w:spacing w:before="240" w:after="0"/>
        <w:jc w:val="left"/>
        <w:rPr>
          <w:rFonts w:ascii="Times New Roman" w:hAnsi="Times New Roman"/>
          <w:sz w:val="20"/>
        </w:rPr>
      </w:pPr>
      <w:r>
        <w:rPr>
          <w:rFonts w:ascii="Times New Roman" w:hAnsi="Times New Roman"/>
          <w:sz w:val="20"/>
        </w:rPr>
        <w:t xml:space="preserve">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 </w:t>
      </w:r>
    </w:p>
    <w:p>
      <w:pPr>
        <w:pStyle w:val="TextBody"/>
        <w:bidi w:val="0"/>
        <w:spacing w:before="240" w:after="0"/>
        <w:jc w:val="left"/>
        <w:rPr>
          <w:rFonts w:ascii="Times New Roman" w:hAnsi="Times New Roman"/>
          <w:sz w:val="20"/>
        </w:rPr>
      </w:pPr>
      <w:r>
        <w:rPr>
          <w:rFonts w:ascii="Times New Roman" w:hAnsi="Times New Roman"/>
          <w:sz w:val="20"/>
        </w:rPr>
        <w:t xml:space="preserve">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Non-Patent Exclusivity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Exclusivity </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any existing regulatory exclusivity for both drugs and biologics, and also unexpired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entities involved in the manufacture and distribution of approved drugs are required to register their establishments with the FDA and state agencies and are subject to periodic unannounced inspections by the FDA 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suspension of the approval,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enforcement-related letters of clinical 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 </w:t>
      </w:r>
    </w:p>
    <w:p>
      <w:pPr>
        <w:pStyle w:val="TextBody"/>
        <w:bidi w:val="0"/>
        <w:spacing w:before="360" w:after="0"/>
        <w:jc w:val="left"/>
        <w:rPr>
          <w:rFonts w:ascii="Times New Roman" w:hAnsi="Times New Roman"/>
          <w:b/>
          <w:i/>
          <w:sz w:val="20"/>
        </w:rPr>
      </w:pPr>
      <w:r>
        <w:rPr>
          <w:rFonts w:ascii="Times New Roman" w:hAnsi="Times New Roman"/>
          <w:b/>
          <w:i/>
          <w:sz w:val="20"/>
        </w:rPr>
        <w:t>Other Regulatory Requirements</w:t>
      </w:r>
    </w:p>
    <w:p>
      <w:pPr>
        <w:pStyle w:val="TextBody"/>
        <w:bidi w:val="0"/>
        <w:spacing w:before="120" w:after="0"/>
        <w:jc w:val="left"/>
        <w:rPr>
          <w:rFonts w:ascii="Times New Roman" w:hAnsi="Times New Roman"/>
          <w:sz w:val="20"/>
        </w:rPr>
      </w:pPr>
      <w:r>
        <w:rPr>
          <w:rFonts w:ascii="Times New Roman" w:hAnsi="Times New Roman"/>
          <w:sz w:val="20"/>
        </w:rPr>
        <w:t>Outside the U.S., our abilities to develop and market a product, if we continue to progress the development of our product candidates,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Union, companies developing a new medicinal product must agree to a Pediatric Investigation Plan, or PIP, with the European Medicines Agency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six-month extension of the protection under a supplementary protection certificate or, in the case of orphan medicinal products, the product is eligible for a two-year extension of the orphan market exclusivity. This pediatric reward is subject to specific conditions and is not automatically available when data in compliance with the PIP are developed and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plans for a potential new drug candidate for TRD under consideration may be applicable for the treatment of pediatric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Despite our belief that, if we continue to progress the development of our product candidates, the potential product that we intend to develop and commercialize in TRD will be differentiated, we will face competition from many different sources. Potential competition includes major/specialty pharmaceutical, biopharmaceutical, device and biotechnology companies, academic institutions, governmental agencies and medical research organizations. Additionally, we would expect that, if approved, our product will compete with the standard of care and any new therapies that may become available in the future. Several biopharmaceutical companies have therapies in clinical development for TRD and we are aware that many more are investigating treatments for TRD (e.g., psychedelic-related therapies are currently in development for TRD but have not yet been approved). </w:t>
      </w:r>
    </w:p>
    <w:p>
      <w:pPr>
        <w:pStyle w:val="TextBody"/>
        <w:bidi w:val="0"/>
        <w:spacing w:before="240" w:after="0"/>
        <w:jc w:val="left"/>
        <w:rPr>
          <w:rFonts w:ascii="Times New Roman" w:hAnsi="Times New Roman"/>
          <w:sz w:val="20"/>
        </w:rPr>
      </w:pPr>
      <w:r>
        <w:rPr>
          <w:rFonts w:ascii="Times New Roman" w:hAnsi="Times New Roman"/>
          <w:sz w:val="20"/>
        </w:rPr>
        <w:t xml:space="preserve">TRD is a disease with high unmet need and is associated with multiple serious public health implications. The FDA and the EMA have adopted the most used definition of TRD (i.e., inadequate response to a minimum of two antidepressants despite adequacy of the treatment trial and adherence to treatment). A number of published sources estimate that at least 30% of persons with depression meet this definition. There are many treatment paradigms that have been employed for the management of TRD. In general, these treatment paradigms /therapies can be bucketed into categories of: pharmacotherapies, somatic therapies and psychotherapeutic approaches. It is well known that the majority of these treatments have serious limitations despite their benefit. Many companies have developed or are seeking to develop new treatments for TRD. Leading companies in TRD market include Janssen (Johnson &amp; Johnson) with Spravato, alongside major pharmaceutical firms Eli Lilly, AbbVie, Pfizer, and Novartis. Specialized biotechs like Compass Pathways and Axsome Therapeutics are actively developing novel therapies, including psychedelic compounds and rapid-acting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Pharmacotherapies</w:t>
            </w:r>
            <w:r>
              <w:rPr>
                <w:rFonts w:ascii="Times New Roman" w:hAnsi="Times New Roman"/>
                <w:sz w:val="20"/>
              </w:rPr>
              <w:t xml:space="preserve">: antidepressants and antipsychotics indicated for use in major depressive disorder are frequently prescribed, combined or augmented with a second agent to treat TRD. Additionally, mood stabilizers (e.g. lithium) are utilized as treatments, alone or in combination for TRD. Only two pharmacotherapies are approved for TRD in the U.S.: Spravato (esketamine), marketed by Janssen (a subsidiary of Johnson &amp; Johnson) and Symbyax (olanzapine/fluoxetine hydrochloride capsules), developed by Eli Lilly and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Somatic Therapies</w:t>
            </w:r>
            <w:r>
              <w:rPr>
                <w:rFonts w:ascii="Times New Roman" w:hAnsi="Times New Roman"/>
                <w:sz w:val="20"/>
              </w:rPr>
              <w:t xml:space="preserve">: multiple somatic therapies are used for the management of TRD such as electroconvulsive therapy (ECT), repetitive transcranial magnetic stimulation (rTMS), vagus nerve stimulation (VNS), and deep brain stimulation (DBS).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Psychotherapeutic Approaches</w:t>
            </w:r>
            <w:r>
              <w:rPr>
                <w:rFonts w:ascii="Times New Roman" w:hAnsi="Times New Roman"/>
                <w:sz w:val="20"/>
              </w:rPr>
              <w:t xml:space="preserve">: manual-based psychotherapies are not proven to be efficacious as a standalone intervention in TRD, but their efficacy in combination with antidepressants has been noted.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and commercialization of products that 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Many of our competitors may have greater financial resources and broader expertise in research and development, manufacturing, nonclinical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could also compete with us in establishing clinical trial sites and participant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Competition can also impact Tisento (in which we hold an equity interest), as well as companies which we have out-licensed or seek to out-license our product candidates. To date, the product candidates we have sold to Tisento or out-licensed to Akebia are either in early stage clinical or pre-clinical stages or not yet received any approval allowing for the commercial sale of these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If we continue to progress the development of our product candidates, we intend to depend on third-party contract manufacturing organizations, or CMOs, for all our requirements of raw materials, drug substance and drug products for clinical trials and nonclinical research. If we continue to progress the development of our product candidates, we intend to continue to rely on CMOs for the supply of our retained assets for all stages of clinical development and commercialization, as well as for the supply of any other product candidates that we may identify. We require all our CMOs to conduct manufacturing activities in compliance with current GMP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a small, innovative company, if in the future we elect to start growing our internal operations, our success will depend on attracting, retaining and motivating highly skilled and experienced scientific, medical and other personnel. We plan to provide compensation and benefits programs which may include competitive salaries, potential annual discretionary bonuses, stock awards, a 401(k) plan with employer match, healthcare and insurance benefits, health savings and flexible spending accounts, unlimited vacation time, among other benefits. Our employees will be further guided by our code of conduct and our cultural values of seeking to serve patients, acting with integrity, empowering people and innovating for solutions.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Profile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one employee and several consultants, including our Chief Financial Officer. We may in the future seek to expand our employee base, hire additional consultants and also outsource certain functions to other firms.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Commonwealth of Massachusetts on September 6, 2018. Our principal executive offices are located at 245 First Street, Riverview II, 18th Floor, Cambridge, MA 02142. Our telephone number is (857) 327-8778. Our common stock is listed on the Nasdaq Capital Market under the symbol “CYCN.”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internet website address is www.cyclerion.com. In addition to the information contained in this proxy statement/prospectus supplement, information about us can be found on our website. Our website and information included in or linked to our website are not part of this proxy statement/prospectus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11069_29"/>
      <w:bookmarkEnd w:id="31"/>
      <w:r>
        <w:rPr>
          <w:rFonts w:ascii="Times New Roman" w:hAnsi="Times New Roman"/>
          <w:b/>
          <w:sz w:val="20"/>
        </w:rPr>
        <w:t xml:space="preserve">KORSANA’S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Korsana 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with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Korsana believes may also help reduce or avoid the treatment-related complications known as ARIA associated with the two approved disease-modifying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between year-end 2027 and the first quarter of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performs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which includes the THETA technology.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become a leading biopharmaceutical company addressing the needs of patients suffering from neurodegenerative diseases. Korsana’s strategy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Obtain clinical proof-of-concept data with KRSA-028 in a Phase 1/2 trial. </w:t>
            </w:r>
            <w:r>
              <w:rPr>
                <w:rFonts w:ascii="Times New Roman" w:hAnsi="Times New Roman"/>
                <w:sz w:val="20"/>
              </w:rPr>
              <w:t>KRSA-028 was designed to build on the mechanisms of pioneering anti-A</w:t>
            </w:r>
            <w:r>
              <w:rPr>
                <w:rFonts w:ascii="SYMBOL" w:hAnsi="SYMBOL"/>
                <w:sz w:val="20"/>
              </w:rPr>
              <w:t>b</w:t>
            </w:r>
            <w:r>
              <w:rPr>
                <w:rFonts w:ascii="Times New Roman" w:hAnsi="Times New Roman"/>
                <w:sz w:val="20"/>
              </w:rPr>
              <w:t xml:space="preserve"> therapeutics and the clinical and regulatory precedents they have established. Korsana believes that it can efficiently obtain clinical proof-of-concept data demonstrating the potential of KRSA-028 to provide meaningful benefits in AD patients in a Phase 1/2 trial, a combined single ascending dose (“SAD”) and multiple ascending dose (“MAD”) trial in healthy participants and AD participants respectively. After Korsana completes GLP toxicity studies, it anticipates submitting a CTN in Australia or a CTA in New Zealand by the end of 2026 to support the SAD portion of the trial in healthy participants and an IND in the United States in the first quarter of 2027 to support the MAD portion of the trial in AD patients, with interim results in AD patients becoming available between year-end 2027 and the first quarter of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Expand its portfolio of product candidates.</w:t>
            </w:r>
            <w:r>
              <w:rPr>
                <w:rFonts w:ascii="Times New Roman" w:hAnsi="Times New Roman"/>
                <w:sz w:val="20"/>
              </w:rPr>
              <w:t xml:space="preserve"> The THETA platform technology has potential advantages over other technologies designed to shuttle therapeutics to the brain. Korsana intends to expand its portfolio by advancing additional product candidates that incorporate this technology with the potential to transform the treatment of neurodegenerative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the value of KRSA-028 by exploring its potential in treating presymptomatic AD.</w:t>
            </w:r>
            <w:r>
              <w:rPr>
                <w:rFonts w:ascii="Times New Roman" w:hAnsi="Times New Roman"/>
                <w:sz w:val="20"/>
              </w:rPr>
              <w:t xml:space="preserve"> Data generated with other anti-A</w:t>
            </w:r>
            <w:r>
              <w:rPr>
                <w:rFonts w:ascii="SYMBOL" w:hAnsi="SYMBOL"/>
                <w:sz w:val="20"/>
              </w:rPr>
              <w:t>b</w:t>
            </w:r>
            <w:r>
              <w:rPr>
                <w:rFonts w:ascii="Times New Roman" w:hAnsi="Times New Roman"/>
                <w:sz w:val="20"/>
              </w:rPr>
              <w:t xml:space="preserve"> therapeutics suggests that their ability to slow disease progression is more pronounced when administered early in the course of the disease. Ongoing third-party Phase 3 trials aim to confirm these findings. Korsana believes that the properties of KRSA-028, including dosing convenience and specific modifications designed to reduce the likelihood of adverse events seen with other products, position it as an attractive candidate for early-stage and potentially presymptomatic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Build a preeminent biotechnology company initially focused on neurodegenerative diseases. </w:t>
            </w:r>
            <w:r>
              <w:rPr>
                <w:rFonts w:ascii="Times New Roman" w:hAnsi="Times New Roman"/>
                <w:sz w:val="20"/>
              </w:rPr>
              <w:t xml:space="preserve">Korsana is assembling a team of experts dedicated to bringing life-changing therapies to patients suffering from neurodegenerative diseases. Korsana plans to apply this expertise to support the development of KRSA-028 and other THETA product candidates as well as to identify product candidates that address other unmet needs in this field.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Growing Unmet Need in Treating Neurodegenerative Diseases </w:t>
      </w:r>
    </w:p>
    <w:p>
      <w:pPr>
        <w:pStyle w:val="TextBody"/>
        <w:bidi w:val="0"/>
        <w:spacing w:before="120" w:after="0"/>
        <w:jc w:val="left"/>
        <w:rPr>
          <w:rFonts w:ascii="Times New Roman" w:hAnsi="Times New Roman"/>
          <w:sz w:val="20"/>
        </w:rPr>
      </w:pPr>
      <w:r>
        <w:rPr>
          <w:rFonts w:ascii="Times New Roman" w:hAnsi="Times New Roman"/>
          <w:sz w:val="20"/>
        </w:rPr>
        <w:t xml:space="preserve">Neurodegenerative diseases are progressive conditions in which nerve cells lose their function and eventually die. Because these neurons are rarely replaced, neurodegeneration is generally considered to be irreversible. Although genetics can increase the risk of developing a neurodegenerative disease, in most instances the exact cause is not known. Age is a common risk factor for diseases such as AD; Parkinson’s disease (“PD”); amyotrophic lateral sclerosis (“ALS”); frontotemporal lobar degeneration (“FTLD”); Huntington’s disease (“HD”); and others.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98795"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8795" cy="3048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 The prevalence of a number of neurodegenerative diseases increases with 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world’s population is undergoing a demographic shift as the proportion of older adults increases. From 2020 to 2050, the global population aged 60 years and over is projected to increase from one billion to 2.1 billion. Increases in life expectancy mean these adults are also living longer, with the number of people aged 80 and over expected to triple to 426 million. These trends suggest that the prevalence of neurodegenerative diseases and their impact on society will continue to grow. </w:t>
      </w:r>
    </w:p>
    <w:p>
      <w:pPr>
        <w:pStyle w:val="TextBody"/>
        <w:bidi w:val="0"/>
        <w:spacing w:before="240" w:after="0"/>
        <w:jc w:val="left"/>
        <w:rPr>
          <w:rFonts w:ascii="Times New Roman" w:hAnsi="Times New Roman"/>
          <w:sz w:val="20"/>
        </w:rPr>
      </w:pPr>
      <w:r>
        <w:rPr>
          <w:rFonts w:ascii="Times New Roman" w:hAnsi="Times New Roman"/>
          <w:sz w:val="20"/>
        </w:rPr>
        <w:t xml:space="preserve">Society bears a heavy burden from the increasing cost of neurodegenerative disease care. For example, between 2015 and 2050, the global costs of caring for patients with dementia alone are expected to increase nearly tenfold to $9.12 trillion. </w:t>
      </w:r>
    </w:p>
    <w:p>
      <w:pPr>
        <w:pStyle w:val="TextBody"/>
        <w:bidi w:val="0"/>
        <w:spacing w:before="240" w:after="0"/>
        <w:jc w:val="left"/>
        <w:rPr>
          <w:rFonts w:ascii="Times New Roman" w:hAnsi="Times New Roman"/>
          <w:sz w:val="20"/>
        </w:rPr>
      </w:pPr>
      <w:r>
        <w:rPr>
          <w:rFonts w:ascii="Times New Roman" w:hAnsi="Times New Roman"/>
          <w:sz w:val="20"/>
        </w:rPr>
        <w:t xml:space="preserve">Recent technological advancements in diagnostics and in the ability to deliver therapeutics to the central nervous system (“CNS”), have enabled the discovery and approval of some of the first therapeutics that have meaningful impacts on slowing the rate of progression of AD, the most prevalent of neurodegenerative diseases. Korsana believes that these findings provide an opening to develop therapies with improved efficacy and safety for AD while providing a template that can be applied to the discovery of therapeutics for other neurodegenerative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that targets 3pE-A</w:t>
      </w:r>
      <w:r>
        <w:rPr>
          <w:rFonts w:ascii="SYMBOL" w:hAnsi="SYMBOL"/>
          <w:sz w:val="20"/>
        </w:rPr>
        <w:t>b</w:t>
      </w:r>
      <w:r>
        <w:rPr>
          <w:rFonts w:ascii="Times New Roman" w:hAnsi="Times New Roman"/>
          <w:sz w:val="20"/>
        </w:rPr>
        <w:t>, a modified form of A</w:t>
      </w:r>
      <w:r>
        <w:rPr>
          <w:rFonts w:ascii="SYMBOL" w:hAnsi="SYMBOL"/>
          <w:sz w:val="20"/>
        </w:rPr>
        <w:t>b</w:t>
      </w:r>
      <w:r>
        <w:rPr>
          <w:rFonts w:ascii="Times New Roman" w:hAnsi="Times New Roman"/>
          <w:sz w:val="20"/>
        </w:rPr>
        <w:t xml:space="preserve"> that is prevalent in amyloid plaques in AD patients. KRSA-028 is further distinguished from other A</w:t>
      </w:r>
      <w:r>
        <w:rPr>
          <w:rFonts w:ascii="SYMBOL" w:hAnsi="SYMBOL"/>
          <w:sz w:val="20"/>
        </w:rPr>
        <w:t>b</w:t>
      </w:r>
      <w:r>
        <w:rPr>
          <w:rFonts w:ascii="Times New Roman" w:hAnsi="Times New Roman"/>
          <w:sz w:val="20"/>
        </w:rPr>
        <w:t xml:space="preserve"> therapeutics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of THETA platform technology which enables increased brain exposure by means of an endogenous protein shuttle system. KRSA-028 was engineered to be delivered subcutaneously in order to increase patient convenience and to reduce the overall impact of treatment on the healthcare system. After Korsana completes GLP toxicity studies, it intends to submit a CTN for KRSA-028 in Australia or a CTA in New Zealand by the end of 2026 and an IND in the United States in the first quarter of 2027. Korsana anticipates that interim proof-of-concept data will be available between year-end 2027 and the first quarter of 2028. </w:t>
      </w:r>
    </w:p>
    <w:p>
      <w:pPr>
        <w:pStyle w:val="TextBody"/>
        <w:bidi w:val="0"/>
        <w:spacing w:before="360" w:after="0"/>
        <w:jc w:val="left"/>
        <w:rPr>
          <w:rFonts w:ascii="Times New Roman" w:hAnsi="Times New Roman"/>
          <w:b/>
          <w:i/>
          <w:sz w:val="20"/>
        </w:rPr>
      </w:pPr>
      <w:r>
        <w:rPr>
          <w:rFonts w:ascii="Times New Roman" w:hAnsi="Times New Roman"/>
          <w:b/>
          <w:i/>
          <w:sz w:val="20"/>
        </w:rPr>
        <w:t xml:space="preserve">Alzheimer’s Disease Overview </w:t>
      </w:r>
    </w:p>
    <w:p>
      <w:pPr>
        <w:pStyle w:val="TextBody"/>
        <w:bidi w:val="0"/>
        <w:spacing w:before="120" w:after="0"/>
        <w:jc w:val="left"/>
        <w:rPr>
          <w:rFonts w:ascii="Times New Roman" w:hAnsi="Times New Roman"/>
          <w:sz w:val="20"/>
        </w:rPr>
      </w:pPr>
      <w:r>
        <w:rPr>
          <w:rFonts w:ascii="Times New Roman" w:hAnsi="Times New Roman"/>
          <w:sz w:val="20"/>
        </w:rPr>
        <w:t xml:space="preserve">Alzheimer’s disease is a progressive neurodegenerative disorder that slowly destroys memory and thinking skills and eventually prevents patients from carrying out even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 </w:t>
      </w:r>
    </w:p>
    <w:p>
      <w:pPr>
        <w:pStyle w:val="TextBody"/>
        <w:bidi w:val="0"/>
        <w:spacing w:before="240" w:after="0"/>
        <w:jc w:val="left"/>
        <w:rPr>
          <w:rFonts w:ascii="Times New Roman" w:hAnsi="Times New Roman"/>
          <w:sz w:val="20"/>
        </w:rPr>
      </w:pPr>
      <w:r>
        <w:rPr>
          <w:rFonts w:ascii="Times New Roman" w:hAnsi="Times New Roman"/>
          <w:sz w:val="20"/>
        </w:rPr>
        <w:t>The hallmark neuropathologic changes of AD are diffuse plaques marked by extracellular A</w:t>
      </w:r>
      <w:r>
        <w:rPr>
          <w:rFonts w:ascii="SYMBOL" w:hAnsi="SYMBOL"/>
          <w:sz w:val="20"/>
        </w:rPr>
        <w:t>b</w:t>
      </w:r>
      <w:r>
        <w:rPr>
          <w:rFonts w:ascii="Times New Roman" w:hAnsi="Times New Roman"/>
          <w:sz w:val="20"/>
        </w:rPr>
        <w:t xml:space="preserve"> protein. Deposition of A</w:t>
      </w:r>
      <w:r>
        <w:rPr>
          <w:rFonts w:ascii="SYMBOL" w:hAnsi="SYMBOL"/>
          <w:sz w:val="20"/>
        </w:rPr>
        <w:t>b</w:t>
      </w:r>
      <w:r>
        <w:rPr>
          <w:rFonts w:ascii="Times New Roman" w:hAnsi="Times New Roman"/>
          <w:sz w:val="20"/>
        </w:rPr>
        <w:t xml:space="preserve"> is an early event in the development of AD. A</w:t>
      </w:r>
      <w:r>
        <w:rPr>
          <w:rFonts w:ascii="SYMBOL" w:hAnsi="SYMBOL"/>
          <w:sz w:val="20"/>
        </w:rPr>
        <w:t>b</w:t>
      </w:r>
      <w:r>
        <w:rPr>
          <w:rFonts w:ascii="Times New Roman" w:hAnsi="Times New Roman"/>
          <w:sz w:val="20"/>
        </w:rPr>
        <w:t xml:space="preserve"> is derived from proteolytic cleavage of amyloid precursor protein (“APP”). Normal processing of APP results in the secretion of A</w:t>
      </w:r>
      <w:r>
        <w:rPr>
          <w:rFonts w:ascii="SYMBOL" w:hAnsi="SYMBOL"/>
          <w:sz w:val="20"/>
        </w:rPr>
        <w:t>b</w:t>
      </w:r>
      <w:r>
        <w:rPr>
          <w:rFonts w:ascii="Times New Roman" w:hAnsi="Times New Roman"/>
          <w:sz w:val="20"/>
        </w:rPr>
        <w:t xml:space="preserve"> protein in multiple forms: a predominant 40-amino acid form, known as A</w:t>
      </w:r>
      <w:r>
        <w:rPr>
          <w:rFonts w:ascii="SYMBOL" w:hAnsi="SYMBOL"/>
          <w:sz w:val="20"/>
        </w:rPr>
        <w:t>b</w:t>
      </w:r>
      <w:r>
        <w:rPr>
          <w:rFonts w:ascii="Times New Roman" w:hAnsi="Times New Roman"/>
          <w:sz w:val="20"/>
        </w:rPr>
        <w:t>40, and a less abundant 42-amino acid form known as A</w:t>
      </w:r>
      <w:r>
        <w:rPr>
          <w:rFonts w:ascii="SYMBOL" w:hAnsi="SYMBOL"/>
          <w:sz w:val="20"/>
        </w:rPr>
        <w:t>b</w:t>
      </w:r>
      <w:r>
        <w:rPr>
          <w:rFonts w:ascii="Times New Roman" w:hAnsi="Times New Roman"/>
          <w:sz w:val="20"/>
        </w:rPr>
        <w:t>42. A</w:t>
      </w:r>
      <w:r>
        <w:rPr>
          <w:rFonts w:ascii="SYMBOL" w:hAnsi="SYMBOL"/>
          <w:sz w:val="20"/>
        </w:rPr>
        <w:t>b</w:t>
      </w:r>
      <w:r>
        <w:rPr>
          <w:rFonts w:ascii="Times New Roman" w:hAnsi="Times New Roman"/>
          <w:sz w:val="20"/>
        </w:rPr>
        <w:t>42 is more prone to aggregation and has been shown to be enriched in A</w:t>
      </w:r>
      <w:r>
        <w:rPr>
          <w:rFonts w:ascii="SYMBOL" w:hAnsi="SYMBOL"/>
          <w:sz w:val="20"/>
        </w:rPr>
        <w:t>b</w:t>
      </w:r>
      <w:r>
        <w:rPr>
          <w:rFonts w:ascii="Times New Roman" w:hAnsi="Times New Roman"/>
          <w:sz w:val="20"/>
        </w:rPr>
        <w:t xml:space="preserve"> plaques in AD. In addition, approximately 25% of the total A</w:t>
      </w:r>
      <w:r>
        <w:rPr>
          <w:rFonts w:ascii="SYMBOL" w:hAnsi="SYMBOL"/>
          <w:sz w:val="20"/>
        </w:rPr>
        <w:t>b</w:t>
      </w:r>
      <w:r>
        <w:rPr>
          <w:rFonts w:ascii="Times New Roman" w:hAnsi="Times New Roman"/>
          <w:sz w:val="20"/>
        </w:rPr>
        <w:t>42 in plaques has an altered form of the amino acid glutamate known as pyroglutamate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 xml:space="preserve">One of the most common initial symptoms of AD is memory impairment, in particular, the ability to recall recent events. As AD progresses, the cognitive dysfunction it brings leads to deficits both in executive function and in problem solving. Patients become less organized and less motivated. As the disease progresses, an inability to complete tasks emerges, followed subsequently by deficits in language. </w:t>
      </w:r>
    </w:p>
    <w:p>
      <w:pPr>
        <w:pStyle w:val="TextBody"/>
        <w:bidi w:val="0"/>
        <w:spacing w:before="240" w:after="0"/>
        <w:jc w:val="left"/>
        <w:rPr>
          <w:rFonts w:ascii="Times New Roman" w:hAnsi="Times New Roman"/>
          <w:sz w:val="20"/>
        </w:rPr>
      </w:pPr>
      <w:r>
        <w:rPr>
          <w:rFonts w:ascii="Times New Roman" w:hAnsi="Times New Roman"/>
          <w:sz w:val="20"/>
        </w:rPr>
        <w:t xml:space="preserve">In late-stage disease, behavioral and psychological symptoms, such as apathy, social disengagement and irritability are common. Some patients develop agitation, aggression, wandering, and psychosis. AD patients frequently develop sleep disorders and 10% to 20% experience seizures. The average life expectancy after a diagnosis of AD has been reported to be between eight and ten years. Patients generally succumb to terminal-stage complications that relate to advanced debilitation, such as dehydration, malnutrition, and infection. </w:t>
      </w:r>
    </w:p>
    <w:p>
      <w:pPr>
        <w:pStyle w:val="TextBody"/>
        <w:bidi w:val="0"/>
        <w:spacing w:before="360" w:after="0"/>
        <w:jc w:val="left"/>
        <w:rPr>
          <w:rFonts w:ascii="Times New Roman" w:hAnsi="Times New Roman"/>
          <w:i/>
          <w:sz w:val="20"/>
        </w:rPr>
      </w:pPr>
      <w:r>
        <w:rPr>
          <w:rFonts w:ascii="Times New Roman" w:hAnsi="Times New Roman"/>
          <w:i/>
          <w:sz w:val="20"/>
        </w:rPr>
        <w:t xml:space="preserve">AD is a highly prevalent and costly disease </w:t>
      </w:r>
    </w:p>
    <w:p>
      <w:pPr>
        <w:pStyle w:val="TextBody"/>
        <w:bidi w:val="0"/>
        <w:spacing w:before="120" w:after="0"/>
        <w:jc w:val="left"/>
        <w:rPr>
          <w:rFonts w:ascii="Times New Roman" w:hAnsi="Times New Roman"/>
          <w:sz w:val="20"/>
        </w:rPr>
      </w:pPr>
      <w:r>
        <w:rPr>
          <w:rFonts w:ascii="Times New Roman" w:hAnsi="Times New Roman"/>
          <w:sz w:val="20"/>
        </w:rPr>
        <w:t xml:space="preserve">While estimates of the prevalence of AD vary, the Alzheimer’s Association estimates that there are seven million people in the United States suffering from AD and that this number is projected to double by 2050. AD is the seventh-leading cause of death in the United States and is associated with an estimated 500,000 deaths a year. According to the Alzheimer’s Association, in the United States alone, 1 in 9 persons over the age of 65 have AD. In people aged 85 and above, that rate increases to 1 in 3 persons. Globally, AD affects some 60 million patients. This number does not include the estimated 6-fold of additional people who unknowingly harbor the disease in its presymptomatic biological form.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its debilitating effect on patients’ cognition and day-to-day functioning, AD places a significant burden on the healthcare system. The costs of healthcare and long-term care for patients with AD in the United States was estimated to be $384 billion in 2025, with this cost expected to grow to more than $1 trillion by 2050 as the population ages. Two-thirds of this cost is borne by Medicare and Medicaid. </w:t>
      </w:r>
    </w:p>
    <w:p>
      <w:pPr>
        <w:pStyle w:val="TextBody"/>
        <w:bidi w:val="0"/>
        <w:spacing w:before="240" w:after="0"/>
        <w:jc w:val="left"/>
        <w:rPr>
          <w:rFonts w:ascii="Times New Roman" w:hAnsi="Times New Roman"/>
          <w:sz w:val="20"/>
        </w:rPr>
      </w:pPr>
      <w:r>
        <w:rPr>
          <w:rFonts w:ascii="Times New Roman" w:hAnsi="Times New Roman"/>
          <w:sz w:val="20"/>
        </w:rPr>
        <w:t xml:space="preserve">Indirect costs of care associated with AD include caregiver burden and associated healthcare utilization and costs. It has been estimated that over 80% of caregiving for a patient with AD is informal care by family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friends. Providing care to a patient with AD is financially, physically, and emotionally burdensome to the caregiver. Caregiving for patients with AD is unique compared with caregiving in other disease states due to the long duration of disease, and the progressive, unrelenting decline in cognitive and physical functioning. In the United States, over 11 million caregivers provide unpaid care for people with AD or other dementias. The Alzheimer’s Association estimates that, in 2024, these caregivers provided 19.2 billion hours of care valued at $414 billion.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Treatments for AD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cures for AD, despite many clinical trials of numerous agents based on a wide range of mechanisms. Two classes of symptomatic therapies are approved for the treatment of AD: acetylcholinesterase inhibitors and glutamatergic modulators. The approved acetylcholinesterase inhibitors donepezil, galantamine, and rivastigmine are designed to slow the degradation of acetylcholine, helping to preserve neuronal communication. Approved glutamatergic modulators, such as memantine, are designed to block sustained, low-level activation of the N-methyl-D-aspartate (“NMDA”) receptor. These drugs provide temporary benefit, but they do not slow or halt neuronal death and do not represent a change in the underlying course of disease. In addition, antidepressants and antipsychotics are often prescribed off-label to treat the symptoms of severe AD when patients suffer from agitation, aggressive behaviors, psychosis and depression. </w:t>
      </w:r>
    </w:p>
    <w:p>
      <w:pPr>
        <w:pStyle w:val="TextBody"/>
        <w:bidi w:val="0"/>
        <w:spacing w:before="240" w:after="0"/>
        <w:jc w:val="left"/>
        <w:rPr>
          <w:rFonts w:ascii="Times New Roman" w:hAnsi="Times New Roman"/>
          <w:sz w:val="20"/>
        </w:rPr>
      </w:pPr>
      <w:r>
        <w:rPr>
          <w:rFonts w:ascii="Times New Roman" w:hAnsi="Times New Roman"/>
          <w:sz w:val="20"/>
        </w:rPr>
        <w:t>The biology of AD is complex, involving progressive, interactive and destructive processes that lead to neuronal dysfunction and cell death. The pharmaceutical industry has taken notice of the unmet need by developing therapies intended to be disease-modifying rather than simply targeting symptom relief. Indeed, there are more than 80 product candidates currently in Phase 2 or Phase 3 trials aimed at altering the course of AD progression. Recent drug candidates under development for AD include those focused on A</w:t>
      </w:r>
      <w:r>
        <w:rPr>
          <w:rFonts w:ascii="SYMBOL" w:hAnsi="SYMBOL"/>
          <w:sz w:val="20"/>
        </w:rPr>
        <w:t>b</w:t>
      </w:r>
      <w:r>
        <w:rPr>
          <w:rFonts w:ascii="Times New Roman" w:hAnsi="Times New Roman"/>
          <w:sz w:val="20"/>
        </w:rPr>
        <w:t xml:space="preserve"> synthesis or clearance from the brain, the synthesis, phosphorylation, or clearance from the brain of tau protein, chronic inflammation, vascular dysfunction, metabolic dysregulation and neurotoxicity. However, most of these drug candidates have so far failed to demonstrate significant benefit. </w:t>
      </w:r>
    </w:p>
    <w:p>
      <w:pPr>
        <w:pStyle w:val="TextBody"/>
        <w:bidi w:val="0"/>
        <w:spacing w:before="240" w:after="0"/>
        <w:jc w:val="left"/>
        <w:rPr>
          <w:rFonts w:ascii="Times New Roman" w:hAnsi="Times New Roman"/>
          <w:sz w:val="20"/>
        </w:rPr>
      </w:pPr>
      <w:r>
        <w:rPr>
          <w:rFonts w:ascii="Times New Roman" w:hAnsi="Times New Roman"/>
          <w:sz w:val="20"/>
        </w:rPr>
        <w:t>Clinical trials of three FDA-approved anti-A</w:t>
      </w:r>
      <w:r>
        <w:rPr>
          <w:rFonts w:ascii="SYMBOL" w:hAnsi="SYMBOL"/>
          <w:sz w:val="20"/>
        </w:rPr>
        <w:t>b</w:t>
      </w:r>
      <w:r>
        <w:rPr>
          <w:rFonts w:ascii="Times New Roman" w:hAnsi="Times New Roman"/>
          <w:sz w:val="20"/>
        </w:rPr>
        <w:t xml:space="preserve"> antibodies have demonstrated that reductions in amyloid plaques provide meaningful clinical benefit in AD. The most significant clinical outcomes have been reported for lecanemab, marketed as Leqembi® by Biogen and Eisai, and donanemab, marketed as Kisunla® by Eli Lilly. Both of these therapies slow AD progression by almost 30%, a modest but meaningful impact on disease progression that is projected to lead to benefits in healthcare-related resource utilization.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1470" cy="23634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11470" cy="23634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2. Lecanemab and donanemab slow the rate of AD disease progression by about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important observation from clinical trials of anti-A</w:t>
      </w:r>
      <w:r>
        <w:rPr>
          <w:rFonts w:ascii="SYMBOL" w:hAnsi="SYMBOL"/>
          <w:sz w:val="20"/>
        </w:rPr>
        <w:t>b</w:t>
      </w:r>
      <w:r>
        <w:rPr>
          <w:rFonts w:ascii="Times New Roman" w:hAnsi="Times New Roman"/>
          <w:sz w:val="20"/>
        </w:rPr>
        <w:t xml:space="preserve"> antibodies is the correlation between the degree of A</w:t>
      </w:r>
      <w:r>
        <w:rPr>
          <w:rFonts w:ascii="SYMBOL" w:hAnsi="SYMBOL"/>
          <w:sz w:val="20"/>
        </w:rPr>
        <w:t>b</w:t>
      </w:r>
      <w:r>
        <w:rPr>
          <w:rFonts w:ascii="Times New Roman" w:hAnsi="Times New Roman"/>
          <w:sz w:val="20"/>
        </w:rPr>
        <w:t xml:space="preserve"> plaque removal and the impact on disease progression. Antibodies such as solanezumab and crenezumab, which had minimal impact on A</w:t>
      </w:r>
      <w:r>
        <w:rPr>
          <w:rFonts w:ascii="SYMBOL" w:hAnsi="SYMBOL"/>
          <w:sz w:val="20"/>
        </w:rPr>
        <w:t>b</w:t>
      </w:r>
      <w:r>
        <w:rPr>
          <w:rFonts w:ascii="Times New Roman" w:hAnsi="Times New Roman"/>
          <w:sz w:val="20"/>
        </w:rPr>
        <w:t xml:space="preserve"> plaque removal, did not lead to meaningful effects on clinical symptoms.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7385" cy="28124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77385" cy="2812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3. Increased reduction in amyloid plaques across multiple Phase 3 clinical trials is associated with reduced rate of cognitive decline. The sizes of the bubbles represent the number of patients. </w:t>
      </w:r>
    </w:p>
    <w:p>
      <w:pPr>
        <w:pStyle w:val="TextBody"/>
        <w:bidi w:val="0"/>
        <w:spacing w:before="0" w:after="0"/>
        <w:jc w:val="center"/>
        <w:rPr>
          <w:rFonts w:ascii="Times New Roman" w:hAnsi="Times New Roman"/>
          <w:i/>
          <w:sz w:val="20"/>
        </w:rPr>
      </w:pPr>
      <w:r>
        <w:rPr>
          <w:rFonts w:ascii="Times New Roman" w:hAnsi="Times New Roman"/>
          <w:i/>
          <w:sz w:val="20"/>
        </w:rPr>
        <w:t xml:space="preserve">Figure adapted from 2023 Boxer (Cell). </w:t>
      </w:r>
    </w:p>
    <w:p>
      <w:pPr>
        <w:pStyle w:val="TextBody"/>
        <w:bidi w:val="0"/>
        <w:spacing w:before="240" w:after="0"/>
        <w:jc w:val="left"/>
        <w:rPr>
          <w:rFonts w:ascii="Times New Roman" w:hAnsi="Times New Roman"/>
          <w:sz w:val="20"/>
        </w:rPr>
      </w:pPr>
      <w:r>
        <w:rPr>
          <w:rFonts w:ascii="Times New Roman" w:hAnsi="Times New Roman"/>
          <w:sz w:val="20"/>
        </w:rPr>
        <w:t>A challenge associated with approved anti-A</w:t>
      </w:r>
      <w:r>
        <w:rPr>
          <w:rFonts w:ascii="SYMBOL" w:hAnsi="SYMBOL"/>
          <w:sz w:val="20"/>
        </w:rPr>
        <w:t>b</w:t>
      </w:r>
      <w:r>
        <w:rPr>
          <w:rFonts w:ascii="Times New Roman" w:hAnsi="Times New Roman"/>
          <w:sz w:val="20"/>
        </w:rPr>
        <w:t xml:space="preserve"> therapies is the risk that patients treated with them may develop neurological complications referred to as ARIA. Although the mechanisms underlying ARIA remain incompletely understood, the occurrence of these adverse events appears to be linked to vascular amyloid deposition. In clinical studies, approximately 15% to 25% of patients treated with anti-A</w:t>
      </w:r>
      <w:r>
        <w:rPr>
          <w:rFonts w:ascii="SYMBOL" w:hAnsi="SYMBOL"/>
          <w:sz w:val="20"/>
        </w:rPr>
        <w:t>b</w:t>
      </w:r>
      <w:r>
        <w:rPr>
          <w:rFonts w:ascii="Times New Roman" w:hAnsi="Times New Roman"/>
          <w:sz w:val="20"/>
        </w:rPr>
        <w:t xml:space="preserve"> therapies developed ARIA. ARIA consists of two forms: a form associated with hemorrhage, known as ARIA-H; and a form associated with edema, known as ARIA-E. While ARIA occurs at a low rate in AD patients, anti-A</w:t>
      </w:r>
      <w:r>
        <w:rPr>
          <w:rFonts w:ascii="SYMBOL" w:hAnsi="SYMBOL"/>
          <w:sz w:val="20"/>
        </w:rPr>
        <w:t>b</w:t>
      </w:r>
      <w:r>
        <w:rPr>
          <w:rFonts w:ascii="Times New Roman" w:hAnsi="Times New Roman"/>
          <w:sz w:val="20"/>
        </w:rPr>
        <w:t xml:space="preserve"> antibodies increase rates of ARIA by damaging blood vessels. Increased ARIA-H is correlated with worsening cognition although symptoms can be avoided if ARIA-H is detected early and treatment suspended. ARIA-E is associated with symptoms that include worsening of cognition, headache, and gait disturbance, which can be severe enough to lead to hospitalization. Anti-A</w:t>
      </w:r>
      <w:r>
        <w:rPr>
          <w:rFonts w:ascii="SYMBOL" w:hAnsi="SYMBOL"/>
          <w:sz w:val="20"/>
        </w:rPr>
        <w:t>b</w:t>
      </w:r>
      <w:r>
        <w:rPr>
          <w:rFonts w:ascii="Times New Roman" w:hAnsi="Times New Roman"/>
          <w:sz w:val="20"/>
        </w:rPr>
        <w:t xml:space="preserve"> therapies carry a black box warning due to the risk of serious or life-threatening complications from ARIA.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536950" cy="29184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36950" cy="2918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4. Treatment with anti-A</w:t>
      </w:r>
      <w:r>
        <w:rPr>
          <w:rFonts w:ascii="SYMBOL" w:hAnsi="SYMBOL"/>
          <w:sz w:val="20"/>
        </w:rPr>
        <w:t>b</w:t>
      </w:r>
      <w:r>
        <w:rPr>
          <w:rFonts w:ascii="Times New Roman" w:hAnsi="Times New Roman"/>
          <w:sz w:val="20"/>
        </w:rPr>
        <w:t xml:space="preserve"> </w:t>
      </w:r>
      <w:r>
        <w:rPr>
          <w:rFonts w:ascii="Times New Roman" w:hAnsi="Times New Roman"/>
          <w:i/>
          <w:sz w:val="20"/>
        </w:rPr>
        <w:t xml:space="preserve">antibodies is associated with the development of ARIA-E and ARIA-H </w:t>
      </w:r>
    </w:p>
    <w:p>
      <w:pPr>
        <w:pStyle w:val="TextBody"/>
        <w:bidi w:val="0"/>
        <w:spacing w:before="240" w:after="0"/>
        <w:jc w:val="left"/>
        <w:rPr>
          <w:rFonts w:ascii="Times New Roman" w:hAnsi="Times New Roman"/>
          <w:sz w:val="20"/>
        </w:rPr>
      </w:pPr>
      <w:r>
        <w:rPr>
          <w:rFonts w:ascii="Times New Roman" w:hAnsi="Times New Roman"/>
          <w:sz w:val="20"/>
        </w:rPr>
        <w:t>Monitoring for ARIA requires regular cerebral MRI imaging during the first six months of anti-A</w:t>
      </w:r>
      <w:r>
        <w:rPr>
          <w:rFonts w:ascii="SYMBOL" w:hAnsi="SYMBOL"/>
          <w:sz w:val="20"/>
        </w:rPr>
        <w:t>b</w:t>
      </w:r>
      <w:r>
        <w:rPr>
          <w:rFonts w:ascii="Times New Roman" w:hAnsi="Times New Roman"/>
          <w:sz w:val="20"/>
        </w:rPr>
        <w:t xml:space="preserve"> therapy, which is when the vast majority of ARIA events occur. This, combined with the need to administer these therapies by intravenous infusion, results in a high burden on patients, caregivers, and the healthcare system. </w:t>
      </w:r>
    </w:p>
    <w:p>
      <w:pPr>
        <w:pStyle w:val="TextBody"/>
        <w:bidi w:val="0"/>
        <w:spacing w:before="0" w:after="0"/>
        <w:jc w:val="left"/>
        <w:rPr/>
      </w:pPr>
      <w:r>
        <w:rPr/>
        <w:t> </w:t>
      </w:r>
    </w:p>
    <w:p>
      <w:pPr>
        <w:pStyle w:val="TextBody"/>
        <w:bidi w:val="0"/>
        <w:spacing w:before="0" w:after="0"/>
        <w:jc w:val="center"/>
        <w:rPr/>
      </w:pPr>
      <w:r>
        <w:rPr/>
        <w:drawing>
          <wp:inline distT="0" distB="0" distL="0" distR="0">
            <wp:extent cx="5561330" cy="22339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61330" cy="22339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5. Treatment regimens for Leqembi and Kisunla based on their FDA approved labels </w:t>
      </w:r>
    </w:p>
    <w:p>
      <w:pPr>
        <w:pStyle w:val="TextBody"/>
        <w:bidi w:val="0"/>
        <w:spacing w:before="240" w:after="0"/>
        <w:jc w:val="left"/>
        <w:rPr>
          <w:rFonts w:ascii="Times New Roman" w:hAnsi="Times New Roman"/>
          <w:sz w:val="20"/>
        </w:rPr>
      </w:pPr>
      <w:r>
        <w:rPr>
          <w:rFonts w:ascii="Times New Roman" w:hAnsi="Times New Roman"/>
          <w:sz w:val="20"/>
        </w:rPr>
        <w:t xml:space="preserve">Leqembi and Kisunla received FDA approval in 2023 and 2024, respectively, and had combined annual revenue of about $900 million in 2025. Both are expected to become multi-billion-dollar products despite the documented risk of ARIA. Korsana believes that therapies offering improved efficacy and greater tolerability can benefit from the growing awareness of disease-modifying anti-amyloid therapies that these early entrants have generated among patients, caregivers, and healthcare providers and can not only address the current patient population but also expand the addressable AD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Korsana’s solution, 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designed to improve AD treatment by addressing key limitations of existing therapies. KRSA-028 is designed to increase the delivery of anti-A</w:t>
      </w:r>
      <w:r>
        <w:rPr>
          <w:rFonts w:ascii="SYMBOL" w:hAnsi="SYMBOL"/>
          <w:sz w:val="20"/>
        </w:rPr>
        <w:t>b</w:t>
      </w:r>
      <w:r>
        <w:rPr>
          <w:rFonts w:ascii="Times New Roman" w:hAnsi="Times New Roman"/>
          <w:sz w:val="20"/>
        </w:rPr>
        <w:t xml:space="preserve"> activity to the brain through convenient subcutaneous injections while minimizing the risk of ARIA. </w:t>
      </w:r>
    </w:p>
    <w:p>
      <w:pPr>
        <w:pStyle w:val="TextBody"/>
        <w:bidi w:val="0"/>
        <w:spacing w:before="240" w:after="0"/>
        <w:jc w:val="left"/>
        <w:rPr>
          <w:rFonts w:ascii="Times New Roman" w:hAnsi="Times New Roman"/>
          <w:sz w:val="20"/>
        </w:rPr>
      </w:pPr>
      <w:r>
        <w:rPr>
          <w:rFonts w:ascii="Times New Roman" w:hAnsi="Times New Roman"/>
          <w:sz w:val="20"/>
        </w:rPr>
        <w:t xml:space="preserve">Key features of KRSA-028’s design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may potentially avoid the high local concentrations thought to be associated with the development of ARIA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believed to contribute to plaque formation in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pairing of a novel TfR1-targeting domain with a proprietary combination of Fc modifications designed to improve pharmacokinetics, spare reticulocytes from destruction, and preserve amyloid phagocytosis is a key differentiator for KRSA-028, and has been named the “Therapeutics Targeting” platform, or “THETA”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466715" cy="23279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66715" cy="23279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6. Design of KRSA-028 </w:t>
      </w:r>
    </w:p>
    <w:p>
      <w:pPr>
        <w:pStyle w:val="TextBody"/>
        <w:bidi w:val="0"/>
        <w:spacing w:before="240" w:after="0"/>
        <w:jc w:val="left"/>
        <w:rPr>
          <w:rFonts w:ascii="Times New Roman" w:hAnsi="Times New Roman"/>
          <w:i/>
          <w:sz w:val="20"/>
        </w:rPr>
      </w:pPr>
      <w:r>
        <w:rPr>
          <w:rFonts w:ascii="Times New Roman" w:hAnsi="Times New Roman"/>
          <w:i/>
          <w:sz w:val="20"/>
        </w:rPr>
        <w:t xml:space="preserve">Increased brain exposure through shuttling </w:t>
      </w:r>
    </w:p>
    <w:p>
      <w:pPr>
        <w:pStyle w:val="TextBody"/>
        <w:bidi w:val="0"/>
        <w:spacing w:before="120" w:after="0"/>
        <w:jc w:val="left"/>
        <w:rPr>
          <w:rFonts w:ascii="Times New Roman" w:hAnsi="Times New Roman"/>
          <w:sz w:val="20"/>
        </w:rPr>
      </w:pPr>
      <w:r>
        <w:rPr>
          <w:rFonts w:ascii="Times New Roman" w:hAnsi="Times New Roman"/>
          <w:sz w:val="20"/>
        </w:rPr>
        <w:t>A challenge with most biotherapeutics is that the blood-brain barrier severely limits the ability of these molecules to enter the brain. Although the brain is highly vascularized, molecules such as antibodies are unable to readily cross the blood-brain barrier, limiting their therapeutic potential. Approved anti-A</w:t>
      </w:r>
      <w:r>
        <w:rPr>
          <w:rFonts w:ascii="SYMBOL" w:hAnsi="SYMBOL"/>
          <w:sz w:val="20"/>
        </w:rPr>
        <w:t>b</w:t>
      </w:r>
      <w:r>
        <w:rPr>
          <w:rFonts w:ascii="Times New Roman" w:hAnsi="Times New Roman"/>
          <w:sz w:val="20"/>
        </w:rPr>
        <w:t xml:space="preserve"> antibodies aducanumab, lecanemab and donanemab all face this problem. To compensate for poor brain permeability, doses of these drugs can approach or exceed 1000 mg to achieve significant reductions in 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high levels limit the administration of the highest doses to intravenous infusions. The first subcutaneous product, Leqembi Iqlik, is approved by the FDA as a maintenance therapy for AD. Weekly subcutaneous doses of Leqembi Iqlik result in serum levels of lecanemab that are approximately half of those achieved with biweekly intravenous dosing of 10 mg/kg, which is the dosage recommended for the first 18 months of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method for overcoming the limitations posed by the blood-brain barrier is to take advantage of the natural process that is used to shuttle substances such as transferrin across the barrier. In this process, referred to as receptor-mediated transcytosis, a substance to be transported binds to specific receptors on cells that face blood capillaries. Upon binding, the receptor-ligand complexes are transported through the cell and the ligand is released into the brain. There is a well-documented precedent for using TfR to shuttle biotherapeutics across the blood-brain barrier, including the shuttling of an anti-A</w:t>
      </w:r>
      <w:r>
        <w:rPr>
          <w:rFonts w:ascii="SYMBOL" w:hAnsi="SYMBOL"/>
          <w:sz w:val="20"/>
        </w:rPr>
        <w:t>b</w:t>
      </w:r>
      <w:r>
        <w:rPr>
          <w:rFonts w:ascii="Times New Roman" w:hAnsi="Times New Roman"/>
          <w:sz w:val="20"/>
        </w:rPr>
        <w:t xml:space="preserve"> antibody in clinical development.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22570" cy="2993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22570" cy="2993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7. TfR-mediated transcytosis provides a mechanism to transport antibodies across the blood-brain barrier </w:t>
      </w:r>
    </w:p>
    <w:p>
      <w:pPr>
        <w:pStyle w:val="TextBody"/>
        <w:bidi w:val="0"/>
        <w:spacing w:before="240" w:after="0"/>
        <w:jc w:val="left"/>
        <w:rPr>
          <w:rFonts w:ascii="Times New Roman" w:hAnsi="Times New Roman"/>
          <w:sz w:val="20"/>
        </w:rPr>
      </w:pPr>
      <w:r>
        <w:rPr>
          <w:rFonts w:ascii="Times New Roman" w:hAnsi="Times New Roman"/>
          <w:sz w:val="20"/>
        </w:rPr>
        <w:t>Gantenerumab is an anti-A</w:t>
      </w:r>
      <w:r>
        <w:rPr>
          <w:rFonts w:ascii="SYMBOL" w:hAnsi="SYMBOL"/>
          <w:sz w:val="20"/>
        </w:rPr>
        <w:t>b</w:t>
      </w:r>
      <w:r>
        <w:rPr>
          <w:rFonts w:ascii="Times New Roman" w:hAnsi="Times New Roman"/>
          <w:sz w:val="20"/>
        </w:rPr>
        <w:t xml:space="preserve"> antibody originally developed by Genentech/Roche that does not contain a shuttle domain. Gantenerumab failed to significantly slow AD progression in two Phase 3 trials. One of the challenges with gantenerumab was that it was associated with a high rate of ARIA. Despite a dose titration regimen that was intended to minimize adverse events, up to 26% of patients experienced ARIA. </w:t>
      </w:r>
    </w:p>
    <w:p>
      <w:pPr>
        <w:pStyle w:val="TextBody"/>
        <w:bidi w:val="0"/>
        <w:spacing w:before="240" w:after="0"/>
        <w:jc w:val="left"/>
        <w:rPr>
          <w:rFonts w:ascii="Times New Roman" w:hAnsi="Times New Roman"/>
          <w:sz w:val="20"/>
        </w:rPr>
      </w:pPr>
      <w:r>
        <w:rPr>
          <w:rFonts w:ascii="Times New Roman" w:hAnsi="Times New Roman"/>
          <w:sz w:val="20"/>
        </w:rPr>
        <w:t>Roche used TfR technology to create trontinemab, a molecule designed to overcome these limitations. Trontinemab was designed to improve the anti-A</w:t>
      </w:r>
      <w:r>
        <w:rPr>
          <w:rFonts w:ascii="SYMBOL" w:hAnsi="SYMBOL"/>
          <w:sz w:val="20"/>
        </w:rPr>
        <w:t>b</w:t>
      </w:r>
      <w:r>
        <w:rPr>
          <w:rFonts w:ascii="Times New Roman" w:hAnsi="Times New Roman"/>
          <w:sz w:val="20"/>
        </w:rPr>
        <w:t xml:space="preserve"> activity of gantenerumab through the attachment of a protein domain engineered to use the TfR to shuttle it across the blood-brain barrier. Trontinemab was shown to have two properties that differentiated it from gantenerumab: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CNS exposure of drug, as measured by the ratio of drug in the cerebrospinal fluid, or CSF, compared to plasma, was eight-fold higher after a dose of 10 mg/kg trontinemab compared to what was previously observed after a 20 mg/kg dose of gantenerumab. Importantly, treatment with trontinemab led to more rapid reductions in amyloid levels in AD patients. Over 90% of patients treated with 3.6 mg/kg trontinemab achieved amyloid-negative status by week 28, whereas only 28% of patients treated with 510 mg gantenerumab achieved amyloid-negative status by week 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477510" cy="22428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77510" cy="22428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8. Trontinemab led to higher brain exposure and more rapid reductions in amyloid than historic results with gantenerumab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Despite higher brain exposure, trontinemab was associated with a decreased risk of ARIA compared to gantenerumab. This reduction of ARIA is believed to result from trontinemab largely avoiding exposing vascular tissue in the brain to high levels of anti-A</w:t>
            </w:r>
            <w:r>
              <w:rPr>
                <w:rFonts w:ascii="SYMBOL" w:hAnsi="SYMBOL"/>
                <w:sz w:val="20"/>
              </w:rPr>
              <w:t>b</w:t>
            </w:r>
            <w:r>
              <w:rPr>
                <w:rFonts w:ascii="Times New Roman" w:hAnsi="Times New Roman"/>
                <w:sz w:val="20"/>
              </w:rPr>
              <w:t xml:space="preserve"> antibodies. Although the mechanisms underlying ARIA remain incompletely understood, the occurrence of these adverse events appears to be linked to vascular amyloid deposition. Both the lower doses of trontinemab and its ability to be shuttled across the blood-brain barrier may reduce the frequency of ARIA by limiting vascular amyloid exposure.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KRSA-028 was designed with a proprietary TfR-based shuttle domain to increase brain penetration and reduce ARIA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of KRSA-028 </w:t>
      </w:r>
    </w:p>
    <w:p>
      <w:pPr>
        <w:pStyle w:val="TextBody"/>
        <w:bidi w:val="0"/>
        <w:spacing w:before="120" w:after="0"/>
        <w:jc w:val="left"/>
        <w:rPr>
          <w:rFonts w:ascii="Times New Roman" w:hAnsi="Times New Roman"/>
          <w:sz w:val="20"/>
        </w:rPr>
      </w:pPr>
      <w:r>
        <w:rPr>
          <w:rFonts w:ascii="Times New Roman" w:hAnsi="Times New Roman"/>
          <w:sz w:val="20"/>
        </w:rPr>
        <w:t>Korsana conducted multiple in vitro analytical similarity assessments comparing KRSA-028 to reference material generated by Paragon intended to model both investigational as well as marketed disease-modifying immunotherapies for AD. The assessments included measurements of brain penetration, half-life, and effect on reticulocytes in non-human primates and in vitro activity in cellular uptake of 3pE-A</w:t>
      </w:r>
      <w:r>
        <w:rPr>
          <w:rFonts w:ascii="SYMBOL" w:hAnsi="SYMBOL"/>
          <w:sz w:val="20"/>
        </w:rPr>
        <w:t>b</w:t>
      </w:r>
      <w:r>
        <w:rPr>
          <w:rFonts w:ascii="Times New Roman" w:hAnsi="Times New Roman"/>
          <w:sz w:val="20"/>
        </w:rPr>
        <w:t xml:space="preserve"> fibrils, and the results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both mice and NHPs, KRSA-028 resulted in higher levels in the brain than equivalent doses of trontinemab,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5430" cy="22631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45430" cy="22631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Figure 9. KRSA-028 had higher brain penetration in mice and NHPs than trontinemab </w:t>
      </w:r>
    </w:p>
    <w:p>
      <w:pPr>
        <w:pStyle w:val="TextBody"/>
        <w:bidi w:val="0"/>
        <w:spacing w:before="120" w:after="0"/>
        <w:jc w:val="left"/>
        <w:rPr>
          <w:rFonts w:ascii="Times New Roman" w:hAnsi="Times New Roman"/>
          <w:sz w:val="20"/>
        </w:rPr>
      </w:pPr>
      <w:r>
        <w:rPr>
          <w:rFonts w:ascii="Times New Roman" w:hAnsi="Times New Roman"/>
          <w:i/>
          <w:sz w:val="20"/>
        </w:rPr>
        <w:t>Targeting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Analysis of amyloid plaques identified that a significant portion of A</w:t>
      </w:r>
      <w:r>
        <w:rPr>
          <w:rFonts w:ascii="SYMBOL" w:hAnsi="SYMBOL"/>
          <w:sz w:val="20"/>
        </w:rPr>
        <w:t>b</w:t>
      </w:r>
      <w:r>
        <w:rPr>
          <w:rFonts w:ascii="Times New Roman" w:hAnsi="Times New Roman"/>
          <w:sz w:val="20"/>
        </w:rPr>
        <w:t xml:space="preserve"> protein contains modified amino acids. Approximately 25% of the total A</w:t>
      </w:r>
      <w:r>
        <w:rPr>
          <w:rFonts w:ascii="SYMBOL" w:hAnsi="SYMBOL"/>
          <w:sz w:val="20"/>
        </w:rPr>
        <w:t>b</w:t>
      </w:r>
      <w:r>
        <w:rPr>
          <w:rFonts w:ascii="Times New Roman" w:hAnsi="Times New Roman"/>
          <w:sz w:val="20"/>
        </w:rPr>
        <w:t>42 in plaques has an altered form of the amino acid glutamate known as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Donanemab, an anti-3pE-A</w:t>
      </w:r>
      <w:r>
        <w:rPr>
          <w:rFonts w:ascii="SYMBOL" w:hAnsi="SYMBOL"/>
          <w:sz w:val="20"/>
        </w:rPr>
        <w:t>b</w:t>
      </w:r>
      <w:r>
        <w:rPr>
          <w:rFonts w:ascii="Times New Roman" w:hAnsi="Times New Roman"/>
          <w:sz w:val="20"/>
        </w:rPr>
        <w:t xml:space="preserve"> antibody, is associated with both a greater reduction in amyloid plaques and reduced rate of clinical decline in AD than other anti-A</w:t>
      </w:r>
      <w:r>
        <w:rPr>
          <w:rFonts w:ascii="SYMBOL" w:hAnsi="SYMBOL"/>
          <w:sz w:val="20"/>
        </w:rPr>
        <w:t>b</w:t>
      </w:r>
      <w:r>
        <w:rPr>
          <w:rFonts w:ascii="Times New Roman" w:hAnsi="Times New Roman"/>
          <w:sz w:val="20"/>
        </w:rPr>
        <w:t xml:space="preserve"> antibodies that do not target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KRSA-028 was designed to target the same epitope or region of 3pE-A</w:t>
      </w:r>
      <w:r>
        <w:rPr>
          <w:rFonts w:ascii="SYMBOL" w:hAnsi="SYMBOL"/>
          <w:sz w:val="20"/>
        </w:rPr>
        <w:t>b</w:t>
      </w:r>
      <w:r>
        <w:rPr>
          <w:rFonts w:ascii="Times New Roman" w:hAnsi="Times New Roman"/>
          <w:sz w:val="20"/>
        </w:rPr>
        <w:t xml:space="preserve"> as donanemab and remternetug, a follow-on antibody to donanemab currently being developed by Eli Lilly. </w:t>
      </w:r>
      <w:r>
        <w:rPr>
          <w:rFonts w:ascii="Times New Roman" w:hAnsi="Times New Roman"/>
          <w:i/>
          <w:sz w:val="20"/>
        </w:rPr>
        <w:t>In vitro</w:t>
      </w:r>
      <w:r>
        <w:rPr>
          <w:rFonts w:ascii="Times New Roman" w:hAnsi="Times New Roman"/>
          <w:sz w:val="20"/>
        </w:rPr>
        <w:t xml:space="preserve"> assays found that KRSA-028 had similar potency and activity in cellular uptake of 3pE-A</w:t>
      </w:r>
      <w:r>
        <w:rPr>
          <w:rFonts w:ascii="SYMBOL" w:hAnsi="SYMBOL"/>
          <w:sz w:val="20"/>
        </w:rPr>
        <w:t>b</w:t>
      </w:r>
      <w:r>
        <w:rPr>
          <w:rFonts w:ascii="Times New Roman" w:hAnsi="Times New Roman"/>
          <w:sz w:val="20"/>
        </w:rPr>
        <w:t xml:space="preserve"> fibrils as donanemab and remternetug, both of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088765" cy="24472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88765" cy="24472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10. KRSA-028 had similar activity in a cellular 3pE-Aß uptake assay as donanemab </w:t>
      </w:r>
    </w:p>
    <w:p>
      <w:pPr>
        <w:pStyle w:val="TextBody"/>
        <w:bidi w:val="0"/>
        <w:spacing w:before="120" w:after="0"/>
        <w:jc w:val="left"/>
        <w:rPr>
          <w:rFonts w:ascii="Times New Roman" w:hAnsi="Times New Roman"/>
          <w:i/>
          <w:sz w:val="20"/>
        </w:rPr>
      </w:pPr>
      <w:r>
        <w:rPr>
          <w:rFonts w:ascii="Times New Roman" w:hAnsi="Times New Roman"/>
          <w:i/>
          <w:sz w:val="20"/>
        </w:rPr>
        <w:t xml:space="preserve">Fc engineering </w:t>
      </w:r>
    </w:p>
    <w:p>
      <w:pPr>
        <w:pStyle w:val="TextBody"/>
        <w:bidi w:val="0"/>
        <w:spacing w:before="120" w:after="0"/>
        <w:jc w:val="left"/>
        <w:rPr>
          <w:rFonts w:ascii="Times New Roman" w:hAnsi="Times New Roman"/>
          <w:sz w:val="20"/>
        </w:rPr>
      </w:pPr>
      <w:r>
        <w:rPr>
          <w:rFonts w:ascii="Times New Roman" w:hAnsi="Times New Roman"/>
          <w:sz w:val="20"/>
        </w:rPr>
        <w:t xml:space="preserve">The incorporation of a TfR shuttle domain into other biotherapeutics has a known potential advantage: it has been shown to increase biodistribution of various investigational biotherapeutics to the brain. However, incorporation of TfR shuttle technology also has a potential drawback: it typically decreases the overall half-life of the biotherapeutic due to the expression of the TfR in other tissues. Molecules that are recognized by the transferrin receptor in those tissues can be taken out of circulation by receptor-mediated endocytosis and degradation, thus reducing the amount of therapeutic molecules that are transferred into the brain. These other tissues include both cells that are part of the hematopoietic or blood-forming system such as bone-marrow cells as well as cells found in other tissues throughout the body. </w:t>
      </w:r>
    </w:p>
    <w:p>
      <w:pPr>
        <w:pStyle w:val="TextBody"/>
        <w:bidi w:val="0"/>
        <w:spacing w:before="240" w:after="0"/>
        <w:jc w:val="left"/>
        <w:rPr>
          <w:rFonts w:ascii="Times New Roman" w:hAnsi="Times New Roman"/>
          <w:sz w:val="20"/>
        </w:rPr>
      </w:pPr>
      <w:r>
        <w:rPr>
          <w:rFonts w:ascii="Times New Roman" w:hAnsi="Times New Roman"/>
          <w:sz w:val="20"/>
        </w:rPr>
        <w:t xml:space="preserve">Antibody-based therapeutics that include a TfR shuttle domain face another challenge: their binding to TfR on blood cells known as reticulocytes triggers the destruction of these reticulocytes by the immune system. This process is driven by interactions with the antibody’s Fc domain. This destruction of reticulocytes results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development of treatment-related anemia. Clinical results reported for trontinemab, an anti-A</w:t>
      </w:r>
      <w:r>
        <w:rPr>
          <w:rFonts w:ascii="SYMBOL" w:hAnsi="SYMBOL"/>
          <w:sz w:val="20"/>
        </w:rPr>
        <w:t>b</w:t>
      </w:r>
      <w:r>
        <w:rPr>
          <w:rFonts w:ascii="Times New Roman" w:hAnsi="Times New Roman"/>
          <w:sz w:val="20"/>
        </w:rPr>
        <w:t xml:space="preserve"> antibody containing a TfR-based shuttle domain, found that between 10% and 20% of treated patients experienced anemia. </w:t>
      </w:r>
    </w:p>
    <w:p>
      <w:pPr>
        <w:pStyle w:val="TextBody"/>
        <w:bidi w:val="0"/>
        <w:spacing w:before="0" w:after="0"/>
        <w:jc w:val="left"/>
        <w:rPr/>
      </w:pPr>
      <w:r>
        <w:rPr/>
        <w:t> </w:t>
      </w:r>
    </w:p>
    <w:p>
      <w:pPr>
        <w:pStyle w:val="TextBody"/>
        <w:bidi w:val="0"/>
        <w:spacing w:before="0" w:after="0"/>
        <w:jc w:val="center"/>
        <w:rPr/>
      </w:pPr>
      <w:r>
        <w:rPr/>
        <w:drawing>
          <wp:inline distT="0" distB="0" distL="0" distR="0">
            <wp:extent cx="4638040" cy="466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638040" cy="466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11. Trontinemab treatment was associated with a risk of anemia </w:t>
      </w:r>
    </w:p>
    <w:p>
      <w:pPr>
        <w:pStyle w:val="TextBody"/>
        <w:bidi w:val="0"/>
        <w:spacing w:before="240" w:after="0"/>
        <w:jc w:val="left"/>
        <w:rPr>
          <w:rFonts w:ascii="Times New Roman" w:hAnsi="Times New Roman"/>
          <w:sz w:val="20"/>
        </w:rPr>
      </w:pPr>
      <w:r>
        <w:rPr>
          <w:rFonts w:ascii="Times New Roman" w:hAnsi="Times New Roman"/>
          <w:sz w:val="20"/>
        </w:rPr>
        <w:t>KRSA-028 was engineered to incorporate proprietary changes to its Fc domain to both improve its half-life in circulation and to reduce its propensity to cause anemia – without impairing its ability to cause phagocytosis of A</w:t>
      </w:r>
      <w:r>
        <w:rPr>
          <w:rFonts w:ascii="SYMBOL" w:hAnsi="SYMBOL"/>
          <w:sz w:val="20"/>
        </w:rPr>
        <w:t>b</w:t>
      </w:r>
      <w:r>
        <w:rPr>
          <w:rFonts w:ascii="Times New Roman" w:hAnsi="Times New Roman"/>
          <w:sz w:val="20"/>
        </w:rPr>
        <w:t xml:space="preserve"> plaques. Studies in NHPs demonstrate the impact of these changes on half-life and on anemia compared to trontinemab, which Paragon generated based on published information. KRSA-028 had a 2.5-fold longer half-life and did not lead to any reductions in reticulocytes compared to trontinemab. Korsana believes that both of these effects provide competitive advantages over trontinemab and other anti-A</w:t>
      </w:r>
      <w:r>
        <w:rPr>
          <w:rFonts w:ascii="SYMBOL" w:hAnsi="SYMBOL"/>
          <w:sz w:val="20"/>
        </w:rPr>
        <w:t>b</w:t>
      </w:r>
      <w:r>
        <w:rPr>
          <w:rFonts w:ascii="Times New Roman" w:hAnsi="Times New Roman"/>
          <w:sz w:val="20"/>
        </w:rPr>
        <w:t xml:space="preserve"> antibody product candidates that are designed to use a TfR-based shuttle domain.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4645" cy="23691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14645" cy="23691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12. Fc modifications incorporated into KRSA-028 improve its half-life and reduce the depletion of reticulocytes in NHPs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Improvement in properties to facilitate subcutaneous dosing </w:t>
      </w:r>
    </w:p>
    <w:p>
      <w:pPr>
        <w:pStyle w:val="TextBody"/>
        <w:bidi w:val="0"/>
        <w:spacing w:before="120" w:after="0"/>
        <w:jc w:val="left"/>
        <w:rPr>
          <w:rFonts w:ascii="Times New Roman" w:hAnsi="Times New Roman"/>
          <w:sz w:val="20"/>
        </w:rPr>
      </w:pPr>
      <w:r>
        <w:rPr>
          <w:rFonts w:ascii="Times New Roman" w:hAnsi="Times New Roman"/>
          <w:sz w:val="20"/>
        </w:rPr>
        <w:t xml:space="preserve">All FDA-approved therapies require burdensome administration and associated MRI monitoring. Kisunla requires monthly intravenous infusions and is not available as a subcutaneous formulation. Leqembi is available as a subcutaneous formulation, called Leqembi Iqlik, but maintenance dosing at 360 mg requires an initial 18-month treatment course of intravenous infusions. </w:t>
      </w:r>
    </w:p>
    <w:p>
      <w:pPr>
        <w:pStyle w:val="TextBody"/>
        <w:bidi w:val="0"/>
        <w:spacing w:before="240" w:after="0"/>
        <w:jc w:val="left"/>
        <w:rPr>
          <w:rFonts w:ascii="Times New Roman" w:hAnsi="Times New Roman"/>
          <w:sz w:val="20"/>
        </w:rPr>
      </w:pPr>
      <w:r>
        <w:rPr>
          <w:rFonts w:ascii="Times New Roman" w:hAnsi="Times New Roman"/>
          <w:sz w:val="20"/>
        </w:rPr>
        <w:t xml:space="preserve">KRSA-028 was designed to have the stability, viscosity, and solubility to specifically enable its delivery subcutaneously, thereby providing convenience for patients and reducing burdens on the healthcare system. Korsana believes KRSA-028 should be compatible for development as a drug-device combination product using a marketed autoinjector.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comparisons of the projected pharmacokinetics of KRSA-028 and that of trontinemab from clinical trials suggest that the exposure of a monthly 250 mg intravenous dose of trontinemab could be matched by a monthly subcutaneous dose of approximately 150 mg of KRSA-028. </w:t>
      </w:r>
    </w:p>
    <w:p>
      <w:pPr>
        <w:pStyle w:val="TextBody"/>
        <w:bidi w:val="0"/>
        <w:spacing w:before="0" w:after="0"/>
        <w:jc w:val="left"/>
        <w:rPr/>
      </w:pPr>
      <w:r>
        <w:rPr/>
        <w:t> </w:t>
      </w:r>
    </w:p>
    <w:p>
      <w:pPr>
        <w:pStyle w:val="TextBody"/>
        <w:bidi w:val="0"/>
        <w:spacing w:before="0" w:after="0"/>
        <w:jc w:val="center"/>
        <w:rPr/>
      </w:pPr>
      <w:r>
        <w:rPr/>
        <w:drawing>
          <wp:inline distT="0" distB="0" distL="0" distR="0">
            <wp:extent cx="3608705" cy="27374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08705" cy="27374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13. Exposure levels of 150 mg KRSA-028 delivered subcutaneously are projected to be equivalent to an intravenous doses of 250 mg trontinemab</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Competitive positioning of KRSA-028 </w:t>
      </w:r>
    </w:p>
    <w:p>
      <w:pPr>
        <w:pStyle w:val="TextBody"/>
        <w:bidi w:val="0"/>
        <w:spacing w:before="120" w:after="0"/>
        <w:jc w:val="left"/>
        <w:rPr>
          <w:rFonts w:ascii="Times New Roman" w:hAnsi="Times New Roman"/>
          <w:sz w:val="20"/>
        </w:rPr>
      </w:pPr>
      <w:r>
        <w:rPr>
          <w:rFonts w:ascii="Times New Roman" w:hAnsi="Times New Roman"/>
          <w:sz w:val="20"/>
        </w:rPr>
        <w:t>Korsana believes that KRSA-028’s combination of key features – TfR-mediated delivery across the blood-brain subcutaneous delivery – provides the potential to deliver meaningful clinical activity. Although KRSA-028 has yet to enter clinical development, Korsana believes that its preclinical profile offers the potential to have a number of competitive advantages over approved anti-A</w:t>
      </w:r>
      <w:r>
        <w:rPr>
          <w:rFonts w:ascii="SYMBOL" w:hAnsi="SYMBOL"/>
          <w:sz w:val="20"/>
        </w:rPr>
        <w:t>b</w:t>
      </w:r>
      <w:r>
        <w:rPr>
          <w:rFonts w:ascii="Times New Roman" w:hAnsi="Times New Roman"/>
          <w:sz w:val="20"/>
        </w:rPr>
        <w:t xml:space="preserve"> therapeutics and those in late-stage clinical development, including the potential to reduce ARIA risk, avoid anemia, and provide a differentiated subcutaneous administration profile.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of KRSA-028 </w:t>
      </w:r>
    </w:p>
    <w:p>
      <w:pPr>
        <w:pStyle w:val="TextBody"/>
        <w:bidi w:val="0"/>
        <w:spacing w:before="120" w:after="0"/>
        <w:jc w:val="left"/>
        <w:rPr>
          <w:rFonts w:ascii="Times New Roman" w:hAnsi="Times New Roman"/>
          <w:sz w:val="20"/>
        </w:rPr>
      </w:pPr>
      <w:r>
        <w:rPr>
          <w:rFonts w:ascii="Times New Roman" w:hAnsi="Times New Roman"/>
          <w:sz w:val="20"/>
        </w:rPr>
        <w:t>Approvals of other anti-A</w:t>
      </w:r>
      <w:r>
        <w:rPr>
          <w:rFonts w:ascii="SYMBOL" w:hAnsi="SYMBOL"/>
          <w:sz w:val="20"/>
        </w:rPr>
        <w:t>b</w:t>
      </w:r>
      <w:r>
        <w:rPr>
          <w:rFonts w:ascii="Times New Roman" w:hAnsi="Times New Roman"/>
          <w:sz w:val="20"/>
        </w:rPr>
        <w:t xml:space="preserve"> antibody therapeutics have, Korsana believes, provided a clear path for clinical development and established precedents for regulatory approval. Critical elements for the development of AD therapies are the availability of quantitative assessments of both amyloid levels in the brain and of clinical disease severity. A clear correlation between amyloid levels and disease severity has established that amyloid depletion can serve as an early biomarker for clinical activity. </w:t>
      </w:r>
    </w:p>
    <w:p>
      <w:pPr>
        <w:pStyle w:val="TextBody"/>
        <w:bidi w:val="0"/>
        <w:spacing w:before="240" w:after="0"/>
        <w:jc w:val="left"/>
        <w:rPr>
          <w:rFonts w:ascii="Times New Roman" w:hAnsi="Times New Roman"/>
          <w:sz w:val="20"/>
        </w:rPr>
      </w:pPr>
      <w:r>
        <w:rPr>
          <w:rFonts w:ascii="Times New Roman" w:hAnsi="Times New Roman"/>
          <w:sz w:val="20"/>
        </w:rPr>
        <w:t xml:space="preserve">Amyloid levels in the brain can be measured non-invasively using radiopharmaceuticals that specifically bind to amyloid and can be detected by positron emission tomography (“PET”). Although this technology has been available for over twenty years, it is only in the last decade or so that improved imaging agents such as florbetapir F18, marketed as Amyvid® by Eli Lilly; flutemetamol F18, marketed as Vizamyl® by GE Healthcare; and florbetaben F18, marketed as Neuraceq® by Lantheus, became widely used. </w:t>
      </w:r>
    </w:p>
    <w:p>
      <w:pPr>
        <w:pStyle w:val="TextBody"/>
        <w:bidi w:val="0"/>
        <w:spacing w:before="240" w:after="0"/>
        <w:jc w:val="left"/>
        <w:rPr>
          <w:rFonts w:ascii="Times New Roman" w:hAnsi="Times New Roman"/>
          <w:sz w:val="20"/>
        </w:rPr>
      </w:pPr>
      <w:r>
        <w:rPr>
          <w:rFonts w:ascii="Times New Roman" w:hAnsi="Times New Roman"/>
          <w:sz w:val="20"/>
        </w:rPr>
        <w:t>Plaque density is often reported in Centiloids (“CL”), a standardized, 100-point scale designed to quantify A</w:t>
      </w:r>
      <w:r>
        <w:rPr>
          <w:rFonts w:ascii="SYMBOL" w:hAnsi="SYMBOL"/>
          <w:sz w:val="20"/>
        </w:rPr>
        <w:t>b</w:t>
      </w:r>
      <w:r>
        <w:rPr>
          <w:rFonts w:ascii="Times New Roman" w:hAnsi="Times New Roman"/>
          <w:sz w:val="20"/>
        </w:rPr>
        <w:t xml:space="preserve"> plaque density in AD PET scans, anchoring a value of 0 CL as amyloid-negative and 100 CL as typical AD. It harmonizes data across different PET tracers, scanners, and analysis pipelines to ensure comparable, actionable results. The adoption of this standard within the field has enabled comparisons of data obtained across multiple sites as well as longitudinally collected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efficacy is often measured by the Clinical Dementia Rating Sum of Boxes (“CDR-SB”), an 18-point validated tool measuring both cognitive and functional impairment in AD. It sums scores from six domains: memory, orientation, judgment, community affairs, home/hobbies, and personal care. CDR-SB is accepted as a sensitive, standard outcome measure in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After Korsana completes GLP toxicity studies, it plans to submit a CTN in Australia or a CTA in New Zealand by the end of 2026 and an IND in the United States in the first quarter of 2027. Korsana has initiated interactions with the FDA regarding its clinical development plans for KRSA-028 and is in the process of collecting and analyzing FDA responses. Pending regulatory approval, the first-in-human (“FIH”), Phase 1/2 clinical trial is designed as an integrated SAD/MAD study in healthy adult participants and AD patients, respectively. The SAD portion of the study in healthy participants is expected to provide valuable data on safety, tolerability, pharmacokinetics, and CSF exposure by mid-year 2027. </w:t>
      </w:r>
    </w:p>
    <w:p>
      <w:pPr>
        <w:pStyle w:val="TextBody"/>
        <w:bidi w:val="0"/>
        <w:spacing w:before="240" w:after="0"/>
        <w:jc w:val="left"/>
        <w:rPr>
          <w:rFonts w:ascii="Times New Roman" w:hAnsi="Times New Roman"/>
          <w:sz w:val="20"/>
        </w:rPr>
      </w:pPr>
      <w:r>
        <w:rPr>
          <w:rFonts w:ascii="Times New Roman" w:hAnsi="Times New Roman"/>
          <w:sz w:val="20"/>
        </w:rPr>
        <w:t>The reduction in A</w:t>
      </w:r>
      <w:r>
        <w:rPr>
          <w:rFonts w:ascii="SYMBOL" w:hAnsi="SYMBOL"/>
          <w:sz w:val="20"/>
        </w:rPr>
        <w:t>b</w:t>
      </w:r>
      <w:r>
        <w:rPr>
          <w:rFonts w:ascii="Times New Roman" w:hAnsi="Times New Roman"/>
          <w:sz w:val="20"/>
        </w:rPr>
        <w:t xml:space="preserve"> levels observed in AD patients treated with other potent anti-A</w:t>
      </w:r>
      <w:r>
        <w:rPr>
          <w:rFonts w:ascii="SYMBOL" w:hAnsi="SYMBOL"/>
          <w:sz w:val="20"/>
        </w:rPr>
        <w:t>b</w:t>
      </w:r>
      <w:r>
        <w:rPr>
          <w:rFonts w:ascii="Times New Roman" w:hAnsi="Times New Roman"/>
          <w:sz w:val="20"/>
        </w:rPr>
        <w:t xml:space="preserve"> antibodies, such as trontinemab, is both rapid and highly reproducible across patients. In a Phase 1/2 trial, trontinemab led to a dose-dependent reduction in centiloids that exceeded a 70-point change by day 50, an effect that was clearly distinguished from controls. Approximately a dozen patients were included in the treatment arm. Korsana believes that interim clinical proof-of-concept data for KRSA-028 can be obtained in the MAD portion of the FIH Phase 1/2 trial in AD patients between year-end 2027 and the first quarter of 2028. </w:t>
      </w:r>
    </w:p>
    <w:p>
      <w:pPr>
        <w:pStyle w:val="TextBody"/>
        <w:bidi w:val="0"/>
        <w:spacing w:before="240" w:after="0"/>
        <w:jc w:val="left"/>
        <w:rPr>
          <w:rFonts w:ascii="Times New Roman" w:hAnsi="Times New Roman"/>
          <w:sz w:val="20"/>
        </w:rPr>
      </w:pPr>
      <w:r>
        <w:rPr>
          <w:rFonts w:ascii="Times New Roman" w:hAnsi="Times New Roman"/>
          <w:sz w:val="20"/>
        </w:rPr>
        <w:t>Korsana believes that completion of its dose-ranging clinical trial in 2028 will provide the necessary pharmacologic and anti-A</w:t>
      </w:r>
      <w:r>
        <w:rPr>
          <w:rFonts w:ascii="SYMBOL" w:hAnsi="SYMBOL"/>
          <w:sz w:val="20"/>
        </w:rPr>
        <w:t>b</w:t>
      </w:r>
      <w:r>
        <w:rPr>
          <w:rFonts w:ascii="Times New Roman" w:hAnsi="Times New Roman"/>
          <w:sz w:val="20"/>
        </w:rPr>
        <w:t xml:space="preserve"> activity to enable a Phase 3 pivotal trial of KRSA-028. Korsana also believes that the properties of KRSA-028, such as its potential dosing convenience, low rate of ARIA, and avoidance of reticulocyte destruction, are well-aligned with its potential use to treat patients with presymptomatic AD. Support for this comes from a previous analysis conducted by Eli Lilly that demonstrated that the ability of donanemab to slow cognitive decline was more pronounced in patients with earlier stages of AD. Extrapolation of these findings by researchers at Eli Lilly suggested that treatment of patients with presymptomatic AD may delay or even stop disease progression. </w:t>
      </w:r>
    </w:p>
    <w:p>
      <w:pPr>
        <w:pStyle w:val="TextBody"/>
        <w:bidi w:val="0"/>
        <w:spacing w:before="360" w:after="0"/>
        <w:jc w:val="left"/>
        <w:rPr>
          <w:rFonts w:ascii="Times New Roman" w:hAnsi="Times New Roman"/>
          <w:b/>
          <w:sz w:val="20"/>
        </w:rPr>
      </w:pPr>
      <w:r>
        <w:rPr>
          <w:rFonts w:ascii="Times New Roman" w:hAnsi="Times New Roman"/>
          <w:b/>
          <w:sz w:val="20"/>
        </w:rPr>
        <w:t xml:space="preserve">Preclinical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develop additional product candidates that incorporate the TfR shuttle and accompanying engineered Fc domain, which together are referred to as the THETA platform. Korsana anticipates disclosing details of its next program either in late 2026 or in 2027.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Team, Investors, and Paragon Collaboration </w:t>
      </w:r>
    </w:p>
    <w:p>
      <w:pPr>
        <w:pStyle w:val="TextBody"/>
        <w:bidi w:val="0"/>
        <w:spacing w:before="12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an antibody discovery engine founded by Fairmount Funds Management LLC (“Fairmount”) and led by industry veterans with extensive experience in drug discovery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Korsana is led by an experienced management team. Korsana’s President and CEO, Jonathan Violin, Ph.D., who also serves as a Director of the Company, brings deep experience in company building, business strategy, and product development. Dr. Violin previously served as interim CEO of Crescent Biopharma and the President and CEO of Viridian Therapeutics, which he also co-founded. He previously served as founding CEO of Dianthus Therapeutics and co-founder and CEO of Quellis Bioscience. </w:t>
      </w:r>
    </w:p>
    <w:p>
      <w:pPr>
        <w:pStyle w:val="TextBody"/>
        <w:bidi w:val="0"/>
        <w:spacing w:before="240" w:after="0"/>
        <w:jc w:val="left"/>
        <w:rPr>
          <w:rFonts w:ascii="Times New Roman" w:hAnsi="Times New Roman"/>
          <w:sz w:val="20"/>
        </w:rPr>
      </w:pPr>
      <w:r>
        <w:rPr>
          <w:rFonts w:ascii="Times New Roman" w:hAnsi="Times New Roman"/>
          <w:sz w:val="20"/>
        </w:rPr>
        <w:t xml:space="preserve">Mark Vignola, Ph.D., Korsana’s Chief Financial Officer, has over 15 years of experience as a strategic financial leader to biotech companies and a strong track record of advancing companies through major inflection points. He most recently served as the Chief Financial Officer of Terns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Kyle Breidenstine, Korsana’s Senior Vice President, Finance and Treasurer, has nearly twenty years of experience in strategic finance, accounting, and operations. He most recently served as Vice President, Finance at PepGen.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Madelyn Zeylikman, Korsana’s General Counsel, has over twenty years of legal experience in the life sciences industry. She most recently served as General Counsel at Kiniksa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Korsana completed financings totaling $175 million in its Series Seed and Series A financing from a syndicate of healthcare investors led by Fairmount, Venrock Healthcare Capital Partners, Wellington Management and TCGX, with participation by J.P. Morgan Life Sciences Private Capital, Janus Henderson Investors, Sanofi Ventures, Foresite Capital, and others. Additionally, Korsana has secured financing commitments that, upon closing of the Korsana Pre-Closing Financing, are expected to result in total gross proceeds of $380 million from a syndicate of healthcare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Korsana Common Stock and Korsana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Paragon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research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Other key terms of the Paragon License Agreement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WuXi Biologics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2024, Korsana entered into a biologics master services agreement (the “WuXi Biologics MSA”) with WuXi Biologics (Hong Kong) Limited (“WuXi Biologics (Hong Kong)”). The WuXi Biologics MSA governs certain development activities and good manufacturing practice (“GMP”) manufacturing and testing for the KRSA-028 program, as well as potential future programs, on a work order basis. Under the WuXi Biologics MSA, Korsana is obligated to pay WuXi Biologics (Hong Kong) a service fee and all non-cancellable obligations in the amount specified in each work order associated with the agreement for the provision of services. WuXi Biologics (Hong Kong) is obligated to, among other things, (i) perform manufacturing services in accordance with applicable standards and law using personnel with appropriate qualifications, and to manufacture product in accordance with cGMP, (ii) comply with confidentiality and invention assignment provisions, (iii) notify Korsana of regulatory visits or inspections and provide redacted copies of any report or written communication received from such authorities in connection therewith and (iv) assign to Korsana all right, title and interest in and to all intellectual property created or developed in connection with the provision of the services, and all intellectual property relating to such inventions,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MSA terminates on the later of (i) December 12, 2029 or (ii) the completion of services under all work orders executed by the parties prior to December 12, 2029, unless terminated earlier; provided that Korsana may extend the term continuously for additional two-year periods upon written notice to WuXi Biologics (Hong Kong) at least thirty (30) days prior to the expiration of the then-current term. The term of each work order terminates upon completion of the services under such work order, unless terminated earlier. Korsana can terminate the WuXi Biologics MSA or any work order (i) at any time upon 30 days’ prior written notice, or (ii) immediately upon written notice if WuXi Biologics (Hong Kong) fails to obtain or maintain required material governmental licenses or approvals. Either party may terminate a work order (i) at any time upon six months’ prior notice with reasonable cause, provided however that if WuXi Biologics (Hong Kong) terminates a work order in such manner, no termination or cancellation fees shall be paid by Korsana and (ii) immediately for cause upon (a) the other party’s material breach that remains uncured for 30 days after notice of such breach, (b) the other party’s bankruptcy, or (c) a force majeure event that prevents performance for a period of at least 90 days.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various work orders pursuant to the WuXi Biologics MSA for ongoing manufacturing work related to KRSA-028. </w:t>
      </w:r>
    </w:p>
    <w:p>
      <w:pPr>
        <w:pStyle w:val="TextBody"/>
        <w:bidi w:val="0"/>
        <w:spacing w:before="360" w:after="0"/>
        <w:jc w:val="left"/>
        <w:rPr>
          <w:rFonts w:ascii="Times New Roman" w:hAnsi="Times New Roman"/>
          <w:b/>
          <w:sz w:val="20"/>
        </w:rPr>
      </w:pPr>
      <w:r>
        <w:rPr>
          <w:rFonts w:ascii="Times New Roman" w:hAnsi="Times New Roman"/>
          <w:b/>
          <w:sz w:val="20"/>
        </w:rPr>
        <w:t xml:space="preserve">WuXi Cell Line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 2024, Korsana entered into a cell line license agreement (the “Cell Line License Agreement”) with WuXi Biologics Ireland Limited (“WuXi Biologics Ireland”). Under the Cell Line License Agreement, Korsana received a non-exclusive, worldwide, sublicensable license to certain of WuXi Biologics Ireland’s know-how, cell line, biological materials and media and feeds to make, have made, use, sell, have sold, offer for sale, import, keep and otherwise deal in and further commercialize certain therapeutic products produced through the use of the cell line licensed by WuXi Biologics Ireland under the Cell Line License Agreement (the “WuXi Biologics Ireland Licensed Products”). KRSA-028 is manufactured using a cell line licensed under the Cell Line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Korsana incurred a non-refundable license fee of $0.15 million. Additionally, if Korsana manufactures all of its commercial supplies of bulk drug product for a particular WuXi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Biologics Ireland Licensed Product with a manufacturer other than WuXi Biologics Ireland or its affiliates, it is required to make royalty payments to WuXi Biologics Ireland in an amount equal to a fraction of a single digit percentage of global net sales of the applicable WuXi Biologics Ireland Licensed Product manufactured by a third-party manufacturer (the “Royalty”). If Korsana manufactures part of its commercial supplies of bulk drug product for a particular WuXi Biologics Ireland Licensed Product with WuXi Biologics Ireland or its affiliates, then the Royalty will be reduced accordingly on a pro rata basis. If Korsana manufactures all of its commercial supplies of bulk drug product for a particular WuXi Biologics Ireland Licensed Product with WuXi Biologics Ireland or its affiliates, then no Royalty is payable. Korsana has the option, at any time, to pay WuXi Biologics Ireland a non-refundable lump-sum royalty buyout payment on a drug product-by-drug product basis to extinguish future Royalty obligations with respect to such drug product. </w:t>
      </w:r>
    </w:p>
    <w:p>
      <w:pPr>
        <w:pStyle w:val="TextBody"/>
        <w:bidi w:val="0"/>
        <w:spacing w:before="240" w:after="0"/>
        <w:jc w:val="left"/>
        <w:rPr>
          <w:rFonts w:ascii="Times New Roman" w:hAnsi="Times New Roman"/>
          <w:sz w:val="20"/>
        </w:rPr>
      </w:pPr>
      <w:r>
        <w:rPr>
          <w:rFonts w:ascii="Times New Roman" w:hAnsi="Times New Roman"/>
          <w:sz w:val="20"/>
        </w:rPr>
        <w:t xml:space="preserve">The Cell Line License Agreement will continue indefinitely unless terminated (i) by Korsana upon six months’ prior written notice and its payment of all undisputed amounts due to WuXi Biologics Ireland through the effective date of termination, (ii) by WuXi Biologics Ireland for a material breach by Korsana that remains uncured for 60 days after written notice, (iii) by WuXi Biologics Ireland if Korsana fails to make a payment and such failure continues for 30 days after receiving notice of such failure, or (iv) by either party upon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Korsana entered into Amendment No. 1 to the Cell Line License Agreement with WuXi Biologics Ireland. The amendment expands the scope of the Cell Line License Agreement to include certain additional proprietary cell lines developed by WuXi Biologics Ireland through genetic engineering of the original host cell line. The amendment updates the license grant in the Cell Line License Agreement to encompass cell lines derived from the original host cell line or such engineered cell lines. The license fee applies regardless of which licensed cell line is used. All other terms of the Cell Line License Agreement remain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Korsana strives to protect the proprietary programs and technologies that it believes are important to its business, including seeking and maintaining patent protection intended to cover the composition of matter of its programs, its methods of use and manufacture, and other inventions. 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w:t>
      </w:r>
    </w:p>
    <w:p>
      <w:pPr>
        <w:pStyle w:val="TextBody"/>
        <w:bidi w:val="0"/>
        <w:spacing w:before="240" w:after="0"/>
        <w:jc w:val="left"/>
        <w:rPr>
          <w:rFonts w:ascii="Times New Roman" w:hAnsi="Times New Roman"/>
          <w:sz w:val="20"/>
        </w:rPr>
      </w:pPr>
      <w:r>
        <w:rPr>
          <w:rFonts w:ascii="Times New Roman" w:hAnsi="Times New Roman"/>
          <w:sz w:val="20"/>
        </w:rPr>
        <w:t>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Korsana controls patent prosecution for patents exclusively licensed under the Paragon License Agreement, including those covering the entirety of KRSA-028, and Paragon controls patent prosecution for patents non-exclusively licensed from Paragon pursuant to the Paragon License Agreement, including those specific to the THETA technology. </w:t>
      </w:r>
    </w:p>
    <w:p>
      <w:pPr>
        <w:pStyle w:val="TextBody"/>
        <w:bidi w:val="0"/>
        <w:spacing w:before="240" w:after="0"/>
        <w:jc w:val="left"/>
        <w:rPr>
          <w:rFonts w:ascii="Times New Roman" w:hAnsi="Times New Roman"/>
          <w:sz w:val="20"/>
        </w:rPr>
      </w:pPr>
      <w:r>
        <w:rPr>
          <w:rFonts w:ascii="Times New Roman" w:hAnsi="Times New Roman"/>
          <w:sz w:val="20"/>
        </w:rPr>
        <w:t xml:space="preserve">A provisional patent application is an application filed in the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 is filed, either a corresponding non-provisional patent application or a petition to convert the provisional patent application into a non-provisional patent application must be filed within 12 months or such effective filing date will be lost.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or Paragon timely file non-provisional patent applications in the United States and in countries outside of the United States with regard to KRSA-028 provisional patent applications and these non-provisional patent applications result in issued patents, such patents are expected to expire in 2046, without taking potential patent term adjustment or patent term extension into consideration. If Paragon timely files non-provisional patent applications in the United States and in countries outside of the United States with regard to the THETA technology-related provisional patent applications and these non-provisional patent applications result in issued patents, such patents are expected to expire in 2046, without taking potential patent term adjustment or patent term extension into consideration.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risks related to Korsana’s intellectual property, see the section titled “</w:t>
      </w:r>
      <w:r>
        <w:rPr>
          <w:rFonts w:ascii="Times New Roman" w:hAnsi="Times New Roman"/>
          <w:i/>
          <w:sz w:val="20"/>
        </w:rPr>
        <w:t>Risk Factors</w:t>
      </w:r>
      <w:r>
        <w:rPr>
          <w:rFonts w:ascii="Times New Roman" w:hAnsi="Times New Roman"/>
          <w:sz w:val="20"/>
        </w:rPr>
        <w:t> — </w:t>
      </w:r>
      <w:r>
        <w:rPr>
          <w:rFonts w:ascii="Times New Roman" w:hAnsi="Times New Roman"/>
          <w:i/>
          <w:sz w:val="20"/>
        </w:rPr>
        <w:t>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IP Rights </w:t>
      </w:r>
    </w:p>
    <w:p>
      <w:pPr>
        <w:pStyle w:val="TextBody"/>
        <w:bidi w:val="0"/>
        <w:spacing w:before="120" w:after="0"/>
        <w:jc w:val="left"/>
        <w:rPr>
          <w:rFonts w:ascii="Times New Roman" w:hAnsi="Times New Roman"/>
          <w:sz w:val="20"/>
        </w:rPr>
      </w:pPr>
      <w:r>
        <w:rPr>
          <w:rFonts w:ascii="Times New Roman" w:hAnsi="Times New Roman"/>
          <w:sz w:val="20"/>
        </w:rPr>
        <w:t>In addition to patents, Korsana relies upon unpatented trade secrets, know-how and continuing technological innovation to develop and maintain its competitive position. However, trade secrets and know-how can be difficult to protect. Korsana seeks to protect its proprietary information, in part by executing confidentiality agreements with its collaborators and scientific advisors, and non-competition, non-solicitation, confidentiality and invention assignment agreements with its employees and consultants. Korsana has also executed agreements requiring assignment of inventions with selected scientific advisors and collaborators. The confidentiality agreements Korsana enters into are designed to protect its proprietary information and the agreements or clauses requiring assignment of inventions to it are designed to grant it ownership of technologies that are developed through its relationship with the respective counterparty. Korsana cannot guarantee, however, that it has executed such agreements with all applicable counterparties, that such agreements will not be breached, or that these agreements will afford it adequate protection of its intellectual property and proprietary rights. For more information, please see the section titled “</w:t>
      </w:r>
      <w:r>
        <w:rPr>
          <w:rFonts w:ascii="Times New Roman" w:hAnsi="Times New Roman"/>
          <w:i/>
          <w:sz w:val="20"/>
        </w:rPr>
        <w:t>Risk Factors—Risks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Korsana’s product candidates be approved for commercialization, Korsana intends to develop a plan to commercialize them in the United States and other key markets, through internal infrastructure and/or external partnerships in a manner that will enable Korsana to realize the full commercial value of its programs. Given Korsana’s stage of development, it has not yet established a commercial organization or distribution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own or operate, and currently has no plans to establish, any manufacturing facilities. All of its preclinical and clinical drug supply development, manufacturing, storage, distribution, and testing are outsourced to third-party manufacturers and facilities. Korsana’s manufacturing strategy enables it to more efficiently direct financial resources to the research, development, and commercialization of programs rather than diverting resources to internally develop and maintain manufacturing facilities. As Korsana’s programs advance through development, it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face intense competition from other biopharmaceutical companies that are developing agents for the treatment of neurodegenerative diseases, including Alzheimer’s disease. Korsana believes the key competitive factors affecting the success of its product candidates, if approved, will include efficacy, safety profile, method of administration (including the potential for subcutaneous self-injection versus intravenous infusion), blood-brain barrier penetration, cost of treatment, level of promotional activity, and intellectual property protection. Many of Korsana’s competitors have significantly greater financial, manufacturing, marketing, sales, distribution and technical resources and more experience in research and development, clinical trials, regulatory matters, and commercialization than Korsana does. These competitors also compete with Korsana in recruiting and retaining qualified scientific and management personnel and in establishing clinical trial sites and patient registration for clinical trials, as well as in acquiring technologies complementary to, or necessary for, Korsana’s programs. </w:t>
      </w:r>
    </w:p>
    <w:p>
      <w:pPr>
        <w:pStyle w:val="TextBody"/>
        <w:bidi w:val="0"/>
        <w:spacing w:before="240" w:after="0"/>
        <w:jc w:val="left"/>
        <w:rPr>
          <w:rFonts w:ascii="Times New Roman" w:hAnsi="Times New Roman"/>
          <w:sz w:val="20"/>
        </w:rPr>
      </w:pPr>
      <w:r>
        <w:rPr>
          <w:rFonts w:ascii="Times New Roman" w:hAnsi="Times New Roman"/>
          <w:sz w:val="20"/>
        </w:rPr>
        <w:t xml:space="preserve">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w:t>
      </w:r>
    </w:p>
    <w:p>
      <w:pPr>
        <w:pStyle w:val="TextBody"/>
        <w:bidi w:val="0"/>
        <w:spacing w:before="240" w:after="0"/>
        <w:jc w:val="left"/>
        <w:rPr>
          <w:rFonts w:ascii="Times New Roman" w:hAnsi="Times New Roman"/>
          <w:sz w:val="20"/>
        </w:rPr>
      </w:pPr>
      <w:r>
        <w:rPr>
          <w:rFonts w:ascii="Times New Roman" w:hAnsi="Times New Roman"/>
          <w:sz w:val="20"/>
        </w:rPr>
        <w:t xml:space="preserve">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w:t>
      </w:r>
    </w:p>
    <w:p>
      <w:pPr>
        <w:pStyle w:val="TextBody"/>
        <w:bidi w:val="0"/>
        <w:spacing w:before="240" w:after="0"/>
        <w:jc w:val="left"/>
        <w:rPr>
          <w:rFonts w:ascii="Times New Roman" w:hAnsi="Times New Roman"/>
          <w:sz w:val="20"/>
        </w:rPr>
      </w:pPr>
      <w:r>
        <w:rPr>
          <w:rFonts w:ascii="Times New Roman" w:hAnsi="Times New Roman"/>
          <w:sz w:val="20"/>
        </w:rPr>
        <w:t xml:space="preserve">Beyond Korsana’s Alzheimer’s disease program, Korsana is advancing a pipeline of THETA-enabled therapies for other undisclosed neurodegenerative diseases with high unmet need. Korsana expects to face competition from companies developing disease-modifying therapies across a range of neurodegenerative indications, many of which have substantially greater resources and experience than Korsana does.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Korsana is developing. Korsana, along with its third-party contractors, will be required to navigate the various preclinical, clinical and commercial approval requirements of the governing regulatory agencies of the countries in which Korsana wishes to conduct studies or seek approval or licensure of its product candidates. Generally, before a new therapeutic product can be marketed, considerable data demonstrating a biological product candidate’s quality, safety, purity and potency,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Korsana’s company and its products or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the FDA’s current Good Laboratory Practices (“GLP”)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is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current Good Manufacturing Practices (“cGMPs”);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(“GCP”) requirements to establish the safety, purity and potency of the proposed biologic product candidate for its intended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all pivotal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particular indications for use in the United States.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any clinical trial with a product candidate in the United States, Korsana must submit an IND to the FDA. An IND is a request for authorization from the FDA to administer an investigational new drug product to humans. The central focus of an IND submission is on the general investigational plan and the protocol or protocols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(“NAMs”).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w:t>
      </w:r>
    </w:p>
    <w:p>
      <w:pPr>
        <w:pStyle w:val="TextBody"/>
        <w:bidi w:val="0"/>
        <w:spacing w:before="240" w:after="0"/>
        <w:jc w:val="left"/>
        <w:rPr>
          <w:rFonts w:ascii="Times New Roman" w:hAnsi="Times New Roman"/>
          <w:sz w:val="20"/>
        </w:rPr>
      </w:pPr>
      <w:r>
        <w:rPr>
          <w:rFonts w:ascii="Times New Roman" w:hAnsi="Times New Roman"/>
          <w:sz w:val="20"/>
        </w:rPr>
        <w:t xml:space="preserve">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 except that the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Combination Products </w:t>
      </w:r>
    </w:p>
    <w:p>
      <w:pPr>
        <w:pStyle w:val="TextBody"/>
        <w:bidi w:val="0"/>
        <w:spacing w:before="120" w:after="0"/>
        <w:jc w:val="left"/>
        <w:rPr>
          <w:rFonts w:ascii="Times New Roman" w:hAnsi="Times New Roman"/>
          <w:sz w:val="20"/>
        </w:rPr>
      </w:pPr>
      <w:r>
        <w:rPr>
          <w:rFonts w:ascii="Times New Roman" w:hAnsi="Times New Roman"/>
          <w:sz w:val="20"/>
        </w:rPr>
        <w:t xml:space="preserve">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with both device and drug/biologic components are subject to cGMP requirements applicable to both drugs and devices, including the Quality Management System Regulation applicable to medical devices.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Korsana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Korsana and its third-party manufacturers.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FDA regulations also require investigation and correction of any deviations from cGMPs and impose reporting requirements upon Korsana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Korsana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 is granted twelve years of exclusivity from the time of first licensure of the reference product. The first biologic product submitted under the abbreviated approval pathway that is determined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Korsana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Korsana’s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additional similar U.S. state and foreign law equivalents of each of the above federal laws, which, in some cases, differ from each other in significant ways, and may not have the same effect, thus complicating compliance efforts. If Korsana’s operations are found to be in violation of any of such laws or any other governmental regulations that apply, Korsana may be subject to penalties, including, without limitation, civil, criminal and administrative penalties, damages, fines, exclusion from government-funded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Korsana’s operations or the operations of its partners.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HIPAA, as amended by the Health Information Technology for Economic and Clinical Health (“HITECH”), and their respective implementing regulations impose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Korsana submits electronic healthcare claims and payment transactions that do not comply with the electronic data transmission standards established under HIPAA and HITECH, payments to Korsana may be delayed or denied.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such as the California Consumer Privacy Act of 2018 (“CCPA”), as amended by the California Privacy Rights Act of 2020, govern the privacy and security of personal information,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Korsana and the third parties upon whom Korsana relies.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Korsana’s use of artificial intelligence and machine learning may be subject to laws and evolving regulations regarding the use of artificial intelligence and machine learning, controlling for data bias, and antidiscrimination.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Korsana’s ability to successfully commercialize its product candidates, if approved,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candidate for which Korsana obtains regulatory approval. Sales of any approved product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Korsana’s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Korsana to provide scientific and clinical support for the use of its product candidates to each payor separately, with no assurance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Korsana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Korsana’s product candidates. Historically, products launched in the EU do not follow price structures of the U.S. and generally prices tend to be significantly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 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Korsana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the HHS and other agencies to communicate most-favored-nation price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(“GDP”) per capita of at least 60% of the U.S. GDP per capital.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Korsana’s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IRA, continued legislative and enforcement interest exists in the United States with respect to specialty drug pricing practices. Specifically, Korsana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Korsana’s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Korsana’s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Korsana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Korsana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Laws </w:t>
      </w:r>
    </w:p>
    <w:p>
      <w:pPr>
        <w:pStyle w:val="TextBody"/>
        <w:bidi w:val="0"/>
        <w:spacing w:before="120" w:after="0"/>
        <w:jc w:val="left"/>
        <w:rPr>
          <w:rFonts w:ascii="Times New Roman" w:hAnsi="Times New Roman"/>
          <w:sz w:val="20"/>
        </w:rPr>
      </w:pPr>
      <w:r>
        <w:rPr>
          <w:rFonts w:ascii="Times New Roman" w:hAnsi="Times New Roman"/>
          <w:sz w:val="20"/>
        </w:rPr>
        <w:t xml:space="preserve">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processing of personal data is mainly governed by the GDPR as incorporated into UK law pursuant to the European Union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transfers from the UK to other countries, these transfers are also subject to specific transfer rules under the UK regime. These UK international transfer rules broadly mirror the EU GDPR rules.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UK-US Data Bridge recognizes the United States as offering an adequate level of data protection where the recipient is a U.S. organization certified to the EU-US Data Privacy Framework and participating in the UK Extension to the EU-US Data Privacy Framework.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or UK GDPR and the related national data protection laws of the EEA countries may result in significant monetary fines for noncompliance of up to 20 million or £17.5 million (as applicable), 4% of the total worldwide annual turnover (for higher-tier infringements). This is enforced by ICO and is entirely separate from fines under EU GDPR. In addition, violations of national laws can trigger additional, administrative penalties, investigations, corrective orders, temporary or definitive bans, and, in some jurisdictions, and a number of criminal offenses for organizations and, in certain cases, their directors and officers, as well as civil liability claims from individuals whose personal data was processed. </w:t>
      </w:r>
    </w:p>
    <w:p>
      <w:pPr>
        <w:pStyle w:val="TextBody"/>
        <w:bidi w:val="0"/>
        <w:spacing w:before="240" w:after="0"/>
        <w:jc w:val="left"/>
        <w:rPr>
          <w:rFonts w:ascii="Times New Roman" w:hAnsi="Times New Roman"/>
          <w:sz w:val="20"/>
        </w:rPr>
      </w:pPr>
      <w:r>
        <w:rPr>
          <w:rFonts w:ascii="Times New Roman" w:hAnsi="Times New Roman"/>
          <w:sz w:val="20"/>
        </w:rPr>
        <w:t xml:space="preserve">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Korsana, harm to Korsana’s reputation, and adversely impact its business and operating results. </w:t>
      </w:r>
    </w:p>
    <w:p>
      <w:pPr>
        <w:pStyle w:val="TextBody"/>
        <w:bidi w:val="0"/>
        <w:spacing w:before="360" w:after="0"/>
        <w:jc w:val="left"/>
        <w:rPr>
          <w:rFonts w:ascii="Times New Roman" w:hAnsi="Times New Roman"/>
          <w:i/>
          <w:sz w:val="20"/>
        </w:rPr>
      </w:pPr>
      <w:r>
        <w:rPr>
          <w:rFonts w:ascii="Times New Roman" w:hAnsi="Times New Roman"/>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CTR, a sponsor is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need to comply with the CTR and have to be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the CTR, national laws, regulations, and the applicable GCP and GLP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2023, the MHRA published detailed guidance on its recently announced new International Recognition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 that is issued by the EC following the scientific assessment of the application by the European Medicines Agency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which is not followed by the actual placing of the drug on the EU market (in case of centralized procedure) or on the market of the authorizing member state within three years after authorization ceases to be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UK, the period of three years during which the drug has not been marketed in Great Britain will be restarted from the date of conversion to a Great Britain MA. Following Windsor Framework changes, which became effective January 1, 2025, European Commission Union authorizations are no longer valid in Northern Ireland and centrally authorized products are instead authorized by the MHRA under UK-wide marketing authorizations; existing licenses for product licensed by the MHRA that covers Great Britain only become geographically valid UK-wide while retaining their license number/prefix.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data exclusivity period begins on the date of the product’s first MA in the EU. After eight years, a generic product application may be submitted and generic companies may rely on the MA holder’s data. </w:t>
      </w:r>
    </w:p>
    <w:p>
      <w:pPr>
        <w:pStyle w:val="TextBody"/>
        <w:bidi w:val="0"/>
        <w:spacing w:before="240" w:after="0"/>
        <w:jc w:val="left"/>
        <w:rPr>
          <w:rFonts w:ascii="Times New Roman" w:hAnsi="Times New Roman"/>
          <w:sz w:val="20"/>
        </w:rPr>
      </w:pPr>
      <w:r>
        <w:rPr>
          <w:rFonts w:ascii="Times New Roman" w:hAnsi="Times New Roman"/>
          <w:sz w:val="20"/>
        </w:rPr>
        <w:t xml:space="preserve">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2023, the EC submitted a proposal for the reform of the European pharmaceutical legislation and negotiations are still ongoing. The timing for finalization of these negotiations and entry into force are unclear. </w:t>
      </w:r>
    </w:p>
    <w:p>
      <w:pPr>
        <w:pStyle w:val="TextBody"/>
        <w:bidi w:val="0"/>
        <w:spacing w:before="240" w:after="0"/>
        <w:jc w:val="left"/>
        <w:rPr>
          <w:rFonts w:ascii="Times New Roman" w:hAnsi="Times New Roman"/>
          <w:sz w:val="20"/>
        </w:rPr>
      </w:pPr>
      <w:r>
        <w:rPr>
          <w:rFonts w:ascii="Times New Roman" w:hAnsi="Times New Roman"/>
          <w:sz w:val="20"/>
        </w:rPr>
        <w:t xml:space="preserve">The current drafts envisage: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shortening of the periods of data exclusivity from eight to six years (with transferrable vouchers for an additional year of market protection as an incentive for the development of new antibiotics),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earlier regulatory guidance and extension of market exclusivity for orphan medicines (depending on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four-year data exclusivity for additional indications of existing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governing the availability of products (including shortage prevention plans and some supply obligations for manufacturers).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In the UK, the MHRA has published guidance on the procedures for UK PIPs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intended to encourage drug development in areas of unmet medical need and provides accelerated assessment of products representing substantial innovation reviewed under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Korsana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Korsana’s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w:t>
      </w:r>
    </w:p>
    <w:p>
      <w:pPr>
        <w:pStyle w:val="TextBody"/>
        <w:bidi w:val="0"/>
        <w:spacing w:before="240" w:after="0"/>
        <w:jc w:val="left"/>
        <w:rPr>
          <w:rFonts w:ascii="Times New Roman" w:hAnsi="Times New Roman"/>
          <w:sz w:val="20"/>
        </w:rPr>
      </w:pPr>
      <w:r>
        <w:rPr>
          <w:rFonts w:ascii="Times New Roman" w:hAnsi="Times New Roman"/>
          <w:sz w:val="20"/>
        </w:rPr>
        <w:t xml:space="preserve">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 / declaration of a crisis or emergency mode. The European Parliament has not yet voted on the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Korsana’s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Korsana’s products to the general public and may also impose limitations on its promotional activities with healthcare professionals. </w:t>
      </w:r>
    </w:p>
    <w:p>
      <w:pPr>
        <w:pStyle w:val="TextBody"/>
        <w:bidi w:val="0"/>
        <w:spacing w:before="240" w:after="0"/>
        <w:jc w:val="left"/>
        <w:rPr>
          <w:rFonts w:ascii="Times New Roman" w:hAnsi="Times New Roman"/>
          <w:sz w:val="20"/>
        </w:rPr>
      </w:pPr>
      <w:r>
        <w:rPr>
          <w:rFonts w:ascii="Times New Roman" w:hAnsi="Times New Roman"/>
          <w:sz w:val="20"/>
        </w:rPr>
        <w:t xml:space="preserve">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in the UK and 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 </w:t>
      </w:r>
    </w:p>
    <w:p>
      <w:pPr>
        <w:pStyle w:val="TextBody"/>
        <w:bidi w:val="0"/>
        <w:spacing w:before="240" w:after="0"/>
        <w:jc w:val="left"/>
        <w:rPr>
          <w:rFonts w:ascii="Times New Roman" w:hAnsi="Times New Roman"/>
          <w:sz w:val="20"/>
        </w:rPr>
      </w:pPr>
      <w:r>
        <w:rPr>
          <w:rFonts w:ascii="Times New Roman" w:hAnsi="Times New Roman"/>
          <w:sz w:val="20"/>
        </w:rPr>
        <w:t xml:space="preserve">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Korsana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of Medicinal Products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The Australian Therapeutic Goods Administration (“TGA”) and the National Health and Medical Research Council (“NHMRC”) set the GCP requirements for clinical research in Australia.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although reporting timeframes may differ to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 </w:t>
      </w:r>
    </w:p>
    <w:p>
      <w:pPr>
        <w:pStyle w:val="TextBody"/>
        <w:bidi w:val="0"/>
        <w:spacing w:before="240" w:after="0"/>
        <w:jc w:val="left"/>
        <w:rPr>
          <w:rFonts w:ascii="Times New Roman" w:hAnsi="Times New Roman"/>
          <w:sz w:val="20"/>
        </w:rPr>
      </w:pPr>
      <w:r>
        <w:rPr>
          <w:rFonts w:ascii="Times New Roman" w:hAnsi="Times New Roman"/>
          <w:sz w:val="20"/>
        </w:rPr>
        <w:t xml:space="preserve">The CTN Scheme broadly involves: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an HREC, of all material relating to the proposed clinical trial, including the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HREC reviews the scientific validity of the trial design, the balance of risk versus harm of the therapeutic good, the ethical acceptability of the trial process, and approves the trial protocol. The HREC is also responsible for monitoring the conduct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institution or organization at which the trial will be conducted (the “Approving Authority”) giving final approval for the conduct of the trial at the site, in terms no less restrictive to those advised by the HREC;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investigator submitting a ‘Notification of Intent to Conduct a Clinical Trial’ form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clinical trials in Australia.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CTA Scheme: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sponsor submits an application to conduct a clinical trial to the TGA for evaluation and comment, which includes payment of relevant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TGA will undertake a preliminary assessment to ensure that there is sufficient data to begin evaluation. If critical data is missing, the TGA may request further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sponsor must forward any comments made by the TGA delegate to the HREC(s) at the sites where the trial will be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HREC is responsible for considering the scientific and ethical issues of the proposed trial protocol.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sponsor cannot commence a trial under the CTA Scheme until written advice has been received from the TGA regarding the application and approval for the conduct of the trial has been obtained from an ethics committee and the institution at which the trial will be conducted. </w:t>
      </w:r>
    </w:p>
    <w:p>
      <w:pPr>
        <w:pStyle w:val="TextBody"/>
        <w:bidi w:val="0"/>
        <w:spacing w:before="240" w:after="0"/>
        <w:jc w:val="left"/>
        <w:rPr>
          <w:rFonts w:ascii="Times New Roman" w:hAnsi="Times New Roman"/>
          <w:sz w:val="20"/>
        </w:rPr>
      </w:pPr>
      <w:r>
        <w:rPr>
          <w:rFonts w:ascii="Times New Roman" w:hAnsi="Times New Roman"/>
          <w:sz w:val="20"/>
        </w:rPr>
        <w:t xml:space="preserve">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 </w:t>
      </w:r>
    </w:p>
    <w:p>
      <w:pPr>
        <w:pStyle w:val="TextBody"/>
        <w:bidi w:val="0"/>
        <w:spacing w:before="240" w:after="0"/>
        <w:jc w:val="left"/>
        <w:rPr>
          <w:rFonts w:ascii="Times New Roman" w:hAnsi="Times New Roman"/>
          <w:sz w:val="20"/>
        </w:rPr>
      </w:pPr>
      <w:r>
        <w:rPr>
          <w:rFonts w:ascii="Times New Roman" w:hAnsi="Times New Roman"/>
          <w:sz w:val="20"/>
        </w:rPr>
        <w:t xml:space="preserve">Once a sponsor decides to register a therapeutic good/pharmaceutical product in Australia, in order to obtain registration of the product on the ARTG, it is required that (amongst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appropriate documentation, including the outcomes of clinical trials and studies, to allow the TGA to assess the quality, safety, and efficacy of the therapeutic product/ pharmaceutical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evidence which demonstrates that the manufacture of the therapeutic product/ pharmaceutical product complies with the applicable GMP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TGA has the ultimate discretion to decide whether to include the therapeutic product/ pharmaceutical product in the ARTG.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Medical Products in New Zealand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 New Zealand are regulated under the Medicines Act 1981 (“Medicines Act”) and Medicines Regulations 1984.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Trial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New Zealand Medicines and Medical Devices Safety Authority (“Medsafe”) is the regulatory authority that administers the application and approval process for medicines and clinical trials in New Zealand (under delegation from the Director-General of Health). Approval from Medsafe is required in the following two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all clinical trials involving unapproved medicines carried out in New Zealand; however, if a medicine is already approved by Medsafe for distribution in New Zealand, then there is no separate requirement to obtain approval for clinical trials with that medicine (including if the medicine is being tested for a use not provided for under its existing authorization).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Clinical Trial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 </w:t>
      </w:r>
    </w:p>
    <w:p>
      <w:pPr>
        <w:pStyle w:val="TextBody"/>
        <w:bidi w:val="0"/>
        <w:spacing w:before="240" w:after="0"/>
        <w:jc w:val="left"/>
        <w:rPr>
          <w:rFonts w:ascii="Times New Roman" w:hAnsi="Times New Roman"/>
          <w:sz w:val="20"/>
        </w:rPr>
      </w:pPr>
      <w:r>
        <w:rPr>
          <w:rFonts w:ascii="Times New Roman" w:hAnsi="Times New Roman"/>
          <w:sz w:val="20"/>
        </w:rPr>
        <w:t xml:space="preserve">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 </w:t>
      </w:r>
    </w:p>
    <w:p>
      <w:pPr>
        <w:pStyle w:val="TextBody"/>
        <w:bidi w:val="0"/>
        <w:spacing w:before="240" w:after="0"/>
        <w:jc w:val="left"/>
        <w:rPr>
          <w:rFonts w:ascii="Times New Roman" w:hAnsi="Times New Roman"/>
          <w:sz w:val="20"/>
        </w:rPr>
      </w:pPr>
      <w:r>
        <w:rPr>
          <w:rFonts w:ascii="Times New Roman" w:hAnsi="Times New Roman"/>
          <w:sz w:val="20"/>
        </w:rPr>
        <w:t xml:space="preserve">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 </w:t>
      </w:r>
    </w:p>
    <w:p>
      <w:pPr>
        <w:pStyle w:val="TextBody"/>
        <w:bidi w:val="0"/>
        <w:spacing w:before="360" w:after="0"/>
        <w:jc w:val="left"/>
        <w:rPr>
          <w:rFonts w:ascii="Times New Roman" w:hAnsi="Times New Roman"/>
          <w:i/>
          <w:sz w:val="20"/>
        </w:rPr>
      </w:pPr>
      <w:r>
        <w:rPr>
          <w:rFonts w:ascii="Times New Roman" w:hAnsi="Times New Roman"/>
          <w:i/>
          <w:sz w:val="20"/>
        </w:rPr>
        <w:t xml:space="preserve">Ethical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w:t>
      </w:r>
    </w:p>
    <w:p>
      <w:pPr>
        <w:pStyle w:val="TextBody"/>
        <w:bidi w:val="0"/>
        <w:spacing w:before="120" w:after="0"/>
        <w:jc w:val="left"/>
        <w:rPr>
          <w:rFonts w:ascii="Times New Roman" w:hAnsi="Times New Roman"/>
          <w:sz w:val="20"/>
        </w:rPr>
      </w:pPr>
      <w:r>
        <w:rPr>
          <w:rFonts w:ascii="Times New Roman" w:hAnsi="Times New Roman"/>
          <w:sz w:val="20"/>
        </w:rPr>
        <w:t xml:space="preserve">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 </w:t>
      </w:r>
    </w:p>
    <w:p>
      <w:pPr>
        <w:pStyle w:val="TextBody"/>
        <w:bidi w:val="0"/>
        <w:spacing w:before="360" w:after="0"/>
        <w:jc w:val="left"/>
        <w:rPr>
          <w:rFonts w:ascii="Times New Roman" w:hAnsi="Times New Roman"/>
          <w:i/>
          <w:sz w:val="20"/>
        </w:rPr>
      </w:pPr>
      <w:r>
        <w:rPr>
          <w:rFonts w:ascii="Times New Roman" w:hAnsi="Times New Roman"/>
          <w:i/>
          <w:sz w:val="20"/>
        </w:rPr>
        <w:t xml:space="preserve">Approval for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If a sponsor decides to distribute the new medicine product in New Zealand after the clinical trial, the sponsor must apply for distribution approval. This is separate to the approval process for clinical trials and involves submitting an application to Medsafe for consideration. Medsafe assesses the safety, efficacy, quality, and risk profile of the medicine, and makes a recommendation to the Minister of Health as to whether the medicine should be approved for distribution (in practice, the Minister follows Medsafe’s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Korsana’s business. These and other laws govern Korsana’s use, handling and disposal of various biological, chemical, and radioactive substances used in, and wastes generated by, Korsana’s operations. If Korsana’s operations result in contamination of the environment or expose individuals to hazardous or biohazardous substances, Korsana could be liable for damages, environmental remediation, and/or governmental fines. Korsana believes that it is in material compliance with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laws and occupational health and safety laws that continued compliance therewith will not have a material adverse effect on its business. Korsana cannot predict, however, how changes in these laws may affect its future operations. Korsana may incur significant costs to comply with such laws and regulations now or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Korsana currently operates as a virtual company and does not maintain physical corporate offices. Korsana’s employees currently work remotely. In March 2026, Korsana entered into a lease agreement pursuant to which it will lease approximately 9,164 square feet of office space in Waltham, Massachusetts to serve as Korsana’s corporate headquarters. This lease is expected to commence in the third quarter of 2026 and has a term of four years. Korsana believes this arrangement supports its current and near-term future anticipated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involved in legal proceedings arising in the ordinary course of its business. Korsana is not presently a party to or aware of any legal proceedings that, in the opinion of management, would have, individually or in the aggregate, a material adverse effect on its business, financial condition or results of operations. Regardless of outcome, litigation can have an adverse impact on Korsana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 had 25 employees, all of whom were employed full time. None of Korsana’s employees are represented by a labor union or covered under a collective bargaining agreement. Korsana considers its relationship with its employees to be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11069_30"/>
      <w:bookmarkEnd w:id="32"/>
      <w:r>
        <w:rPr>
          <w:rFonts w:ascii="Times New Roman" w:hAnsi="Times New Roman"/>
          <w:b/>
          <w:sz w:val="20"/>
        </w:rPr>
        <w:t xml:space="preserve">CYCLERION’S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Cyclerion’s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Cyclerion’s current plans, estimates and beliefs. Cyclerion’s historical results are not necessarily indicative of the results that may be expected for any period in the future. Cyclerion’s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 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the Merger Agreement with Korsana, a privately held biotechnology company discovering and developing novel therapies to reduce the burden of neurodegenerative diseases, pursuant to which Korsana will become a wholly owned subsidiary of Cyclerion and Cyclerion will operate under the name Korsana Biosciences, Inc. following the Merger. Cyclerion anticipates that the Merger will close in the third quarter of 2026, subject to certain closing conditions, along with the concurrent Korsana Pre-Closing Financing. Following the Merger, the current business of Korsana will become the primary business of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Effective Time, Cyclerion will enter into the CVR Agreement with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Overview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Research and development expenses are incurred in connection with the discovery and development of our 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w:t>
      </w:r>
    </w:p>
    <w:p>
      <w:pPr>
        <w:pStyle w:val="TextBody"/>
        <w:bidi w:val="0"/>
        <w:spacing w:before="240" w:after="0"/>
        <w:jc w:val="left"/>
        <w:rPr>
          <w:rFonts w:ascii="Times New Roman" w:hAnsi="Times New Roman"/>
          <w:sz w:val="20"/>
        </w:rPr>
      </w:pPr>
      <w:r>
        <w:rPr>
          <w:rFonts w:ascii="Times New Roman" w:hAnsi="Times New Roman"/>
          <w:sz w:val="20"/>
        </w:rPr>
        <w:t xml:space="preserve">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evaluate other activities aimed at enhancing shareholder value, which may potentially include collaborations, licenses, mergers, acquisitions, and/or other targeted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research and development expenses of continuing operations, employee and facility related costs allocated to research and development expense, and discovery and preclinical phase programs, for the three months ended March 31, 2026 and 2025 and the years ended December 31, 2025 and 2024. The product pipeline expenses related primarily to external costs associated with nonclinical studies and clinical trial costs.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72"/>
        <w:gridCol w:w="336"/>
        <w:gridCol w:w="293"/>
        <w:gridCol w:w="805"/>
        <w:gridCol w:w="120"/>
        <w:gridCol w:w="449"/>
        <w:gridCol w:w="293"/>
        <w:gridCol w:w="551"/>
        <w:gridCol w:w="60"/>
        <w:gridCol w:w="336"/>
        <w:gridCol w:w="155"/>
        <w:gridCol w:w="423"/>
        <w:gridCol w:w="66"/>
        <w:gridCol w:w="348"/>
        <w:gridCol w:w="155"/>
        <w:gridCol w:w="426"/>
        <w:gridCol w:w="67"/>
      </w:tblGrid>
      <w:tr>
        <w:trPr/>
        <w:tc>
          <w:tcPr>
            <w:tcW w:w="2872"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5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7" w:type="dxa"/>
            <w:tcBorders/>
            <w:vAlign w:val="bottom"/>
          </w:tcPr>
          <w:p>
            <w:pPr>
              <w:pStyle w:val="TableContents"/>
              <w:bidi w:val="0"/>
              <w:spacing w:before="0" w:after="283"/>
              <w:jc w:val="left"/>
              <w:rPr/>
            </w:pPr>
            <w:r>
              <w:rPr/>
              <w:t> </w:t>
            </w:r>
          </w:p>
        </w:tc>
      </w:tr>
      <w:tr>
        <w:trPr/>
        <w:tc>
          <w:tcPr>
            <w:tcW w:w="28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28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4480" w:type="dxa"/>
            <w:gridSpan w:val="14"/>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2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and related internal costs</w:t>
            </w:r>
          </w:p>
        </w:tc>
        <w:tc>
          <w:tcPr>
            <w:tcW w:w="33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55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3" w:type="dxa"/>
            <w:tcBorders/>
            <w:shd w:fill="CCEEFF" w:val="clear"/>
            <w:vAlign w:val="bottom"/>
          </w:tcPr>
          <w:p>
            <w:pPr>
              <w:pStyle w:val="TableContents"/>
              <w:bidi w:val="0"/>
              <w:spacing w:before="0" w:after="283"/>
              <w:jc w:val="right"/>
              <w:rPr/>
            </w:pPr>
            <w:r>
              <w:rPr/>
              <w:t>31</w:t>
            </w:r>
          </w:p>
        </w:tc>
        <w:tc>
          <w:tcPr>
            <w:tcW w:w="6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103</w:t>
            </w:r>
          </w:p>
        </w:tc>
        <w:tc>
          <w:tcPr>
            <w:tcW w:w="67" w:type="dxa"/>
            <w:tcBorders/>
            <w:shd w:fill="CCEEFF" w:val="clear"/>
            <w:vAlign w:val="bottom"/>
          </w:tcPr>
          <w:p>
            <w:pPr>
              <w:pStyle w:val="TableContents"/>
              <w:bidi w:val="0"/>
              <w:spacing w:before="0" w:after="283"/>
              <w:jc w:val="left"/>
              <w:rPr/>
            </w:pPr>
            <w:r>
              <w:rPr/>
              <w:t> </w:t>
            </w:r>
          </w:p>
        </w:tc>
      </w:tr>
      <w:tr>
        <w:trPr/>
        <w:tc>
          <w:tcPr>
            <w:tcW w:w="2872"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36"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723</w:t>
            </w:r>
          </w:p>
        </w:tc>
        <w:tc>
          <w:tcPr>
            <w:tcW w:w="1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928</w:t>
            </w:r>
          </w:p>
        </w:tc>
        <w:tc>
          <w:tcPr>
            <w:tcW w:w="66"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183</w:t>
            </w:r>
          </w:p>
        </w:tc>
        <w:tc>
          <w:tcPr>
            <w:tcW w:w="67" w:type="dxa"/>
            <w:tcBorders/>
            <w:vAlign w:val="bottom"/>
          </w:tcPr>
          <w:p>
            <w:pPr>
              <w:pStyle w:val="TableContents"/>
              <w:bidi w:val="0"/>
              <w:spacing w:before="0" w:after="283"/>
              <w:jc w:val="left"/>
              <w:rPr/>
            </w:pPr>
            <w:r>
              <w:rPr/>
              <w:t> </w:t>
            </w:r>
          </w:p>
        </w:tc>
      </w:tr>
      <w:tr>
        <w:trPr/>
        <w:tc>
          <w:tcPr>
            <w:tcW w:w="287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3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730</w:t>
            </w:r>
          </w:p>
        </w:tc>
        <w:tc>
          <w:tcPr>
            <w:tcW w:w="12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551"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3" w:type="dxa"/>
            <w:tcBorders/>
            <w:shd w:fill="CCEEFF" w:val="clear"/>
            <w:vAlign w:val="bottom"/>
          </w:tcPr>
          <w:p>
            <w:pPr>
              <w:pStyle w:val="TableContents"/>
              <w:bidi w:val="0"/>
              <w:spacing w:before="0" w:after="283"/>
              <w:jc w:val="right"/>
              <w:rPr/>
            </w:pPr>
            <w:r>
              <w:rPr/>
              <w:t>959</w:t>
            </w:r>
          </w:p>
        </w:tc>
        <w:tc>
          <w:tcPr>
            <w:tcW w:w="6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286</w:t>
            </w:r>
          </w:p>
        </w:tc>
        <w:tc>
          <w:tcPr>
            <w:tcW w:w="67" w:type="dxa"/>
            <w:tcBorders/>
            <w:shd w:fill="CCEEFF" w:val="clear"/>
            <w:vAlign w:val="bottom"/>
          </w:tcPr>
          <w:p>
            <w:pPr>
              <w:pStyle w:val="TableContents"/>
              <w:bidi w:val="0"/>
              <w:spacing w:before="0" w:after="283"/>
              <w:jc w:val="left"/>
              <w:rPr/>
            </w:pPr>
            <w:r>
              <w:rPr/>
              <w:t> </w:t>
            </w:r>
          </w:p>
        </w:tc>
      </w:tr>
      <w:tr>
        <w:trPr/>
        <w:tc>
          <w:tcPr>
            <w:tcW w:w="287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Securing regulatory approvals for new drugs is a lengthy and costly process. Any failure by us or our partners to obtain, or any delay in obtaining, regulatory approvals would materially adversely affect our product candidate development efforts and our business overall.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w:t>
      </w:r>
    </w:p>
    <w:p>
      <w:pPr>
        <w:pStyle w:val="TextBody"/>
        <w:bidi w:val="0"/>
        <w:spacing w:before="240" w:after="0"/>
        <w:jc w:val="left"/>
        <w:rPr>
          <w:rFonts w:ascii="Times New Roman" w:hAnsi="Times New Roman"/>
          <w:sz w:val="20"/>
        </w:rPr>
      </w:pPr>
      <w:r>
        <w:rPr>
          <w:rFonts w:ascii="Times New Roman" w:hAnsi="Times New Roman"/>
          <w:sz w:val="20"/>
        </w:rPr>
        <w:t>If we continue to progress the development of our product candidates, the successful development of any current or potential future product candidates is highly uncertain and subject to a number of risks. Please refer to “</w:t>
      </w:r>
      <w:r>
        <w:rPr>
          <w:rFonts w:ascii="Times New Roman" w:hAnsi="Times New Roman"/>
          <w:i/>
          <w:sz w:val="20"/>
        </w:rPr>
        <w:t>Risk Factors—Risks Related to Cyclerion</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General and administrative expenses consist primarily of compensation, benefits and other employee and non-employee related expenses for personnel in our administrative, finance, legal, information technology, business development, and human resource functions. Other costs include the legal costs of pursuing patent protection of our intellectual property, general and administrative related facility costs, insurance costs and professional fees for accounting and legal services. We record all general and administrative expenses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discussion and analysis of our financial condition and results of operations is based upon our consolidated financial statements prepared in accordance with U.S. generally accepted accounting principles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983"/>
        <w:gridCol w:w="288"/>
        <w:gridCol w:w="169"/>
        <w:gridCol w:w="808"/>
        <w:gridCol w:w="187"/>
        <w:gridCol w:w="310"/>
        <w:gridCol w:w="169"/>
        <w:gridCol w:w="812"/>
        <w:gridCol w:w="155"/>
        <w:gridCol w:w="288"/>
        <w:gridCol w:w="140"/>
        <w:gridCol w:w="692"/>
        <w:gridCol w:w="154"/>
        <w:gridCol w:w="288"/>
        <w:gridCol w:w="60"/>
        <w:gridCol w:w="528"/>
        <w:gridCol w:w="357"/>
      </w:tblGrid>
      <w:tr>
        <w:trPr/>
        <w:tc>
          <w:tcPr>
            <w:tcW w:w="398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9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7"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7"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760" w:type="dxa"/>
            <w:gridSpan w:val="14"/>
            <w:tcBorders/>
            <w:vAlign w:val="bottom"/>
          </w:tcPr>
          <w:p>
            <w:pPr>
              <w:pStyle w:val="TableContents"/>
              <w:bidi w:val="0"/>
              <w:spacing w:before="0" w:after="283"/>
              <w:jc w:val="center"/>
              <w:rPr>
                <w:b/>
              </w:rPr>
            </w:pPr>
            <w:r>
              <w:rPr>
                <w:b/>
              </w:rPr>
              <w:t>(dollars in thousands)</w:t>
            </w:r>
          </w:p>
        </w:tc>
        <w:tc>
          <w:tcPr>
            <w:tcW w:w="357"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8"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(81</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(100</w:t>
            </w:r>
          </w:p>
        </w:tc>
        <w:tc>
          <w:tcPr>
            <w:tcW w:w="357"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(81</w:t>
            </w:r>
          </w:p>
        </w:tc>
        <w:tc>
          <w:tcPr>
            <w:tcW w:w="15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(100</w:t>
            </w:r>
          </w:p>
        </w:tc>
        <w:tc>
          <w:tcPr>
            <w:tcW w:w="357"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730</w:t>
            </w:r>
          </w:p>
        </w:tc>
        <w:tc>
          <w:tcPr>
            <w:tcW w:w="187"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694</w:t>
            </w:r>
          </w:p>
        </w:tc>
        <w:tc>
          <w:tcPr>
            <w:tcW w:w="15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1928</w:t>
            </w:r>
          </w:p>
        </w:tc>
        <w:tc>
          <w:tcPr>
            <w:tcW w:w="357"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2,479</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977</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65</w:t>
            </w:r>
          </w:p>
        </w:tc>
        <w:tc>
          <w:tcPr>
            <w:tcW w:w="357"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3,209</w:t>
            </w:r>
          </w:p>
        </w:tc>
        <w:tc>
          <w:tcPr>
            <w:tcW w:w="187"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1,671</w:t>
            </w:r>
          </w:p>
        </w:tc>
        <w:tc>
          <w:tcPr>
            <w:tcW w:w="15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109</w:t>
            </w:r>
          </w:p>
        </w:tc>
        <w:tc>
          <w:tcPr>
            <w:tcW w:w="357"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(3,209</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(1,457</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(1,752</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120</w:t>
            </w:r>
          </w:p>
        </w:tc>
        <w:tc>
          <w:tcPr>
            <w:tcW w:w="357"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8"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32</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14</w:t>
            </w:r>
          </w:p>
        </w:tc>
        <w:tc>
          <w:tcPr>
            <w:tcW w:w="357" w:type="dxa"/>
            <w:tcBorders/>
            <w:vAlign w:val="bottom"/>
          </w:tcPr>
          <w:p>
            <w:pPr>
              <w:pStyle w:val="TableContents"/>
              <w:bidi w:val="0"/>
              <w:spacing w:before="0" w:after="283"/>
              <w:jc w:val="left"/>
              <w:rPr/>
            </w:pPr>
            <w:r>
              <w:rPr/>
              <w:t>% </w:t>
            </w:r>
          </w:p>
        </w:tc>
      </w:tr>
      <w:tr>
        <w:trPr/>
        <w:tc>
          <w:tcPr>
            <w:tcW w:w="3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8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32</w:t>
            </w:r>
          </w:p>
        </w:tc>
        <w:tc>
          <w:tcPr>
            <w:tcW w:w="187"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4</w:t>
            </w:r>
          </w:p>
        </w:tc>
        <w:tc>
          <w:tcPr>
            <w:tcW w:w="15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14</w:t>
            </w:r>
          </w:p>
        </w:tc>
        <w:tc>
          <w:tcPr>
            <w:tcW w:w="357" w:type="dxa"/>
            <w:tcBorders/>
            <w:shd w:fill="CCEEFF" w:val="clear"/>
            <w:vAlign w:val="bottom"/>
          </w:tcPr>
          <w:p>
            <w:pPr>
              <w:pStyle w:val="TableContents"/>
              <w:bidi w:val="0"/>
              <w:spacing w:before="0" w:after="283"/>
              <w:jc w:val="left"/>
              <w:rPr/>
            </w:pPr>
            <w:r>
              <w:rPr/>
              <w:t>% </w:t>
            </w:r>
          </w:p>
        </w:tc>
      </w:tr>
      <w:tr>
        <w:trPr/>
        <w:tc>
          <w:tcPr>
            <w:tcW w:w="3983"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(3,177</w:t>
            </w:r>
          </w:p>
        </w:tc>
        <w:tc>
          <w:tcPr>
            <w:tcW w:w="18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(1,429</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(1,748</w:t>
            </w:r>
          </w:p>
        </w:tc>
        <w:tc>
          <w:tcPr>
            <w:tcW w:w="15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122</w:t>
            </w:r>
          </w:p>
        </w:tc>
        <w:tc>
          <w:tcPr>
            <w:tcW w:w="357"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On July 22, 2024, we entered into the Option Agreement with the Optionee, which the Optionee had the Option to enter into an exclusive license to olinciguat for human therapeutics, subject to certain carveouts. We recognized revenue of $0.1 million related to the Option extension fee and expense reimbursement during the three months ended March 31, 2025. The Option Agreement was terminated in October 2025 and no revenue was recognized during the three months ended March 31, 2026.</w:t>
      </w:r>
    </w:p>
    <w:p>
      <w:pPr>
        <w:pStyle w:val="TextBody"/>
        <w:bidi w:val="0"/>
        <w:spacing w:before="360" w:after="0"/>
        <w:jc w:val="left"/>
        <w:rPr>
          <w:rFonts w:ascii="Times New Roman" w:hAnsi="Times New Roman"/>
          <w:sz w:val="20"/>
        </w:rPr>
      </w:pPr>
      <w:r>
        <w:rPr>
          <w:rFonts w:ascii="Times New Roman" w:hAnsi="Times New Roman"/>
          <w:b/>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The increase in research and development expense of approximately $0.7 million for the three months ended March 31, 2026 compared to the three months ended March 31, 2025, was primarily driven by increases of approximately $0.6 million in professional consulting and approximately $0.1 million in license option fee.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The increase in general and administrative expenses of approximately $1.0 million for the three months ended March 31, 2026 compared to the three months ended March 31, 2025 was primarily driven by increases of approximately $0.3 million in professional consulting and $0.9 million in corporate legal fees, offset by a decrease of $0.1 million in patent fees and $0.1 million in insurance expense.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was not changed significantly for the three months ended March 31, 2026, compared to the three months ended March 31, 2025. </w:t>
      </w:r>
    </w:p>
    <w:p>
      <w:pPr>
        <w:pStyle w:val="TextBody"/>
        <w:bidi w:val="0"/>
        <w:spacing w:before="360" w:after="0"/>
        <w:jc w:val="left"/>
        <w:rPr>
          <w:rFonts w:ascii="Times New Roman" w:hAnsi="Times New Roman"/>
          <w:sz w:val="20"/>
        </w:rPr>
      </w:pPr>
      <w:r>
        <w:rPr>
          <w:rFonts w:ascii="Times New Roman" w:hAnsi="Times New Roman"/>
          <w:b/>
          <w:sz w:val="20"/>
        </w:rPr>
        <w:t>Results of Operations for the Years Ended December 31, 2025 and December 31,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Revenues and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94"/>
        <w:gridCol w:w="304"/>
        <w:gridCol w:w="140"/>
        <w:gridCol w:w="696"/>
        <w:gridCol w:w="155"/>
        <w:gridCol w:w="304"/>
        <w:gridCol w:w="140"/>
        <w:gridCol w:w="696"/>
        <w:gridCol w:w="155"/>
        <w:gridCol w:w="304"/>
        <w:gridCol w:w="140"/>
        <w:gridCol w:w="696"/>
        <w:gridCol w:w="155"/>
        <w:gridCol w:w="304"/>
        <w:gridCol w:w="60"/>
        <w:gridCol w:w="491"/>
        <w:gridCol w:w="354"/>
      </w:tblGrid>
      <w:tr>
        <w:trPr/>
        <w:tc>
          <w:tcPr>
            <w:tcW w:w="4294"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2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1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436" w:type="dxa"/>
            <w:gridSpan w:val="14"/>
            <w:tcBorders/>
            <w:vAlign w:val="bottom"/>
          </w:tcPr>
          <w:p>
            <w:pPr>
              <w:pStyle w:val="TableContents"/>
              <w:bidi w:val="0"/>
              <w:spacing w:before="0" w:after="283"/>
              <w:jc w:val="center"/>
              <w:rPr>
                <w:b/>
              </w:rPr>
            </w:pPr>
            <w:r>
              <w:rPr>
                <w:b/>
              </w:rPr>
              <w:t>(dollars in thousands)</w:t>
            </w:r>
          </w:p>
        </w:tc>
        <w:tc>
          <w:tcPr>
            <w:tcW w:w="354"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license agreement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1,750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(43</w:t>
            </w:r>
          </w:p>
        </w:tc>
        <w:tc>
          <w:tcPr>
            <w:tcW w:w="354"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XX</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10</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2,000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4</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673</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235</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6,088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5,342</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746</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14</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7,047</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5,628</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1,419</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25</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(4,973</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(3,628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(1,345</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37</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(38</w:t>
            </w:r>
          </w:p>
        </w:tc>
        <w:tc>
          <w:tcPr>
            <w:tcW w:w="354"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settlement of account payable</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(100</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1,317</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1,317</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XX</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1,445</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571</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874</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153</w:t>
            </w:r>
          </w:p>
        </w:tc>
        <w:tc>
          <w:tcPr>
            <w:tcW w:w="354" w:type="dxa"/>
            <w:tcBorders/>
            <w:shd w:fill="CCEEFF" w:val="clear"/>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(3,528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(3,057</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(471</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15</w:t>
            </w:r>
          </w:p>
        </w:tc>
        <w:tc>
          <w:tcPr>
            <w:tcW w:w="354" w:type="dxa"/>
            <w:tcBorders/>
            <w:vAlign w:val="bottom"/>
          </w:tcPr>
          <w:p>
            <w:pPr>
              <w:pStyle w:val="TableContents"/>
              <w:bidi w:val="0"/>
              <w:spacing w:before="0" w:after="283"/>
              <w:jc w:val="left"/>
              <w:rPr/>
            </w:pPr>
            <w:r>
              <w:rPr/>
              <w:t>% </w:t>
            </w:r>
          </w:p>
        </w:tc>
      </w:tr>
      <w:tr>
        <w:trPr/>
        <w:tc>
          <w:tcPr>
            <w:tcW w:w="4294"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Revenue from license agreement. </w:t>
      </w:r>
      <w:r>
        <w:rPr>
          <w:rFonts w:ascii="Times New Roman" w:hAnsi="Times New Roman"/>
          <w:sz w:val="20"/>
        </w:rPr>
        <w:t xml:space="preserve">On December 13, 2024, we entered into the 2024 Amendment with Akebia providing for payments aggregating $1.75 million all of which was recognized in revenue during the year ended December 31, 2024. $1.25 million of this amount was paid in December 2024 and the remaining $0.5 million was paid in September 2025.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us. We recognized revenue and accounts receivable of $1.0 million during the year ended December 31, 2025, and the $1.0 million payment was received in February 2026. </w:t>
      </w:r>
    </w:p>
    <w:p>
      <w:pPr>
        <w:pStyle w:val="TextBody"/>
        <w:bidi w:val="0"/>
        <w:spacing w:before="240" w:after="0"/>
        <w:jc w:val="left"/>
        <w:rPr>
          <w:rFonts w:ascii="Times New Roman" w:hAnsi="Times New Roman"/>
          <w:sz w:val="20"/>
        </w:rPr>
      </w:pPr>
      <w:r>
        <w:rPr>
          <w:rFonts w:ascii="Times New Roman" w:hAnsi="Times New Roman"/>
          <w:i/>
          <w:sz w:val="20"/>
        </w:rPr>
        <w:t>Revenues from purchase agreement</w:t>
      </w:r>
      <w:r>
        <w:rPr>
          <w:rFonts w:ascii="Times New Roman" w:hAnsi="Times New Roman"/>
          <w:sz w:val="20"/>
        </w:rPr>
        <w:t xml:space="preserve">. In September 2025, we entered into the Purchase Agreement with Akebia. Akebia paid $0.8 million to us for the purchase of Additional Development Materials during the year ended December 31, 2025.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 xml:space="preserve">On July 22, 2024, we entered into the Option Agreement with the Optionee, under which the Optionee had the Option to enter into an exclusive license to olinciguat for human therapeutics, subject to certain carveouts. We recognized revenue of $0.2 million related to the Option fee payment and expense reimbursement during the year ended December 31, 2024 and we recognized revenue of $0.3 million related to the Option extension fee, amendment fee and expense reimbursement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expenses. </w:t>
      </w:r>
      <w:r>
        <w:rPr>
          <w:rFonts w:ascii="Times New Roman" w:hAnsi="Times New Roman"/>
          <w:sz w:val="20"/>
        </w:rPr>
        <w:t xml:space="preserve">The increase in research and development expenses of approximately $0.7 million for the year ended December 31, 2025 compared to the year ended December 31, 2024 was driven by an increase of $0.1 million in license fees, $0.6 million in professional consulting to support the research and development efforts related to CYC-126, and $0.1 million in outside service fees, offset by a decrease of $0.1 million in stock compensation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The increase in general and administrative expenses of approximately $0.7 million for the year ended December 31, 2025 compared to the year ended December 31, 2024 was primarily driven by an increase of $0.8 million in professional consulting, $0.1 million in outside service fee and $0.7 million in corporate legal fees, offset by a decrease of $0.3 million in patent fees, $0.2 million in insurance expense, $0.1 million in board member fees and $0.3 million in employee-related expenses. </w:t>
      </w:r>
    </w:p>
    <w:p>
      <w:pPr>
        <w:pStyle w:val="TextBody"/>
        <w:bidi w:val="0"/>
        <w:spacing w:before="240" w:after="0"/>
        <w:jc w:val="left"/>
        <w:rPr>
          <w:rFonts w:ascii="Times New Roman" w:hAnsi="Times New Roman"/>
          <w:sz w:val="20"/>
        </w:rPr>
      </w:pPr>
      <w:r>
        <w:rPr>
          <w:rFonts w:ascii="Times New Roman" w:hAnsi="Times New Roman"/>
          <w:i/>
          <w:sz w:val="20"/>
        </w:rPr>
        <w:t>Interest and other income, net.</w:t>
      </w:r>
      <w:r>
        <w:rPr>
          <w:rFonts w:ascii="Times New Roman" w:hAnsi="Times New Roman"/>
          <w:sz w:val="20"/>
        </w:rPr>
        <w:t xml:space="preserve"> Interest and other income decreased by approximately $0.1 million for the year ended December 31, 2025 compared to the year ended December 31, 2024 primarily attributable to the reduction in interest rates. </w:t>
      </w:r>
    </w:p>
    <w:p>
      <w:pPr>
        <w:pStyle w:val="TextBody"/>
        <w:bidi w:val="0"/>
        <w:spacing w:before="240" w:after="0"/>
        <w:jc w:val="left"/>
        <w:rPr>
          <w:rFonts w:ascii="Times New Roman" w:hAnsi="Times New Roman"/>
          <w:sz w:val="20"/>
        </w:rPr>
      </w:pPr>
      <w:r>
        <w:rPr>
          <w:rFonts w:ascii="Times New Roman" w:hAnsi="Times New Roman"/>
          <w:i/>
          <w:sz w:val="20"/>
        </w:rPr>
        <w:t xml:space="preserve">Gain from settlement of account payable. </w:t>
      </w:r>
      <w:r>
        <w:rPr>
          <w:rFonts w:ascii="Times New Roman" w:hAnsi="Times New Roman"/>
          <w:sz w:val="20"/>
        </w:rPr>
        <w:t xml:space="preserve">During the year ended December 31, 2024, we reached a settlement agreement with a vendor for a disputed account payable and recorded a gain of $0.4 million on settlement of account payable. No such transaction occurred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Gain from insurance recovery. </w:t>
      </w:r>
      <w:r>
        <w:rPr>
          <w:rFonts w:ascii="Times New Roman" w:hAnsi="Times New Roman"/>
          <w:sz w:val="20"/>
        </w:rPr>
        <w:t xml:space="preserve">During the year ended December 31, 2025, we recorded approximately $1.3 million of insurance recoveries related to loss of advanced intermediated GMP finished materials covered by several policies with third-party insurers. No such gain was recognized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been funded primarily from sales of our equity securities, payments received in connection with the sale of assets to Tisento, milestone payments from Akebia and an option to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2025, we closed on a private placement of 499,998 shares of our common stock, pursuant to a Stock Purchase Agreement, for total gross proceeds of approximately $1.375 million. We also incurred transaction costs of $0.1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2025, we filed a Registration Statement on Form S-3 (the “2025 Shelf”) with the SEC in relation to the registration of common stock, preferred stock, warrants and units of any combination thereof for an aggregate initial offering price not to exceed $25.0 million. The amount we can sell in any twelve-month period under the 2025 Shelf, which was declared effective in February 2025, cannot exceed one-third of the value of our public float. </w:t>
      </w:r>
    </w:p>
    <w:p>
      <w:pPr>
        <w:pStyle w:val="TextBody"/>
        <w:bidi w:val="0"/>
        <w:spacing w:before="240" w:after="0"/>
        <w:jc w:val="left"/>
        <w:rPr>
          <w:rFonts w:ascii="Times New Roman" w:hAnsi="Times New Roman"/>
          <w:sz w:val="20"/>
        </w:rPr>
      </w:pPr>
      <w:r>
        <w:rPr>
          <w:rFonts w:ascii="Times New Roman" w:hAnsi="Times New Roman"/>
          <w:sz w:val="20"/>
        </w:rPr>
        <w:t>On May 7, 2025, we entered into an “at the market” equity offering program (the “ATM Program”) pursuant to a Sales Agreement (the “2025 Sales Agreement”) by and between us and Guggenheim Securities LLC (“Guggenheim Securities”). Pursuant to the terms of the 2025 Sales Agreement, we can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ATM Program to fund the development of product candidates and for other general corporate purposes, including funding potential new clinical programs and product candidates. financing our existing businesses and operations and expanding our businesses and operations through new product development programs and additional hires.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the ATM Shares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 Company exhausted all sales under the that may currently be made pursuant to Instruction I.B.6. </w:t>
      </w:r>
    </w:p>
    <w:p>
      <w:pPr>
        <w:pStyle w:val="TextBody"/>
        <w:bidi w:val="0"/>
        <w:spacing w:before="240" w:after="0"/>
        <w:jc w:val="left"/>
        <w:rPr>
          <w:rFonts w:ascii="Times New Roman" w:hAnsi="Times New Roman"/>
          <w:sz w:val="20"/>
        </w:rPr>
      </w:pPr>
      <w:r>
        <w:rPr>
          <w:rFonts w:ascii="Times New Roman" w:hAnsi="Times New Roman"/>
          <w:sz w:val="20"/>
        </w:rPr>
        <w:t xml:space="preserve">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t>
      </w:r>
    </w:p>
    <w:p>
      <w:pPr>
        <w:pStyle w:val="TextBody"/>
        <w:bidi w:val="0"/>
        <w:spacing w:before="240" w:after="0"/>
        <w:jc w:val="left"/>
        <w:rPr>
          <w:rFonts w:ascii="Times New Roman" w:hAnsi="Times New Roman"/>
          <w:sz w:val="20"/>
        </w:rPr>
      </w:pPr>
      <w:r>
        <w:rPr>
          <w:rFonts w:ascii="Times New Roman" w:hAnsi="Times New Roman"/>
          <w:sz w:val="20"/>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we had approximately $2.8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cannot be considered probable at this time because these plans are not entirely within our control and/or have not been approved by the Board of Directors as of the date of these consolidated financial statements.</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recurring losses since our inception, including net losses of $3.2 million for the three months ended March 31, 2026 and $3.5 million for the year ended December 31, 2025. In addition, as of March 31, 2026, we had an accumulated deficit of $274.2 million. We expect that our cash and cash equivalents as of March 31, 2026, will be sufficient to fund operations into the third quarter of 2026, however, we will need to obtain additional funding to sustain operations as we expect to continue to generate operating losses for the foreseeable future. Accordingly, we have concluded that substantial doubt exists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cash flows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09"/>
        <w:gridCol w:w="298"/>
        <w:gridCol w:w="165"/>
        <w:gridCol w:w="722"/>
        <w:gridCol w:w="177"/>
        <w:gridCol w:w="298"/>
        <w:gridCol w:w="165"/>
        <w:gridCol w:w="661"/>
        <w:gridCol w:w="155"/>
        <w:gridCol w:w="298"/>
        <w:gridCol w:w="140"/>
        <w:gridCol w:w="473"/>
        <w:gridCol w:w="155"/>
        <w:gridCol w:w="298"/>
        <w:gridCol w:w="60"/>
        <w:gridCol w:w="412"/>
        <w:gridCol w:w="286"/>
      </w:tblGrid>
      <w:tr>
        <w:trPr/>
        <w:tc>
          <w:tcPr>
            <w:tcW w:w="380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0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1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6" w:type="dxa"/>
            <w:tcBorders/>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r>
      <w:tr>
        <w:trPr/>
        <w:tc>
          <w:tcPr>
            <w:tcW w:w="380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4179" w:type="dxa"/>
            <w:gridSpan w:val="14"/>
            <w:tcBorders/>
            <w:vAlign w:val="bottom"/>
          </w:tcPr>
          <w:p>
            <w:pPr>
              <w:pStyle w:val="TableContents"/>
              <w:bidi w:val="0"/>
              <w:spacing w:before="0" w:after="283"/>
              <w:jc w:val="center"/>
              <w:rPr>
                <w:b/>
              </w:rPr>
            </w:pPr>
            <w:r>
              <w:rPr>
                <w:b/>
              </w:rPr>
              <w:t>(dollars in thousands)</w:t>
            </w:r>
          </w:p>
        </w:tc>
        <w:tc>
          <w:tcPr>
            <w:tcW w:w="286" w:type="dxa"/>
            <w:tcBorders/>
            <w:vAlign w:val="bottom"/>
          </w:tcPr>
          <w:p>
            <w:pPr>
              <w:pStyle w:val="TableContents"/>
              <w:bidi w:val="0"/>
              <w:spacing w:before="0" w:after="283"/>
              <w:jc w:val="left"/>
              <w:rPr/>
            </w:pPr>
            <w:r>
              <w:rPr/>
              <w:t> </w:t>
            </w:r>
          </w:p>
        </w:tc>
      </w:tr>
      <w:tr>
        <w:trPr/>
        <w:tc>
          <w:tcPr>
            <w:tcW w:w="3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9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(1,176</w:t>
            </w:r>
          </w:p>
        </w:tc>
        <w:tc>
          <w:tcPr>
            <w:tcW w:w="177"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(968</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21</w:t>
            </w:r>
          </w:p>
        </w:tc>
        <w:tc>
          <w:tcPr>
            <w:tcW w:w="286" w:type="dxa"/>
            <w:tcBorders/>
            <w:shd w:fill="CCEEFF" w:val="clear"/>
            <w:vAlign w:val="bottom"/>
          </w:tcPr>
          <w:p>
            <w:pPr>
              <w:pStyle w:val="TableContents"/>
              <w:bidi w:val="0"/>
              <w:spacing w:before="0" w:after="283"/>
              <w:jc w:val="left"/>
              <w:rPr/>
            </w:pPr>
            <w:r>
              <w:rPr/>
              <w:t>% </w:t>
            </w:r>
          </w:p>
        </w:tc>
      </w:tr>
      <w:tr>
        <w:trPr/>
        <w:tc>
          <w:tcPr>
            <w:tcW w:w="38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9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(66</w:t>
            </w:r>
          </w:p>
        </w:tc>
        <w:tc>
          <w:tcPr>
            <w:tcW w:w="17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73"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r>
      <w:tr>
        <w:trPr/>
        <w:tc>
          <w:tcPr>
            <w:tcW w:w="3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9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825</w:t>
            </w:r>
          </w:p>
        </w:tc>
        <w:tc>
          <w:tcPr>
            <w:tcW w:w="177"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1" w:type="dxa"/>
            <w:tcBorders/>
            <w:shd w:fill="CCEEFF" w:val="clear"/>
            <w:vAlign w:val="bottom"/>
          </w:tcPr>
          <w:p>
            <w:pPr>
              <w:pStyle w:val="TableContents"/>
              <w:bidi w:val="0"/>
              <w:spacing w:before="0" w:after="283"/>
              <w:jc w:val="right"/>
              <w:rPr/>
            </w:pPr>
            <w:r>
              <w:rPr/>
              <w:t>1,375</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(550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47"/>
        <w:gridCol w:w="298"/>
        <w:gridCol w:w="140"/>
        <w:gridCol w:w="674"/>
        <w:gridCol w:w="165"/>
        <w:gridCol w:w="298"/>
        <w:gridCol w:w="140"/>
        <w:gridCol w:w="674"/>
        <w:gridCol w:w="165"/>
        <w:gridCol w:w="298"/>
        <w:gridCol w:w="140"/>
        <w:gridCol w:w="567"/>
        <w:gridCol w:w="60"/>
        <w:gridCol w:w="298"/>
        <w:gridCol w:w="60"/>
        <w:gridCol w:w="382"/>
        <w:gridCol w:w="366"/>
      </w:tblGrid>
      <w:tr>
        <w:trPr/>
        <w:tc>
          <w:tcPr>
            <w:tcW w:w="3847"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84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6"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6"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4061" w:type="dxa"/>
            <w:gridSpan w:val="14"/>
            <w:tcBorders/>
            <w:vAlign w:val="bottom"/>
          </w:tcPr>
          <w:p>
            <w:pPr>
              <w:pStyle w:val="TableContents"/>
              <w:bidi w:val="0"/>
              <w:spacing w:before="0" w:after="283"/>
              <w:jc w:val="center"/>
              <w:rPr>
                <w:b/>
              </w:rPr>
            </w:pPr>
            <w:r>
              <w:rPr>
                <w:b/>
              </w:rPr>
              <w:t>(dollars in thousands)</w:t>
            </w:r>
          </w:p>
        </w:tc>
        <w:tc>
          <w:tcPr>
            <w:tcW w:w="366"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(3,314</w:t>
            </w:r>
          </w:p>
        </w:tc>
        <w:tc>
          <w:tcPr>
            <w:tcW w:w="16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(4,333</w:t>
            </w:r>
          </w:p>
        </w:tc>
        <w:tc>
          <w:tcPr>
            <w:tcW w:w="16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1,019</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(24</w:t>
            </w:r>
          </w:p>
        </w:tc>
        <w:tc>
          <w:tcPr>
            <w:tcW w:w="366"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4" w:type="dxa"/>
            <w:tcBorders/>
            <w:vAlign w:val="bottom"/>
          </w:tcPr>
          <w:p>
            <w:pPr>
              <w:pStyle w:val="TableContents"/>
              <w:bidi w:val="0"/>
              <w:spacing w:before="0" w:after="283"/>
              <w:jc w:val="right"/>
              <w:rPr/>
            </w:pPr>
            <w:r>
              <w:rPr/>
              <w:t>3,322</w:t>
            </w:r>
          </w:p>
        </w:tc>
        <w:tc>
          <w:tcPr>
            <w:tcW w:w="16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3,322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— </w:t>
            </w:r>
          </w:p>
        </w:tc>
        <w:tc>
          <w:tcPr>
            <w:tcW w:w="3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$1.2 million for the three months ended March 31, 2026 was primarily a result of our $3.2 million net loss from operations. The net loss was offset by a decrease in accounts receivable of $1.0 million and an increase in accrued expenses and other current liabilities of $0.9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$1.0 million for the three months ended March 31, 2025 was primarily a result of our $1.4 million net loss from operations. The net loss was offset by non-cash stock-based compensation expense of $0.1 million, a decrease in prepaid expenses of $0.2 million, an increase in accounts payable of $0.1 million and an increase in accrued expenses and other current liabilities of $0.1 million.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$3.3 million for the year ended December 31, 2025 was primarily a result of our $3.5 million net loss from operations. The net loss was also adjusted by an increase in accounts receivable of $0.4 million and a decrease in accrued expenses and other current liabilities of $0.1 million. The net loss was offset by non-cash stock-based compensation expense of $0.4 million, an increase of accounts payable of $0.1 million and an increase of accrued research and development costs of $0.2 million. </w:t>
      </w:r>
    </w:p>
    <w:p>
      <w:pPr>
        <w:pStyle w:val="TextBody"/>
        <w:bidi w:val="0"/>
        <w:spacing w:before="240" w:after="0"/>
        <w:jc w:val="left"/>
        <w:rPr>
          <w:rFonts w:ascii="Times New Roman" w:hAnsi="Times New Roman"/>
          <w:sz w:val="20"/>
        </w:rPr>
      </w:pPr>
      <w:r>
        <w:rPr>
          <w:rFonts w:ascii="Times New Roman" w:hAnsi="Times New Roman"/>
          <w:sz w:val="20"/>
        </w:rPr>
        <w:t>Net cash used in operating activities was $4.3 million for the year ended December 31, 2024 was primarily a result of our $3.1 million net loss from operations. The net loss was also adjusted by gain from settlement of accounts payable of $0.4 million, an increase in accounts receivable of $0.6 million, a decrease in accounts payable, accrued expenses and other current liabilities of $1.0 million. The net loss was offset by non-cash stock-based compensation expense of $0.6 million.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investment activities of $0.1 million for the three months ended March 31, 2026 was due to purchase of lab equipment acquired during the three months ended March 31, 2026. There was no investing activity in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three months ended March 31, 2026 of $0.8 million was due to the net proceeds received from ATM related to the issuance of 405,000 shares of our common stock under the ATM. Net cash provided by financing activities for the three months ended March 31, 2025 of $1.4 million was due to cash received from the 2025 Equity Private Placement related to issuance of 499,998 shares common stock at a purchase price of $2.75 per share.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2025 of $3.3 million was due to $1.2 million net proceeds received from the 2025 Cyclerion Private Placement related to the issuance of 499,998 shares of our common stock at a purchase price of $2.75 per share and $2.1 million net proceeds received from ATM related to the issuance of 715,220 shares of our common stock under the ATM. There was no financing activity incurred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we are unable to complete the Merger, we expect our expenses to fluctuate as we continue to maintain out-license opportunities and potentially seek to broaden our portfolio through in-licensing of complementary assets. We expect that our cash and cash equivalents as of March 31, 2026, will be sufficient to fund operations through the closing of the Merger. As a result, if we are unable to complete the Merger, we will need to obtain additional funding to sustain operations as we expect to continue to generate operating losses for the foreseeable future. Failure to obtain necessary capital when needed may delay development of any current or potential future product candidates, or our ability to continue our operations. Because there is substantial doubt about our ability to continue as a going concern for a reasonable period of time, an investment in our common stock is highly speculative;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many risks and uncertainties associated with research, development and commercialization of product candidates, we are unable to estimate the exact amount of our working capital requirements. Our expenses will fluctuate, and our future funding requirements will depend on, and could increase or decrease significantly as a result of many factors,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scope, progress, results and costs of researching and developing our current and any potential future product candidates, and any preclinical studies and clinical trials we may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timing and outcome of regulatory review of any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future activities, including medical affairs, manufacturing and distribution, of any current or potential future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and timing of necessary actions to support our strategic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preparing, filing and prosecuting patent applications, maintaining and enforcing our intellectual property rights and defending intellectual property-related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receipt and amount of sales of, or milestone payments related to or royalties on, our current or potential future product candidates, if any. </w:t>
            </w:r>
          </w:p>
        </w:tc>
      </w:tr>
    </w:tbl>
    <w:p>
      <w:pPr>
        <w:pStyle w:val="TextBody"/>
        <w:bidi w:val="0"/>
        <w:spacing w:before="240" w:after="0"/>
        <w:jc w:val="left"/>
        <w:rPr>
          <w:rFonts w:ascii="Times New Roman" w:hAnsi="Times New Roman"/>
          <w:sz w:val="20"/>
        </w:rPr>
      </w:pPr>
      <w:r>
        <w:rPr>
          <w:rFonts w:ascii="Times New Roman" w:hAnsi="Times New Roman"/>
          <w:sz w:val="20"/>
        </w:rPr>
        <w:t>A change in any of these or other variables with respect to the development of any current or potential future product candidates could significantly change the costs and timing of the development of that product candidate.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capital requirements will depend primarily on our ability to complete the proposed transaction with Korsana. If we do not complete the proposed transaction with Korsana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we raise funds through collaborations, strategic alliances or licensing arrangements with third parties, as to which raise there can be no assurances, we may have to relinquish rights to our technologies, future revenue streams, research programs or product candidates or grant licenses on terms that may not be favorable to us. If we do not complete the Merger and are unable to raise funds, we may need to cease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Commitments and Obligations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Tax-related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exclude assets, liabilities or obligations pertaining to uncertain tax positions from our contractual commitments and obligations as we cannot make a reliable estimate of the period of cash settlement with the respective taxing authorities. As of March 31, 2026, we had no uncertain tax 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Benefits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benefit of the former Chief Financial Officer, we paid $0.1 million each in May 2024 and August 2024. We have no further separation benefits obligation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new accounting pronouncements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111069_31"/>
      <w:bookmarkEnd w:id="33"/>
      <w:r>
        <w:rPr>
          <w:rFonts w:ascii="Times New Roman" w:hAnsi="Times New Roman"/>
          <w:b/>
          <w:sz w:val="20"/>
        </w:rPr>
        <w:t xml:space="preserve">KORSANA’S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Korsana’s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Korsana’s current plans, estimates and beliefs. Korsana’s historical results are not necessarily indicative of the results that may be expected for any period in the future. Korsana’s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or TfR, based shuttle designed to potentially improve delivery to the brain, which Korsana believes may also help reduce or avoid the treatment-related complications known as amyloid-related imaging abnormalities, or ARIA, associated with the two approved disease-modifying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or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in November 2024, Korsana has devoted substantially all of its resources to raising capital, organizing and staffing Korsana, business and scientific planning, conducting discovery and research activities, establishing arrangements with third parties, and providing general and administrative support for these operations. Korsana does not have any programs approved for sale and has not generated any revenue from product sales. To date, Korsana has funded its operations primarily with proceeds from the issuance of convertible preferred stock. In November 2024, Korsana received $10.0 million in gross proceeds from the issuance of Series A preferred stock, subsequently reclassified to Series Seed preferred stock in September 2025. Additionally in September 2025, Korsana received $15.0 million in gross proceeds from the issuance of Series Seed preferred stock and $151.0 million in gross proceeds from the issuance of Series A preferred stock to various investors. </w:t>
      </w:r>
    </w:p>
    <w:p>
      <w:pPr>
        <w:pStyle w:val="TextBody"/>
        <w:bidi w:val="0"/>
        <w:spacing w:before="240" w:after="0"/>
        <w:jc w:val="left"/>
        <w:rPr>
          <w:rFonts w:ascii="Times New Roman" w:hAnsi="Times New Roman"/>
          <w:sz w:val="20"/>
        </w:rPr>
      </w:pPr>
      <w:r>
        <w:rPr>
          <w:rFonts w:ascii="Times New Roman" w:hAnsi="Times New Roman"/>
          <w:sz w:val="20"/>
        </w:rPr>
        <w:t xml:space="preserve">Korsana has incurred operating losses since inception. Korsana’s ability to generate product revenue sufficient to achieve profitability will depend heavily on the successful development and eventual commercialization of any programs Korsana may develop. Korsana generated net losses of $13.5 million and $0.1 million for the three months ended March 31, 2026, and March 31, 2025. Korsana generated net losses of $35.6 million and $0.1 million for the year ended December 31, 2025 and for the period from November 8, 2024 (inception) to December 31, 2024. As of March 31, 2026, Korsana had an accumulated deficit of $49.2 million. Korsana expects to continue to incur significantly increased expenses for the foreseeable future if and as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advances its existing and future research and development and discovery-related development of its programs 001 and 002 (A</w:t>
            </w:r>
            <w:r>
              <w:rPr>
                <w:rFonts w:ascii="SYMBOL" w:hAnsi="SYMBOL"/>
                <w:sz w:val="20"/>
              </w:rPr>
              <w:t>b</w:t>
            </w:r>
            <w:r>
              <w:rPr>
                <w:rFonts w:ascii="Times New Roman" w:hAnsi="Times New Roman"/>
                <w:sz w:val="20"/>
              </w:rPr>
              <w:t xml:space="preserve"> and TfR1) (together the “A</w:t>
            </w:r>
            <w:r>
              <w:rPr>
                <w:rFonts w:ascii="SYMBOL" w:hAnsi="SYMBOL"/>
                <w:sz w:val="20"/>
              </w:rPr>
              <w:t>b</w:t>
            </w:r>
            <w:r>
              <w:rPr>
                <w:rFonts w:ascii="Times New Roman" w:hAnsi="Times New Roman"/>
                <w:sz w:val="20"/>
              </w:rPr>
              <w:t xml:space="preserve"> program”) and its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research programs and product candidates and initiates discovery- related activities and preclinical studies for those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completes future preclinical studies for Korsana’s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investigational new drug applications or comparable foreign applications that allow commencement of Korsana’s planned clinical trials or future clinical trials for any programs Korsana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and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Korsana’s programs, including with respect to its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a sustainable, scalable, reproducible and transferable clinical and commercial-scale current good manufacturing practices (“cGMP”) capabilities through a third-party or Korsana’s own manufacturing facility for the programs Korsana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Korsana successfully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programs for which Korsana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safety, tolerability and efficacy profile of any product Korsana may develop in additional indications following approval in one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and other intellectual property protection or regulatory exclusivity for any products Korsana may develop and defends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Korsana’s current collaborations and establishes and maintains any future collaborations, including making milestone, royalty or other payments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programs that Korsana may identify could mean a significant change in the costs and timing associated with the development of such programs. For example, if the U.S. Food and Drug Administration or another comparable regulatory authority were to require Korsana to conduct clinical trials beyond those that Korsana currently anticipates will be required to complete clinical development and obtain regulatory approval of one or more product candidates, or if Korsana experiences significant delays in Korsana’s preclinical studies or clinical trials, Korsana would be required to expend significant additional financial resources and time to advance and complete clinical development. Korsana may never obtain regulatory approval for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will not generate revenue from product sales unless and until it successfully initiates and completes clinical development and obtains regulatory approval for any product candidates. If Korsana obtains regulatory approval for any of its product candidates and does not enter into a commercialization partnership, it expects to incur significant expenses related to developing Korsana’s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Based on its current operating plan, Korsana has concluded its existing cash and cash equivalents will be sufficient to fund its operating plan for at least 12 months after the date Korsana’s financial statements for the period ended March 31, 2026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an Agreement and Plan of Merger (as subsequently amended on April 17, 2026, the “Merger Agreement”) with Cyclerion Therapeutics Inc. (“Cyclerion”) and Cariboos Merger Sub Corp and Cariboos Merger Sub II, LLC, wholly owned subsidiaries of Cyclerion, pursuant to which,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Merger Sub II will change its corporate name to “Korsana Biopharma Operating Company, LLC” and Cyclerion will change its name to “Korsana Biosciences, Inc.” Cyclerion following the Merger is referred to herein as the “Combined Company.” The Combined Company will be led by Korsana’s management team and remains focused on discovering and developing novel therapies designed to reduce the burden of neurodegenerative diseases, starting with Alzheimer’s disease. In connection with the Merger, Korsana and Cyclerion entered into the Subscription Agreement with certain institutional and accredited investors, pursuant to which such investors have agreed, subject to the terms and conditions of such agreements, to purchase immediately prior to the consummation of the Merger, shares of Korsana common stock and pre-funded warrants for an aggregate purchase price of $380.0 million in the Korsana Pre-Closing Financing. The closing of the Korsana Pre-Closing Financing is conditioned on the satisfaction or waiver of the conditions set forth in the Merger Agreement and is expected to occur immediately prior to the closing of the Merger. The proceeds from the Subscription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Korsana estimates that its existing cash and cash equivalents as of the date of this proxy statement/prospectus, together with the net proceeds from the Merger and the Korsana Pre-Closing Financing, will be sufficient to enable Korsana to fund its operating expenses and capital expenditure requirements into 2029. Korsana has based this estimate on assumptions that may prove to be wrong, Korsana’s operating plan may change as a result of many factors currently unknown to Korsana and Korsana could exhaust its available capital resources sooner than Korsana expects. See the sections titled “— </w:t>
      </w:r>
      <w:r>
        <w:rPr>
          <w:rFonts w:ascii="Times New Roman" w:hAnsi="Times New Roman"/>
          <w:i/>
          <w:sz w:val="20"/>
        </w:rPr>
        <w:t>Liquidity and Capital Resources</w:t>
      </w:r>
      <w:r>
        <w:rPr>
          <w:rFonts w:ascii="Times New Roman" w:hAnsi="Times New Roman"/>
          <w:sz w:val="20"/>
        </w:rPr>
        <w:t>” below and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Korsana’s business. Korsana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Korsana is closely monitoring the impact of the current macroeconomic and geopolitical conditions on all aspects of Korsana’s business, including the impacts on participants in any future clinical trials and its employees, suppliers, vendors and business partners and Korsana’s future access to capital, the ultimate extent of the impact on Korsana’s business remains highly uncertain and will depend on future developments and factors that continue to evolve. Most of these developments and factors are outside Korsana’s control and could exist for an extended period of time. Korsana will continue to evaluate the nature and extent of the potential impacts to its business, results of operations, liquidity and capital resources. For additional information, see the section titled “Risk Factors — Risks Related to Korsana’s Business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Korsana has not generated revenue from any sources, including product sales, and does not expect to generate any revenue from the sale of products in the foreseeable future. If Korsana’s development efforts for its product candidates are successful and result in regulatory approval, Korsana may generate revenue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from product sales or payments from future collaboration or license agreements that Korsana may enter into with third parties, or any combination thereof. Korsana cannot predict if, when, or to what extent it will generate revenue from the commercialization and sale of Korsana’s product candidates. Korsana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Korsana’s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Korsana’s programs.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costs of funding research performed by third parties, including Paragon, that conduct research and development activities on Korsana’s behalf and services rendered under the Paragon ADOA (as defined below) for research programs, the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continuing Korsana’s current research programs and discovery-phase development of any programs Korsana may identify, including under future agreements with third parties, such as consultants and contractors;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expenses research and development costs as incurred. For the three months ended March 31, 2026, Korsana recognized $8.8 million of expenses in connection with services provided by Paragon under the Paragon ADOA in Korsana’s condensed consolidated statements of operations and comprehensive loss. For the three months ended March 31, 2025, Korsana recognized less than $0.1 million of expenses in connection with services provided by Paragon for the 001 program and stock compensation. For the year ended December 31, 2025, Korsana recognized $31.3 million of expenses in connection with services provided by Paragon under the Paragon ADOA in Korsana’s consolidated statements of operations and comprehensive loss. There were no expenses recognized during the period November 8, 2024 (inception) to December 31, 2024 related to the Paragon ADOA. See the section titled “Contractual Commitments and Obligations” below for further details on Korsana’s research plans.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its research and development expenses will increase substantially for the foreseeable future as Korsana continues to invest in research and development activities related to the continued development of Korsana’s programs, developing any future programs, including investments in manufacturing, as Korsana advances any program Korsana may identify and continue to conduct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expenses, including recruiting costs, salaries, bonuses, benefits and equity-based compensation, for individuals in Korsana’s executive, finance, legal, operations, human resources,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that its general and administrative expenses will increase substantially for the foreseeable future as Korsana increases its headcount and establishes office space to support its expected growth. Korsana also expects to incur increased expenses associated with becoming a public company, including transactional costs and increased costs of accounting, audit, legal, regulatory and tax related services associated with maintaining compliance with SEC requirements, additional director and officer insurance costs, and investor and public relations costs. Korsana also expects to incur additional intellectual property-related expenses as Korsana files patent applications to protect innovations arising from its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includes interest income of $1.3 million earned for the three months ended March 31, 2026 and $0.1 million for the three months ended March 31, 2025. Other income includes interest income of $1.6 million earned for the year ended December 31, 2025 and less than $0.1 million for the period from November 8, 2024 (inception) to December 31, 2024. Other income relates to interest earned on Korsana’s money market accounts. The increase in interest income relates to an increase in the cash and cash equivalents balance from the issuance of Korsana’s Series A convertible preferred stock in September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three months ended March 31, 2026 and for the three months ended March 31, 2025. No provision for income taxes was recorded for the year ended December 31, 2025 and for the period from November 8, 2024 (inception) through December 31, 2024. Korsana has recorded a full valuation allowance against its net deferred tax assets at the various balance sheet dates, as Korsana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condensed consolidated statements of operations and comprehensive loss for the periods presented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35"/>
        <w:gridCol w:w="652"/>
        <w:gridCol w:w="251"/>
        <w:gridCol w:w="1360"/>
        <w:gridCol w:w="155"/>
        <w:gridCol w:w="652"/>
        <w:gridCol w:w="378"/>
        <w:gridCol w:w="1246"/>
        <w:gridCol w:w="159"/>
      </w:tblGrid>
      <w:tr>
        <w:trPr/>
        <w:tc>
          <w:tcPr>
            <w:tcW w:w="4535"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2025</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5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2"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11,477</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5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3,283</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44</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14,760</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143</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5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(14,760</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(143</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5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70</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1,250</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65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(73</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$8.8 million for the three months ended March 31, 2026 and less than $0.1 million for the three months March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77"/>
        <w:gridCol w:w="577"/>
        <w:gridCol w:w="274"/>
        <w:gridCol w:w="1339"/>
        <w:gridCol w:w="60"/>
        <w:gridCol w:w="577"/>
        <w:gridCol w:w="435"/>
        <w:gridCol w:w="1201"/>
        <w:gridCol w:w="65"/>
      </w:tblGrid>
      <w:tr>
        <w:trPr/>
        <w:tc>
          <w:tcPr>
            <w:tcW w:w="5677"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77"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2025</w:t>
            </w:r>
          </w:p>
        </w:tc>
        <w:tc>
          <w:tcPr>
            <w:tcW w:w="65" w:type="dxa"/>
            <w:tcBorders/>
            <w:vAlign w:val="bottom"/>
          </w:tcPr>
          <w:p>
            <w:pPr>
              <w:pStyle w:val="TableContents"/>
              <w:bidi w:val="0"/>
              <w:spacing w:before="0" w:after="283"/>
              <w:jc w:val="left"/>
              <w:rPr/>
            </w:pPr>
            <w:r>
              <w:rPr/>
              <w:t> </w:t>
            </w:r>
          </w:p>
        </w:tc>
      </w:tr>
      <w:tr>
        <w:trPr/>
        <w:tc>
          <w:tcPr>
            <w:tcW w:w="5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selected program / platform:</w:t>
            </w:r>
          </w:p>
        </w:tc>
        <w:tc>
          <w:tcPr>
            <w:tcW w:w="5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12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77" w:type="dxa"/>
            <w:tcBorders/>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57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8,897</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w:t>
            </w:r>
          </w:p>
        </w:tc>
        <w:tc>
          <w:tcPr>
            <w:tcW w:w="12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5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1,488</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677"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57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sz w:val="4"/>
                <w:szCs w:val="4"/>
              </w:rPr>
            </w:pPr>
            <w:r>
              <w:rPr>
                <w:sz w:val="4"/>
                <w:szCs w:val="4"/>
              </w:rPr>
            </w:r>
          </w:p>
        </w:tc>
        <w:tc>
          <w:tcPr>
            <w:tcW w:w="120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5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956</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23</w:t>
            </w:r>
          </w:p>
        </w:tc>
        <w:tc>
          <w:tcPr>
            <w:tcW w:w="65" w:type="dxa"/>
            <w:tcBorders/>
            <w:shd w:fill="CCEEFF" w:val="clear"/>
            <w:vAlign w:val="bottom"/>
          </w:tcPr>
          <w:p>
            <w:pPr>
              <w:pStyle w:val="TableContents"/>
              <w:bidi w:val="0"/>
              <w:spacing w:before="0" w:after="283"/>
              <w:jc w:val="left"/>
              <w:rPr/>
            </w:pPr>
            <w:r>
              <w:rPr/>
              <w:t> </w:t>
            </w:r>
          </w:p>
        </w:tc>
      </w:tr>
      <w:tr>
        <w:trPr/>
        <w:tc>
          <w:tcPr>
            <w:tcW w:w="5677" w:type="dxa"/>
            <w:tcBorders/>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57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5677"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5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11,477</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99</w:t>
            </w:r>
          </w:p>
        </w:tc>
        <w:tc>
          <w:tcPr>
            <w:tcW w:w="65" w:type="dxa"/>
            <w:tcBorders/>
            <w:shd w:fill="CCEEFF" w:val="clear"/>
            <w:vAlign w:val="bottom"/>
          </w:tcPr>
          <w:p>
            <w:pPr>
              <w:pStyle w:val="TableContents"/>
              <w:bidi w:val="0"/>
              <w:spacing w:before="0" w:after="283"/>
              <w:jc w:val="left"/>
              <w:rPr/>
            </w:pPr>
            <w:r>
              <w:rPr/>
              <w:t> </w:t>
            </w:r>
          </w:p>
        </w:tc>
      </w:tr>
      <w:tr>
        <w:trPr/>
        <w:tc>
          <w:tcPr>
            <w:tcW w:w="5677"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$7.1 million for the three months ended March 31, 2026 and $0 for the three months ended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$1.5 million for the three months ended March 31, 2026 and $0 for the three months ended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$0.2 million for the three months ended March 31, 2026 and less than $0.1 million for the three months ended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three months ended March 31, 2026 and $0 for the three months ended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$11.5 million for the period ended March 31,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$7.1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personnel-related costs related to recruiting costs, salaries, benefits, and other compensation-related costs, including stock-based compensation expense of $0.3 million of which $0.2 million of stock-based compensation expense related to the 2026 Parasa Warrant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$1.6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$0.2 million of toxicology testing for the A</w:t>
            </w:r>
            <w:r>
              <w:rPr>
                <w:rFonts w:ascii="SYMBOL" w:hAnsi="SYMBOL"/>
                <w:sz w:val="20"/>
              </w:rPr>
              <w:t>b</w:t>
            </w:r>
            <w:r>
              <w:rPr>
                <w:rFonts w:ascii="Times New Roman" w:hAnsi="Times New Roman"/>
                <w:sz w:val="20"/>
              </w:rPr>
              <w:t xml:space="preserve"> program with a third-party contract research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 million of other research and development expense related to chemistry, manufacturing, and development costs with a third-party contract development and manufacturing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$0.1 million for the three months ended March 31,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Less than $0.1 million of research and development expense due to third party services rendered for the A</w:t>
            </w:r>
            <w:r>
              <w:rPr>
                <w:rFonts w:ascii="SYMBOL" w:hAnsi="SYMBOL"/>
                <w:sz w:val="20"/>
              </w:rPr>
              <w:t>b</w:t>
            </w:r>
            <w:r>
              <w:rPr>
                <w:rFonts w:ascii="Times New Roman" w:hAnsi="Times New Roman"/>
                <w:sz w:val="20"/>
              </w:rPr>
              <w:t xml:space="preserve">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44"/>
        <w:gridCol w:w="687"/>
        <w:gridCol w:w="322"/>
        <w:gridCol w:w="1297"/>
        <w:gridCol w:w="60"/>
        <w:gridCol w:w="687"/>
        <w:gridCol w:w="433"/>
        <w:gridCol w:w="1194"/>
        <w:gridCol w:w="64"/>
      </w:tblGrid>
      <w:tr>
        <w:trPr/>
        <w:tc>
          <w:tcPr>
            <w:tcW w:w="4644" w:type="dxa"/>
            <w:tcBorders/>
            <w:vAlign w:val="center"/>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44"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2025</w:t>
            </w:r>
          </w:p>
        </w:tc>
        <w:tc>
          <w:tcPr>
            <w:tcW w:w="64" w:type="dxa"/>
            <w:tcBorders/>
            <w:vAlign w:val="bottom"/>
          </w:tcPr>
          <w:p>
            <w:pPr>
              <w:pStyle w:val="TableContents"/>
              <w:bidi w:val="0"/>
              <w:spacing w:before="0" w:after="283"/>
              <w:jc w:val="left"/>
              <w:rPr/>
            </w:pPr>
            <w:r>
              <w:rPr/>
              <w:t> </w:t>
            </w:r>
          </w:p>
        </w:tc>
      </w:tr>
      <w:tr>
        <w:trPr/>
        <w:tc>
          <w:tcPr>
            <w:tcW w:w="4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68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1,661</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28</w:t>
            </w:r>
          </w:p>
        </w:tc>
        <w:tc>
          <w:tcPr>
            <w:tcW w:w="64" w:type="dxa"/>
            <w:tcBorders/>
            <w:shd w:fill="CCEEFF" w:val="clear"/>
            <w:vAlign w:val="bottom"/>
          </w:tcPr>
          <w:p>
            <w:pPr>
              <w:pStyle w:val="TableContents"/>
              <w:bidi w:val="0"/>
              <w:spacing w:before="0" w:after="283"/>
              <w:jc w:val="left"/>
              <w:rPr/>
            </w:pPr>
            <w:r>
              <w:rPr/>
              <w:t> </w:t>
            </w:r>
          </w:p>
        </w:tc>
      </w:tr>
      <w:tr>
        <w:trPr/>
        <w:tc>
          <w:tcPr>
            <w:tcW w:w="4644"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68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1,428</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8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194</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16</w:t>
            </w:r>
          </w:p>
        </w:tc>
        <w:tc>
          <w:tcPr>
            <w:tcW w:w="64" w:type="dxa"/>
            <w:tcBorders/>
            <w:shd w:fill="CCEEFF" w:val="clear"/>
            <w:vAlign w:val="bottom"/>
          </w:tcPr>
          <w:p>
            <w:pPr>
              <w:pStyle w:val="TableContents"/>
              <w:bidi w:val="0"/>
              <w:spacing w:before="0" w:after="283"/>
              <w:jc w:val="left"/>
              <w:rPr/>
            </w:pPr>
            <w:r>
              <w:rPr/>
              <w:t> </w:t>
            </w:r>
          </w:p>
        </w:tc>
      </w:tr>
      <w:tr>
        <w:trPr/>
        <w:tc>
          <w:tcPr>
            <w:tcW w:w="4644"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44"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68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97" w:type="dxa"/>
            <w:tcBorders/>
            <w:vAlign w:val="bottom"/>
          </w:tcPr>
          <w:p>
            <w:pPr>
              <w:pStyle w:val="TableContents"/>
              <w:bidi w:val="0"/>
              <w:spacing w:before="0" w:after="283"/>
              <w:jc w:val="right"/>
              <w:rPr/>
            </w:pPr>
            <w:r>
              <w:rPr/>
              <w:t>3,283</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644"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$3.3 million for the three months ended March 31, 2026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 million of professional and consulting fees associated with accounting, audit, investor and public relations, and legal fees due to an increase in Korsana’s business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 million of personnel-related costs related to recruiting costs, salaries, benefits and other compensation-related costs, including stock-based compensation of $0.4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less than $0.1 million for three months ended March 31,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professional and consulting fees associated with accounting, audit, tax and insurance;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other business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statements of operations and comprehensive loss for the periods presented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30"/>
        <w:gridCol w:w="654"/>
        <w:gridCol w:w="305"/>
        <w:gridCol w:w="1654"/>
        <w:gridCol w:w="155"/>
        <w:gridCol w:w="654"/>
        <w:gridCol w:w="468"/>
        <w:gridCol w:w="1510"/>
        <w:gridCol w:w="158"/>
      </w:tblGrid>
      <w:tr>
        <w:trPr/>
        <w:tc>
          <w:tcPr>
            <w:tcW w:w="3830"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 2024</w:t>
            </w:r>
          </w:p>
        </w:tc>
        <w:tc>
          <w:tcPr>
            <w:tcW w:w="158"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5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6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54" w:type="dxa"/>
            <w:tcBorders/>
            <w:vAlign w:val="bottom"/>
          </w:tcPr>
          <w:p>
            <w:pPr>
              <w:pStyle w:val="TableContents"/>
              <w:bidi w:val="0"/>
              <w:spacing w:before="0" w:after="283"/>
              <w:jc w:val="right"/>
              <w:rPr/>
            </w:pPr>
            <w:r>
              <w:rPr/>
              <w:t>32,785</w:t>
            </w:r>
          </w:p>
        </w:tc>
        <w:tc>
          <w:tcPr>
            <w:tcW w:w="155"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56</w:t>
            </w:r>
          </w:p>
        </w:tc>
        <w:tc>
          <w:tcPr>
            <w:tcW w:w="158"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65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4,506</w:t>
            </w:r>
          </w:p>
        </w:tc>
        <w:tc>
          <w:tcPr>
            <w:tcW w:w="15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53</w:t>
            </w:r>
          </w:p>
        </w:tc>
        <w:tc>
          <w:tcPr>
            <w:tcW w:w="158"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37,291</w:t>
            </w:r>
          </w:p>
        </w:tc>
        <w:tc>
          <w:tcPr>
            <w:tcW w:w="155"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109</w:t>
            </w:r>
          </w:p>
        </w:tc>
        <w:tc>
          <w:tcPr>
            <w:tcW w:w="158"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5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(37,291</w:t>
            </w:r>
          </w:p>
        </w:tc>
        <w:tc>
          <w:tcPr>
            <w:tcW w:w="15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sz w:val="4"/>
                <w:szCs w:val="4"/>
              </w:rPr>
            </w:pPr>
            <w:r>
              <w:rPr>
                <w:sz w:val="4"/>
                <w:szCs w:val="4"/>
              </w:rPr>
            </w:r>
          </w:p>
        </w:tc>
        <w:tc>
          <w:tcPr>
            <w:tcW w:w="151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5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1,649</w:t>
            </w:r>
          </w:p>
        </w:tc>
        <w:tc>
          <w:tcPr>
            <w:tcW w:w="15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21</w:t>
            </w:r>
          </w:p>
        </w:tc>
        <w:tc>
          <w:tcPr>
            <w:tcW w:w="158"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65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w:t>
            </w:r>
          </w:p>
        </w:tc>
        <w:tc>
          <w:tcPr>
            <w:tcW w:w="1510" w:type="dxa"/>
            <w:tcBorders/>
            <w:shd w:fill="CCEEFF" w:val="clear"/>
            <w:vAlign w:val="bottom"/>
          </w:tcPr>
          <w:p>
            <w:pPr>
              <w:pStyle w:val="TableContents"/>
              <w:bidi w:val="0"/>
              <w:spacing w:before="0" w:after="283"/>
              <w:jc w:val="right"/>
              <w:rPr/>
            </w:pPr>
            <w:r>
              <w:rPr/>
              <w:t>(88</w:t>
            </w:r>
          </w:p>
        </w:tc>
        <w:tc>
          <w:tcPr>
            <w:tcW w:w="158"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$31.2 million for the year ended December 31, 2025 and $0 for the period from November 8, 2024 (inception) to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$1.2 million for the year ended December 31, 2025 and $0 for the period from November 8, 2024 (inception) to December 31,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0"/>
        <w:gridCol w:w="663"/>
        <w:gridCol w:w="333"/>
        <w:gridCol w:w="1630"/>
        <w:gridCol w:w="60"/>
        <w:gridCol w:w="663"/>
        <w:gridCol w:w="537"/>
        <w:gridCol w:w="1474"/>
        <w:gridCol w:w="65"/>
      </w:tblGrid>
      <w:tr>
        <w:trPr/>
        <w:tc>
          <w:tcPr>
            <w:tcW w:w="4780" w:type="dxa"/>
            <w:tcBorders/>
            <w:vAlign w:val="center"/>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8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1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2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18, 2024</w:t>
              <w:br/>
              <w:t>(Inception) to</w:t>
              <w:br/>
              <w:t>December 31, 2024</w:t>
            </w:r>
          </w:p>
        </w:tc>
        <w:tc>
          <w:tcPr>
            <w:tcW w:w="65" w:type="dxa"/>
            <w:tcBorders/>
            <w:vAlign w:val="bottom"/>
          </w:tcPr>
          <w:p>
            <w:pPr>
              <w:pStyle w:val="TableContents"/>
              <w:bidi w:val="0"/>
              <w:spacing w:before="0" w:after="283"/>
              <w:jc w:val="left"/>
              <w:rPr/>
            </w:pPr>
            <w:r>
              <w:rPr/>
              <w:t> </w:t>
            </w:r>
          </w:p>
        </w:tc>
      </w:tr>
      <w:tr>
        <w:trPr/>
        <w:tc>
          <w:tcPr>
            <w:tcW w:w="4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Extemal research and development costs by selected program / platform :</w:t>
            </w:r>
          </w:p>
        </w:tc>
        <w:tc>
          <w:tcPr>
            <w:tcW w:w="66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sz w:val="4"/>
                <w:szCs w:val="4"/>
              </w:rPr>
            </w:pPr>
            <w:r>
              <w:rPr>
                <w:sz w:val="4"/>
                <w:szCs w:val="4"/>
              </w:rPr>
            </w:r>
          </w:p>
        </w:tc>
        <w:tc>
          <w:tcPr>
            <w:tcW w:w="147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80" w:type="dxa"/>
            <w:tcBorders/>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66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w:t>
            </w:r>
          </w:p>
        </w:tc>
        <w:tc>
          <w:tcPr>
            <w:tcW w:w="1630" w:type="dxa"/>
            <w:tcBorders/>
            <w:vAlign w:val="bottom"/>
          </w:tcPr>
          <w:p>
            <w:pPr>
              <w:pStyle w:val="TableContents"/>
              <w:bidi w:val="0"/>
              <w:spacing w:before="0" w:after="283"/>
              <w:jc w:val="right"/>
              <w:rPr/>
            </w:pPr>
            <w:r>
              <w:rPr/>
              <w:t>27,003</w:t>
            </w:r>
          </w:p>
        </w:tc>
        <w:tc>
          <w:tcPr>
            <w:tcW w:w="6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w:t>
            </w:r>
          </w:p>
        </w:tc>
        <w:tc>
          <w:tcPr>
            <w:tcW w:w="147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66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4,062</w:t>
            </w:r>
          </w:p>
        </w:tc>
        <w:tc>
          <w:tcPr>
            <w:tcW w:w="6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80"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66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66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1,557</w:t>
            </w:r>
          </w:p>
        </w:tc>
        <w:tc>
          <w:tcPr>
            <w:tcW w:w="6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56</w:t>
            </w:r>
          </w:p>
        </w:tc>
        <w:tc>
          <w:tcPr>
            <w:tcW w:w="65" w:type="dxa"/>
            <w:tcBorders/>
            <w:shd w:fill="CCEEFF" w:val="clear"/>
            <w:vAlign w:val="bottom"/>
          </w:tcPr>
          <w:p>
            <w:pPr>
              <w:pStyle w:val="TableContents"/>
              <w:bidi w:val="0"/>
              <w:spacing w:before="0" w:after="283"/>
              <w:jc w:val="left"/>
              <w:rPr/>
            </w:pPr>
            <w:r>
              <w:rPr/>
              <w:t> </w:t>
            </w:r>
          </w:p>
        </w:tc>
      </w:tr>
      <w:tr>
        <w:trPr/>
        <w:tc>
          <w:tcPr>
            <w:tcW w:w="4780" w:type="dxa"/>
            <w:tcBorders/>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66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80"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47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66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30" w:type="dxa"/>
            <w:tcBorders/>
            <w:shd w:fill="CCEEFF" w:val="clear"/>
            <w:vAlign w:val="bottom"/>
          </w:tcPr>
          <w:p>
            <w:pPr>
              <w:pStyle w:val="TableContents"/>
              <w:bidi w:val="0"/>
              <w:spacing w:before="0" w:after="283"/>
              <w:jc w:val="right"/>
              <w:rPr/>
            </w:pPr>
            <w:r>
              <w:rPr/>
              <w:t>32,785</w:t>
            </w:r>
          </w:p>
        </w:tc>
        <w:tc>
          <w:tcPr>
            <w:tcW w:w="6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pPr>
            <w:r>
              <w:rPr/>
              <w:t>$</w:t>
            </w:r>
          </w:p>
        </w:tc>
        <w:tc>
          <w:tcPr>
            <w:tcW w:w="1474" w:type="dxa"/>
            <w:tcBorders/>
            <w:shd w:fill="CCEEFF" w:val="clear"/>
            <w:vAlign w:val="bottom"/>
          </w:tcPr>
          <w:p>
            <w:pPr>
              <w:pStyle w:val="TableContents"/>
              <w:bidi w:val="0"/>
              <w:spacing w:before="0" w:after="283"/>
              <w:jc w:val="right"/>
              <w:rPr/>
            </w:pPr>
            <w:r>
              <w:rPr/>
              <w:t>56</w:t>
            </w:r>
          </w:p>
        </w:tc>
        <w:tc>
          <w:tcPr>
            <w:tcW w:w="65" w:type="dxa"/>
            <w:tcBorders/>
            <w:shd w:fill="CCEEFF" w:val="clear"/>
            <w:vAlign w:val="bottom"/>
          </w:tcPr>
          <w:p>
            <w:pPr>
              <w:pStyle w:val="TableContents"/>
              <w:bidi w:val="0"/>
              <w:spacing w:before="0" w:after="283"/>
              <w:jc w:val="left"/>
              <w:rPr/>
            </w:pPr>
            <w:r>
              <w:rPr/>
              <w:t> </w:t>
            </w:r>
          </w:p>
        </w:tc>
      </w:tr>
      <w:tr>
        <w:trPr/>
        <w:tc>
          <w:tcPr>
            <w:tcW w:w="4780"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3" w:type="dxa"/>
            <w:tcBorders/>
            <w:vAlign w:val="bottom"/>
          </w:tcPr>
          <w:p>
            <w:pPr>
              <w:pStyle w:val="TableContents"/>
              <w:bidi w:val="0"/>
              <w:spacing w:before="0" w:after="283"/>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47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$26.4 million for the year ended December 31, 2025 and $0 for the period from November 8, 2024 (inception) to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$3.9 million for the year ended December 31, 2025 and $0 for the period from November 8, 2024 (inception) to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$0.9 million for the year ended December 31, 2025 and $0 for the period from November 8, 2024 (inception) to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$32.8 million for the year ended December 31,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$26.4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 million of personnel-related costs related to recruiting costs, salaries, benefits, and other compensation-related costs, including stock-based compensation expense of $0.9 million of which $0.8 million of stock-based compensation related to the 2025 Parasa Warrant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$0.6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$0.4 million of toxicology testing for the A</w:t>
            </w:r>
            <w:r>
              <w:rPr>
                <w:rFonts w:ascii="SYMBOL" w:hAnsi="SYMBOL"/>
                <w:sz w:val="20"/>
              </w:rPr>
              <w:t>b</w:t>
            </w:r>
            <w:r>
              <w:rPr>
                <w:rFonts w:ascii="Times New Roman" w:hAnsi="Times New Roman"/>
                <w:sz w:val="20"/>
              </w:rPr>
              <w:t xml:space="preserve"> program with a third-party contract research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research and development expense related to chemistry, manufacturing, and development costs with a third-party contract development and manufacturing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research and development expense due to an increase in chemistry, manufacturing, and development costs for undisclosed program 003, including $0.1 million of toxicology testing for undisclosed program 003 with a third-party contract research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84"/>
        <w:gridCol w:w="679"/>
        <w:gridCol w:w="391"/>
        <w:gridCol w:w="1567"/>
        <w:gridCol w:w="60"/>
        <w:gridCol w:w="679"/>
        <w:gridCol w:w="526"/>
        <w:gridCol w:w="1438"/>
        <w:gridCol w:w="64"/>
      </w:tblGrid>
      <w:tr>
        <w:trPr/>
        <w:tc>
          <w:tcPr>
            <w:tcW w:w="3984" w:type="dxa"/>
            <w:tcBorders/>
            <w:vAlign w:val="center"/>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4"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 2024</w:t>
            </w:r>
          </w:p>
        </w:tc>
        <w:tc>
          <w:tcPr>
            <w:tcW w:w="64" w:type="dxa"/>
            <w:tcBorders/>
            <w:vAlign w:val="bottom"/>
          </w:tcPr>
          <w:p>
            <w:pPr>
              <w:pStyle w:val="TableContents"/>
              <w:bidi w:val="0"/>
              <w:spacing w:before="0" w:after="283"/>
              <w:jc w:val="left"/>
              <w:rPr/>
            </w:pPr>
            <w:r>
              <w:rPr/>
              <w:t> </w:t>
            </w:r>
          </w:p>
        </w:tc>
      </w:tr>
      <w:tr>
        <w:trPr/>
        <w:tc>
          <w:tcPr>
            <w:tcW w:w="3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fees(1)</w:t>
            </w:r>
          </w:p>
        </w:tc>
        <w:tc>
          <w:tcPr>
            <w:tcW w:w="67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2,452</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36</w:t>
            </w:r>
          </w:p>
        </w:tc>
        <w:tc>
          <w:tcPr>
            <w:tcW w:w="64" w:type="dxa"/>
            <w:tcBorders/>
            <w:shd w:fill="CCEEFF" w:val="clear"/>
            <w:vAlign w:val="bottom"/>
          </w:tcPr>
          <w:p>
            <w:pPr>
              <w:pStyle w:val="TableContents"/>
              <w:bidi w:val="0"/>
              <w:spacing w:before="0" w:after="283"/>
              <w:jc w:val="left"/>
              <w:rPr/>
            </w:pPr>
            <w:r>
              <w:rPr/>
              <w:t> </w:t>
            </w:r>
          </w:p>
        </w:tc>
      </w:tr>
      <w:tr>
        <w:trPr/>
        <w:tc>
          <w:tcPr>
            <w:tcW w:w="3984"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67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related to patent(2)</w:t>
            </w:r>
          </w:p>
        </w:tc>
        <w:tc>
          <w:tcPr>
            <w:tcW w:w="67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10</w:t>
            </w:r>
          </w:p>
        </w:tc>
        <w:tc>
          <w:tcPr>
            <w:tcW w:w="64" w:type="dxa"/>
            <w:tcBorders/>
            <w:shd w:fill="CCEEFF" w:val="clear"/>
            <w:vAlign w:val="bottom"/>
          </w:tcPr>
          <w:p>
            <w:pPr>
              <w:pStyle w:val="TableContents"/>
              <w:bidi w:val="0"/>
              <w:spacing w:before="0" w:after="283"/>
              <w:jc w:val="left"/>
              <w:rPr/>
            </w:pPr>
            <w:r>
              <w:rPr/>
              <w:t> </w:t>
            </w:r>
          </w:p>
        </w:tc>
      </w:tr>
      <w:tr>
        <w:trPr/>
        <w:tc>
          <w:tcPr>
            <w:tcW w:w="3984" w:type="dxa"/>
            <w:tcBorders/>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67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984"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67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4,506</w:t>
            </w:r>
          </w:p>
        </w:tc>
        <w:tc>
          <w:tcPr>
            <w:tcW w:w="6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53</w:t>
            </w:r>
          </w:p>
        </w:tc>
        <w:tc>
          <w:tcPr>
            <w:tcW w:w="64" w:type="dxa"/>
            <w:tcBorders/>
            <w:shd w:fill="CCEEFF" w:val="clear"/>
            <w:vAlign w:val="bottom"/>
          </w:tcPr>
          <w:p>
            <w:pPr>
              <w:pStyle w:val="TableContents"/>
              <w:bidi w:val="0"/>
              <w:spacing w:before="0" w:after="283"/>
              <w:jc w:val="left"/>
              <w:rPr/>
            </w:pPr>
            <w:r>
              <w:rPr/>
              <w:t> </w:t>
            </w:r>
          </w:p>
        </w:tc>
      </w:tr>
      <w:tr>
        <w:trPr/>
        <w:tc>
          <w:tcPr>
            <w:tcW w:w="3984"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$0.5 million for the year ended December 31, 2025 and $0 for the period from November 8, 2024 (inception) to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$0.6 million for the year ended December 31, 2025 and $0 for the period from November 8, 2024 (inception) to December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$4.5 million for the year ended December 31, 2025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 million of professional and consulting fees associated with accounting, audit, investor and public relations, and legal fees due to an increase in Korsana’s business activity, including $0.5 million reimbursed to Paragon and the chief executive officer for such services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million of personnel-related costs related to recruiting costs, salaries, benefits and other compensation-related costs, including stock-based compensation of $0.7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legal fees due to Paragon associated with patent-related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corporate legal fees and legal fees associated with patent-related activities.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Since its inception, Korsana has incurred significant operating losses. Korsana expects to incur significant expenses and operating losses for the foreseeable future as Korsana continues the preclinical development of its programs and commences clinical development of the A</w:t>
      </w:r>
      <w:r>
        <w:rPr>
          <w:rFonts w:ascii="SYMBOL" w:hAnsi="SYMBOL"/>
          <w:sz w:val="20"/>
        </w:rPr>
        <w:t>b</w:t>
      </w:r>
      <w:r>
        <w:rPr>
          <w:rFonts w:ascii="Times New Roman" w:hAnsi="Times New Roman"/>
          <w:sz w:val="20"/>
        </w:rPr>
        <w:t xml:space="preserve"> program and undisclosed program 003. Korsana has not yet commercialized any products and Korsana does not expect to generate revenue from sales of products for several years, if at all. To date, Korsana has primarily funded its operations with proceeds from the issuance of Series Seed and Series A preferred stock. In November 2024, Korsana issued and sold 8,000,000 shares of Series A convertible preferred stock (subsequently reclassified to Series Seed preferred stock in September 2025) at a purchase price of $1.25 per share, for total gross proceeds of $10.0 million. In September 2025, Korsana received $15.0 million in gross proceeds from the issuance of Series Seed preferred stock and $151.0 million from the issuance of Series A preferred stock. As of March 31, 2026, Korsana had cash and cash equivalents of $134.2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58"/>
        <w:gridCol w:w="607"/>
        <w:gridCol w:w="251"/>
        <w:gridCol w:w="1405"/>
        <w:gridCol w:w="155"/>
        <w:gridCol w:w="607"/>
        <w:gridCol w:w="435"/>
        <w:gridCol w:w="1196"/>
        <w:gridCol w:w="158"/>
      </w:tblGrid>
      <w:tr>
        <w:trPr/>
        <w:tc>
          <w:tcPr>
            <w:tcW w:w="3758" w:type="dxa"/>
            <w:tcBorders/>
            <w:vAlign w:val="center"/>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155"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2025</w:t>
            </w:r>
          </w:p>
        </w:tc>
        <w:tc>
          <w:tcPr>
            <w:tcW w:w="158" w:type="dxa"/>
            <w:tcBorders/>
            <w:vAlign w:val="bottom"/>
          </w:tcPr>
          <w:p>
            <w:pPr>
              <w:pStyle w:val="TableContents"/>
              <w:bidi w:val="0"/>
              <w:spacing w:before="0" w:after="283"/>
              <w:jc w:val="left"/>
              <w:rPr/>
            </w:pPr>
            <w:r>
              <w:rPr/>
              <w:t> </w:t>
            </w:r>
          </w:p>
        </w:tc>
      </w:tr>
      <w:tr>
        <w:trPr/>
        <w:tc>
          <w:tcPr>
            <w:tcW w:w="3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60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(19,477</w:t>
            </w:r>
          </w:p>
        </w:tc>
        <w:tc>
          <w:tcPr>
            <w:tcW w:w="155"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(41</w:t>
            </w:r>
          </w:p>
        </w:tc>
        <w:tc>
          <w:tcPr>
            <w:tcW w:w="158" w:type="dxa"/>
            <w:tcBorders/>
            <w:shd w:fill="CCEEFF" w:val="clear"/>
            <w:vAlign w:val="bottom"/>
          </w:tcPr>
          <w:p>
            <w:pPr>
              <w:pStyle w:val="TableContents"/>
              <w:bidi w:val="0"/>
              <w:spacing w:before="0" w:after="283"/>
              <w:jc w:val="left"/>
              <w:rPr/>
            </w:pPr>
            <w:r>
              <w:rPr/>
              <w:t>) </w:t>
            </w:r>
          </w:p>
        </w:tc>
      </w:tr>
      <w:tr>
        <w:trPr/>
        <w:tc>
          <w:tcPr>
            <w:tcW w:w="375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60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60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758" w:type="dxa"/>
            <w:tcBorders/>
            <w:vAlign w:val="bottom"/>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5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w:t>
            </w:r>
          </w:p>
        </w:tc>
        <w:tc>
          <w:tcPr>
            <w:tcW w:w="60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(19,877</w:t>
            </w:r>
          </w:p>
        </w:tc>
        <w:tc>
          <w:tcPr>
            <w:tcW w:w="155"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(41</w:t>
            </w:r>
          </w:p>
        </w:tc>
        <w:tc>
          <w:tcPr>
            <w:tcW w:w="158" w:type="dxa"/>
            <w:tcBorders/>
            <w:vAlign w:val="bottom"/>
          </w:tcPr>
          <w:p>
            <w:pPr>
              <w:pStyle w:val="TableContents"/>
              <w:bidi w:val="0"/>
              <w:spacing w:before="0" w:after="283"/>
              <w:jc w:val="left"/>
              <w:rPr/>
            </w:pPr>
            <w:r>
              <w:rPr/>
              <w:t>) </w:t>
            </w:r>
          </w:p>
        </w:tc>
      </w:tr>
      <w:tr>
        <w:trPr/>
        <w:tc>
          <w:tcPr>
            <w:tcW w:w="3758" w:type="dxa"/>
            <w:tcBorders/>
            <w:vAlign w:val="bottom"/>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was $19.5 million, which was primarily attributable to a net loss of $13.5 million and decreases in operating assets and liabilities of $6.6 million, partially offset by non-cash charges of $0.7 million. Non-cash charges consisted of $0.7 million in stock-based compensation expense. The changes in operating assets and liabilities primarily consisted of a $0.2 million decrease in accounts payable, $6.0 million decrease in accrued expenses and other current liabilities, and $0.5 million increase in prepaid expenses and other current assets. The decrease in accounts payable, and accrued expenses and other current liabilities was primarily due to repayment of vendor invoicing.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net cash used by operating activities was less than $0.1 million, which was primarily attributable to a net loss of $0.1 million, partially offset by increases in operating assets and liabilities of less than $0.1 million and non-cash charges of less than $0.1 million. Non-cash charges consisted of less than $0.1 million in stock-based compensation expense. The changes in operating assets and liabilities consisted of $0.2 million increase in accounts payable and accrued expenses and other current liabilities and $0.2 million decrease 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investing activities was $0.2 million, which is attributable to $0.2 million purchase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financing activities was $0.2 million, which is attributable to $0.2 million of deferred offering cost payments in connection with Korsana’s proposed merger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89"/>
        <w:gridCol w:w="594"/>
        <w:gridCol w:w="297"/>
        <w:gridCol w:w="1711"/>
        <w:gridCol w:w="155"/>
        <w:gridCol w:w="594"/>
        <w:gridCol w:w="334"/>
        <w:gridCol w:w="1633"/>
        <w:gridCol w:w="65"/>
      </w:tblGrid>
      <w:tr>
        <w:trPr/>
        <w:tc>
          <w:tcPr>
            <w:tcW w:w="3189"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 2024</w:t>
            </w:r>
          </w:p>
        </w:tc>
        <w:tc>
          <w:tcPr>
            <w:tcW w:w="65" w:type="dxa"/>
            <w:tcBorders/>
            <w:vAlign w:val="bottom"/>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59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(22,406</w:t>
            </w:r>
          </w:p>
        </w:tc>
        <w:tc>
          <w:tcPr>
            <w:tcW w:w="15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44</w:t>
            </w:r>
          </w:p>
        </w:tc>
        <w:tc>
          <w:tcPr>
            <w:tcW w:w="65" w:type="dxa"/>
            <w:tcBorders/>
            <w:shd w:fill="CCEEFF" w:val="clear"/>
            <w:vAlign w:val="bottom"/>
          </w:tcPr>
          <w:p>
            <w:pPr>
              <w:pStyle w:val="TableContents"/>
              <w:bidi w:val="0"/>
              <w:spacing w:before="0" w:after="283"/>
              <w:jc w:val="left"/>
              <w:rPr/>
            </w:pPr>
            <w:r>
              <w:rPr/>
              <w:t> </w:t>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594"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166,433</w:t>
            </w:r>
          </w:p>
        </w:tc>
        <w:tc>
          <w:tcPr>
            <w:tcW w:w="15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10,064</w:t>
            </w:r>
          </w:p>
        </w:tc>
        <w:tc>
          <w:tcPr>
            <w:tcW w:w="65" w:type="dxa"/>
            <w:tcBorders/>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59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144,027</w:t>
            </w:r>
          </w:p>
        </w:tc>
        <w:tc>
          <w:tcPr>
            <w:tcW w:w="15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10,108</w:t>
            </w:r>
          </w:p>
        </w:tc>
        <w:tc>
          <w:tcPr>
            <w:tcW w:w="65" w:type="dxa"/>
            <w:tcBorders/>
            <w:shd w:fill="CCEEFF" w:val="clear"/>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16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was $22.4 million, which was primarily attributable to a net loss of $35.6 million, partially offset by non-cash charges of $1.6 million and changes in operating assets and liabilities of $11.6 million. Non-cash charges consisted of $1.6 million in stock-based compensation expense. The changes in operating assets and liabilities primarily consisted of a $0.1 million increase in accounts payable, $12.0 million increase in accrued expenses and other current liabilities, partially offset by $0.5 million increase in prepaid expenses and other current assets. The increase in accounts payable, and accrued expenses and other current liabilities was primarily due to an increase in Korsana’s business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$10.6 million of additional accrued expenses and other current liabilities related to the research and development activities conducted by Paragon on behalf of Korsana, as well as vendor invoicing and payments.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operating activities was less than $0.1 million, which was primarily attributable to a net loss of $0.1 million, offset by non-cash charges of $0.1 million and changes in operating assets and liabilities of $0.1 million. Non-cash charges consisted of $0.1 million in stock-based compensation expense. The changes in operating assets and liabilities consisted of $0.1 million increase in accounts payable, accrued expenses and other current liabilities. The increase in accounts payable, accrued expenses and other current liabilities was primarily due to an increase in Korsana’s business activities, as well as vendor invoicing and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financing activities was $166.4 million, consisting of $15.0 million of net proceeds from the issuance of Korsana’s Series Seed convertible preferred stock, $150.6 million of net proceeds from the issuance of Korsana’s Series A convertible preferred stock, and $0.9 million of net proceeds from the issuance of Korsana’s restricted stock awards (“RSAs”).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financing activities was $10.1 million, consisting of $10.0 million of net proceeds from the issuance of Korsana’s Series A convertible preferred stock, subsequently reclassified to Series Seed convertible preferred stock during the year ended December 31, 2025, and $0.1 million of proceeds from the issuance of restricted stock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Korsana has not generated any revenue from product sales. Korsana does not expect to generate revenue from product sales unless and until Korsana successfully completes preclinical and clinical development of, receives regulatory approval for, and commercializes a product candidate. Korsana does not know when, or if, that will occur. Korsana expects its expenses to increase substantially in connection with its ongoing activities, particularly as Korsana advances the preclinical activities and studies and initiates clinical trials. In addition, if Korsana obtains regulatory approval for any programs, Korsana expects to incur significant expenses related to product sales, marketing, and distribution to the extent that such sales, marketing and distribution are not the responsibility of potential collaborators. Further, Korsana expects to incur additional costs associated with operating as a public company. The timing and amount of Korsana’s operating expenditures will depend largely on the factors set out above. For more information, see the section titled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Korsana’s funding requirements and timing and amount of its operating expenditures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rate of progress in the development of Korsana’s existing and future research and development and discovery-related development of its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additional research programs and product candidates and discovery-related activities and preclinical studies for those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to successfully file investigational new drug applications or comparable foreign applications and obtain authorization to commence Korsana’s planned clinical trials or future clinical trials for any programs Korsana may develop the costs of enrollment and successful completion of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a third-party or Korsana’s own manufacturing facility for the programs Korsana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programs, for any of Korsana’s product candidates for which Korsana receives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Korsana’s product candidates for which Korsana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Korsana’s intellectual property rights and protection or regulatory exclusivity for any products Korsana may develop and defending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Korsana must make pursuant to its existing and potential future collaborations and licensing arrangements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Korsana incurs in maintaining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 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invests in businesses, products and technologies, including entering into licensing or collaboration arrangements for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Korsana may never generate the necessary data or results required to obtain marketing approval and achieve product sales. In addition, Korsana’s programs, if approved, may not achieve commercial success. Korsana’s commercial revenues, if any, will be derived from sales of products that Korsana does not expect to be commercially available for many years, if ever. Accordingly, Korsana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Korsana on acceptable terms, or at all. Korsana does not currently have any committed external source of funds. To the extent that Korsana raises additional capital through the sale of equity or convertible debt securities, ownership interests will be diluted, and the terms of these securities may include liquidation or other preferences that adversely affect the rights of Korsana’s existing stockholders. Additional debt financing and preferred equity financing, if available, may involve agreements that include covenants limiting or restricting Korsana’s ability to take specific actions, such as incurring debt, making capital expenditures or declaring dividends and may require the issuance of warrants, which could potentially dilute ownership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Korsana raises additional funds through strategic collaborations or licensing arrangements with third parties, Korsana may have to relinquish valuable rights to its technologies, future revenue streams, research programs, or product candidates or grant licenses on terms that may not be favorable to Korsana. If Korsana is unable to raise additional funds through equity or debt financings when needed, Korsana may be required to delay, limit or terminate its product development programs or any future commercialization efforts or grant rights to develop and market product candidates to third parties that Korsana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Korsana expects that the existing cash that and cash equivalents, which was primarily raised from Series Seed and Series A convertible preferred stock financings, will be sufficient to fund Korsana’s operating plans for at least twelve months from the date these financial statements are available to be issued. Korsana estimates that its existing cash and cash equivalents as of the date of this proxy statement/prospectus, together with the net proceeds from the Merger and the Korsana Pre-Closing Financing, will be sufficient to enable Korsana to fund Korsana’s operating expenses and capital expenditure obligations requirements through 2029. Korsana has based this estimate on assumptions that may prove to be wrong, Korsana’s operating plan may change as a result of many factors currently unknown to Korsana and Korsana could exhaust its available capital resources sooner than Korsana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Korsana entered into an Antibody Discovery and Option Agreement with Paragon and Parasa (the “Paragon ADOA”).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Parasa will be entitled to grants of warrants to purchase a number of shares equal to 1.00% of Korsana’s outstanding capital stock on a fully diluted basis as of the grant date, at an exercise price equal to fair market value. The grant dates for the issuance of the warrants was on December 31, 2025 and expected to be on December 31, 2026. Parasa’s research and discovery related activities have a service inception date preceding the grant dates, with the full award being vested as of the grant date with no post-grant date service requirement. Accordingly, the Company accrues compensation cost for the warrants expected to be granted to Parasa as the related services are provided based on the estimated fair value of the warrants at each interim reporting date, with cumulative adjustments recognized for changes in fair value through the respective grant date. When the Company entered into the Paragon ADOA with Parasa, the underlying terms and conditions of the warrant agreements had not been executed and it was uncertain whether the final terms and conditions would result in liability- or equity-classified warrants. Given the uncertainty related to the terms and conditions of the warrant agreements and the determination of liability or equity classification prior to the grant dates, the Company initially accrues the costs for the warrants as a liability.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Upon the grant of the warrant and the finalization of the terms and conditions, the Company concluded that equity classification was appropriate, resulting in a reclassification of the award from liability to equity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Korsana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related to the 2026 Parasa Warrant Obligation. An amount of $3.6 million was unpaid by Korsana at March 31, 2026 and is included in related party accrued expenses and other current liabilities within Korsana’s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Korsana’s consolidated statements of operations and comprehensive loss during the year ended December 31, 2025. An amount of $10.6 million was unpaid by Korsana at December 31, 2025 and was included in related party accrued expenses and other current liabilities within Korsana’s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Platform Option Agreement with Paragon and Parasa (the “Paragon POA”), in connection with the Paragon ADOA. Under the Paragon POA, Korsana may designate up to four target combinations (each consisting of one or two therapeutic targets and a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 a “PPOA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sz w:val="20"/>
        </w:rPr>
      </w:pPr>
      <w:r>
        <w:rPr>
          <w:rFonts w:ascii="Times New Roman" w:hAnsi="Times New Roman"/>
          <w:b/>
          <w:i/>
          <w:sz w:val="20"/>
        </w:rPr>
        <w:t>Paragon Research Letter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April 3, 2026, Korsana entered into a research letter agreement (the “Paragon Research Letter Agreement”) with Paragon Laboratories, Inc.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sz w:val="20"/>
        </w:rPr>
      </w:pPr>
      <w:r>
        <w:rPr>
          <w:rFonts w:ascii="Times New Roman" w:hAnsi="Times New Roman"/>
          <w:i/>
          <w:sz w:val="20"/>
        </w:rPr>
        <w:t>Paragon License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a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120" w:after="0"/>
        <w:jc w:val="left"/>
        <w:rPr>
          <w:rFonts w:ascii="Times New Roman" w:hAnsi="Times New Roman"/>
          <w:sz w:val="20"/>
        </w:rPr>
      </w:pPr>
      <w:r>
        <w:rPr>
          <w:rFonts w:ascii="Times New Roman" w:hAnsi="Times New Roman"/>
          <w:sz w:val="20"/>
        </w:rPr>
        <w:t>Korsana considers Paragon, Paragon Laboratories, Parasa and Fairmount to be related parties. See the section titled “</w:t>
      </w:r>
      <w:r>
        <w:rPr>
          <w:rFonts w:ascii="Times New Roman" w:hAnsi="Times New Roman"/>
          <w:i/>
          <w:sz w:val="20"/>
        </w:rPr>
        <w:t>Certain Relationships and Related Party Transactions of the Combined Company — Korsana Transactions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Korsana’s management’s discussion and analysis of its financial condition and results of operations is based on Korsana’s financial statements, which have been prepared in accordance with U.S. GAAP. The preparation of these financial statements requires Korsana to make estimates and assumptions that affect the reported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assets and liabilities and the disclosure of contingent assets and liabilities at the date of the financial statements, as well as the reported revenues recognized and expenses incurred during the reporting periods. Korsana’s estimates are based on its historical experience and on various other factors that Korsana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Korsana’s significant accounting policies are described in more detail in Note 2 to its financial statements for the year ended December 31, 2025 and for the period ended November 8, 2024 (inception) to December 31, 2024, as well as any new significant accounting policies described in Note 2 to its financial statements for the three months ended March 31, 2026, included elsewhere in this proxy statement/prospectus, Korsana believes the following accounting policies used in the preparation of Korsana’s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Korsana records the costs associated with research studies and manufacturing development as incurred. These costs are a significant component of Korsana’s research and development expenses, with a substantial portion of Korsana’s ongoing research and development activities conducted by third-party service providers, including contract research organizations (“CROs”) and contract manufacturing organizations (“CMOs”), and Korsana’s related party Paragon. </w:t>
      </w:r>
    </w:p>
    <w:p>
      <w:pPr>
        <w:pStyle w:val="TextBody"/>
        <w:bidi w:val="0"/>
        <w:spacing w:before="240" w:after="0"/>
        <w:jc w:val="left"/>
        <w:rPr>
          <w:rFonts w:ascii="Times New Roman" w:hAnsi="Times New Roman"/>
          <w:sz w:val="20"/>
        </w:rPr>
      </w:pPr>
      <w:r>
        <w:rPr>
          <w:rFonts w:ascii="Times New Roman" w:hAnsi="Times New Roman"/>
          <w:sz w:val="20"/>
        </w:rPr>
        <w:t xml:space="preserve">Korsana accrues for expenses resulting from obligations under its Paragon ADOA and Paragon POA by and among Korsana, Paragon and Parasa, and agreements with CROs, CMOs, and other outside service providers for which payment flows do not match the periods over which materials or services are provided to Korsana.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Korsana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Korsana’s accruals could materially affect its results of operations. As of March 31, 2026, Korsana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Korsana measures stock-based awards granted to employees, directors, and non-employees in the form of stock options and restricted stock awards (“RSAs”), based on their fair value on the date of the grant using the Black-Scholes option-pricing model.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Korsana had paid cash in exchange for the goods or services. Korsana accounts for forfeitures as they occur. Korsana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option-pricing model uses inputs that are determined by the board of directors on the date of grant and assumptions Korsana makes for the volatility of stock-based awards, the expected term of stock- based awards, the risk-free interest rate for a period that approximates the expected term of Korsana’s stock-based awards and its expected dividend yield. Korsana has historically been a private company and lacks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company-specific historical and implied volatility information of Korsana’s stock. Therefore, Korsana estimates its expected stock volatility based on the historical volatility of a representative group of public companies in the biotechnology industry and expects to continue to do so until such time as it has adequate historical data regarding the volatility of its own traded stock price. The expected term of Korsana’s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Korsana has estimated a 0% dividend yield based on the expected dividend yield and the fact that Korsana has never paid, and does not expect to pay, any cash dividends in the foreseeable future. See Note 7 to Korsana’s financial statements included elsewhere in this proxy statement/prospectus for information concerning certain of the specific assumptions Korsana used in applying the Black-Scholes option-pricing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Korsana’s common stock as of March 31, 2026, the estimated fair value of stock-based awards has been determined by Korsana’s board of directors as of the date of grant, with input from management, and with consideration of additional objective and subjective factors that Korsana believed were relevant. In addition, the board of directors considered various objective and subjective factors to determine the fair value of Korsana’s share-based awards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Korsana sold shares of Korsana Preferred Stock and preferences of the Korsana Preferred Stock relative to its stock-based awards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common stock valuations;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Korsana’s research and development programs, including the status of discovery-phase studies for Korsana’s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financial position, including cash on hand, and its historical and forecasted performance and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Korsana’s common stock and Korsana Preferred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common stock valuations were prepared using a recent transactions method, including an option pricing method (“OPM”). Under this method, Korsana used the observed transaction price from a recent preferred stock financing and solved for the total equity value that results in that preferred stock price, using an OPM that allocates value across the capital structure based on the rights and preferences of each equity class. The resulting total equity value was then allocated to the common stock and preferred stock based on their respective economic rights, resulting in an estimated fair value of the common stock as of the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Korsana had used significantly different assumptions or estimates, the fair value of Korsana’s common stock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Korsana’s common stock has been established, it is no longer necessary for the board of directors to estimate the fair value of Korsana’s common stock in connection with its valuation and accounting for granted stock-based awards or other such awards Korsana may grant, as the fair value of its common stock is determined based on the quoted market price of Korsana’s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Korsana’s financial position, results of operations or cash flows is disclosed in Note 2 to Korsana’s financial statements as of March 31, 2026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Korsana did not have, nor does Korsana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Korsana’s results of operations and financial condition are presented based on historical cost. While it is difficult to accurately measure the impact of inflation due to the imprecise nature of the estimates required, Korsana believes the effects of inflation, if any, on its business, results of operations, financial condition or financial statements included elsewhere in this proxy statement/prospectus have been immaterial. Korsana cannot assure you its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11069_32"/>
      <w:bookmarkEnd w:id="34"/>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the business and affairs of the Combined Company will be managed under the direction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board of directors will initially be fixed at six members, consisting of five current Korsana board members, namely Andrew Gottesdiener, Heidi Henson, Tomas Kiselak, Michelle Pernice, Nimish Shah, and Dr. Jonathan Violin.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of the Combined Company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Cyclerion’s current directors are expected to resign from their positions as directors of Cyclerion,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5"/>
        <w:gridCol w:w="201"/>
        <w:gridCol w:w="597"/>
        <w:gridCol w:w="201"/>
        <w:gridCol w:w="4581"/>
      </w:tblGrid>
      <w:tr>
        <w:trPr/>
        <w:tc>
          <w:tcPr>
            <w:tcW w:w="462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581" w:type="dxa"/>
            <w:tcBorders/>
            <w:vAlign w:val="center"/>
          </w:tcPr>
          <w:p>
            <w:pPr>
              <w:pStyle w:val="TableContents"/>
              <w:bidi w:val="0"/>
              <w:spacing w:before="0" w:after="283"/>
              <w:jc w:val="left"/>
              <w:rPr>
                <w:sz w:val="4"/>
                <w:szCs w:val="4"/>
              </w:rPr>
            </w:pPr>
            <w:r>
              <w:rPr>
                <w:sz w:val="4"/>
                <w:szCs w:val="4"/>
              </w:rPr>
            </w:r>
          </w:p>
        </w:tc>
      </w:tr>
      <w:tr>
        <w:trPr/>
        <w:tc>
          <w:tcPr>
            <w:tcW w:w="46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1"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1" w:type="dxa"/>
            <w:tcBorders/>
            <w:vAlign w:val="bottom"/>
          </w:tcPr>
          <w:p>
            <w:pPr>
              <w:pStyle w:val="TableContents"/>
              <w:bidi w:val="0"/>
              <w:spacing w:before="0" w:after="283"/>
              <w:jc w:val="left"/>
              <w:rPr/>
            </w:pPr>
            <w:r>
              <w:rPr/>
              <w:t>  </w:t>
            </w:r>
          </w:p>
        </w:tc>
        <w:tc>
          <w:tcPr>
            <w:tcW w:w="45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4625" w:type="dxa"/>
            <w:tcBorders/>
          </w:tcPr>
          <w:p>
            <w:pPr>
              <w:pStyle w:val="TableContents"/>
              <w:bidi w:val="0"/>
              <w:spacing w:before="0" w:after="283"/>
              <w:jc w:val="left"/>
              <w:rPr>
                <w:b/>
                <w:i/>
              </w:rPr>
            </w:pPr>
            <w:r>
              <w:rPr>
                <w:b/>
                <w:i/>
              </w:rPr>
              <w:t>Executive Officers</w:t>
            </w:r>
          </w:p>
        </w:tc>
        <w:tc>
          <w:tcPr>
            <w:tcW w:w="201"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4581" w:type="dxa"/>
            <w:tcBorders/>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50</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Chief Executive Officer, President and Director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49</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Chief Financial Officer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52</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General Counsel and Secretary</w:t>
            </w:r>
          </w:p>
        </w:tc>
      </w:tr>
      <w:tr>
        <w:trPr/>
        <w:tc>
          <w:tcPr>
            <w:tcW w:w="4625" w:type="dxa"/>
            <w:tcBorders/>
          </w:tcPr>
          <w:p>
            <w:pPr>
              <w:pStyle w:val="TableContents"/>
              <w:bidi w:val="0"/>
              <w:spacing w:before="0" w:after="283"/>
              <w:jc w:val="left"/>
              <w:rPr>
                <w:b/>
                <w:i/>
              </w:rPr>
            </w:pPr>
            <w:r>
              <w:rPr>
                <w:b/>
                <w:i/>
              </w:rPr>
              <w:t>Non-Employee Directors:</w:t>
            </w:r>
          </w:p>
        </w:tc>
        <w:tc>
          <w:tcPr>
            <w:tcW w:w="201"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4581" w:type="dxa"/>
            <w:tcBorders/>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35</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Director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60</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Director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40</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Director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38</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Director</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201"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pPr>
            <w:r>
              <w:rPr/>
              <w:t>48</w:t>
            </w:r>
          </w:p>
        </w:tc>
        <w:tc>
          <w:tcPr>
            <w:tcW w:w="201" w:type="dxa"/>
            <w:tcBorders/>
            <w:vAlign w:val="bottom"/>
          </w:tcPr>
          <w:p>
            <w:pPr>
              <w:pStyle w:val="TableContents"/>
              <w:bidi w:val="0"/>
              <w:spacing w:before="0" w:after="283"/>
              <w:jc w:val="left"/>
              <w:rPr/>
            </w:pPr>
            <w:r>
              <w:rPr/>
              <w:t>  </w:t>
            </w:r>
          </w:p>
        </w:tc>
        <w:tc>
          <w:tcPr>
            <w:tcW w:w="4581"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Jonathan Violin, Ph.D.</w:t>
      </w:r>
      <w:r>
        <w:rPr>
          <w:rFonts w:ascii="Times New Roman" w:hAnsi="Times New Roman"/>
          <w:sz w:val="20"/>
        </w:rPr>
        <w:t xml:space="preserve"> Dr. Violin has served as Korsana’s Chief Executive Officer and President since August 2025 and as a member of the Korsana Board since September 2025. Prior to joining Korsana, Dr. Violin served as the interim Chief Executive Officer and President of Crescent Biopharma, Inc. (Nasdaq: CBIO) from October 2024 to March 2025. Dr. Violin has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Dr. Violin was the Co-Founder of Viridian’s predecessor and led its operations from April 2020 to its acquisition. Dr. Violin has served as a member of the board of directors of Crescent Biopharma, Inc. (Nasdaq: CBIO) since October 2024 and Dianthus Therapeutics, Inc. (Nasdaq: DNTH), a biotechnology company he co-founded, since July 2019. Dr. Violin also co-founded Quellis Biosciences, Inc., a biotechnology company (acquired by Astria Therapeutics, Inc. (Nasdaq: ATXS), formerly Catabasis Pharmaceuticals, Inc.), in 2018 and served on the Astria Therapeutics board of directors from January 2021 until its acquisition by BioCryst Pharmaceuticals in January 2026. Prior to that, Dr. Violin co-founded and helped lead Trevena Inc. (Nasdaq: TRVN), a biotechnology company, in various roles from 2008 until November 2018, including most recently as Senior Vice President, Scientific Affairs and Investor Relations Officer. Dr. Violin received a Ph.D. from the Department of Pharmacology in the Biomedical Sciences Program at the University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California, San Diego, a M.B.A. with a concentration in Health Sector Management from the Fuqua School of Business at Duke University, and a B.S. in Chemical Pharmacology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Dr. Violin is qualified to serve as a member of the Combined Company’s board of directors because of his extensive experience and innovations in the field of biotechnology, leadership experience as CEO of several public biotechnology companies, and his academic expertise and accomplishments. </w:t>
      </w:r>
    </w:p>
    <w:p>
      <w:pPr>
        <w:pStyle w:val="TextBody"/>
        <w:bidi w:val="0"/>
        <w:spacing w:before="240" w:after="0"/>
        <w:jc w:val="left"/>
        <w:rPr>
          <w:rFonts w:ascii="Times New Roman" w:hAnsi="Times New Roman"/>
          <w:sz w:val="20"/>
        </w:rPr>
      </w:pPr>
      <w:r>
        <w:rPr>
          <w:rFonts w:ascii="Times New Roman" w:hAnsi="Times New Roman"/>
          <w:b/>
          <w:sz w:val="20"/>
        </w:rPr>
        <w:t>Mark Vignola, Ph.D.</w:t>
      </w:r>
      <w:r>
        <w:rPr>
          <w:rFonts w:ascii="Times New Roman" w:hAnsi="Times New Roman"/>
          <w:sz w:val="20"/>
        </w:rPr>
        <w:t xml:space="preserve"> Dr. Vignola has served as Korsana’s Chief Financial Officer since March 2026. Prior to joining Korsana, Dr. Vignola served as the Chief Financial Officer of Terns Pharmaceuticals, Inc. (Nasdaq: TERN), a clinical-stage biopharmaceutical company, from August 2020 to February 2025, where he led the company’s crossover financing, initial public offering, and multiple follow-on offerings. Previously, Dr. Vignola was the Chief Financial Officer at Applied Therapeutics, Inc., a clinical-stage biopharmaceutical company where he led several financing rounds, from May 2019 to May 2020. Earlier in his career, Dr. Vignola was Head of Corporate Development and Investor Relations at Intercept Pharmaceuticals, Inc. and a biotechnology equity research analyst at Needham &amp; Company. Dr. Vignola earned his B.S. in Biology from Boston College and his Ph.D. in Molecular Genetics and Microbiology from Duke University. </w:t>
      </w:r>
    </w:p>
    <w:p>
      <w:pPr>
        <w:pStyle w:val="TextBody"/>
        <w:bidi w:val="0"/>
        <w:spacing w:before="240" w:after="0"/>
        <w:jc w:val="left"/>
        <w:rPr>
          <w:rFonts w:ascii="Times New Roman" w:hAnsi="Times New Roman"/>
          <w:sz w:val="20"/>
        </w:rPr>
      </w:pPr>
      <w:r>
        <w:rPr>
          <w:rFonts w:ascii="Times New Roman" w:hAnsi="Times New Roman"/>
          <w:b/>
          <w:sz w:val="20"/>
        </w:rPr>
        <w:t>Madelyn Zeylikman</w:t>
      </w:r>
      <w:r>
        <w:rPr>
          <w:rFonts w:ascii="Times New Roman" w:hAnsi="Times New Roman"/>
          <w:sz w:val="20"/>
        </w:rPr>
        <w:t xml:space="preserve">. Ms. Zeylikman has served as Korsana’s General Counsel and Secretary since January 2026. Prior to joining Korsana, Ms. Zeylikman served in senior legal roles at Kiniksa Pharmaceuticals International, plc (Nasdaq: KNSA), a biopharmaceutical company, from August 2020 to September 2025, including as General Counsel and Secretary beginning in May 2021, supporting the successful launch of Kiniksa’s first commercially approved drug and advising on key business transactions. Ms. Zeylikman also held senior legal roles at Verastem, Inc. (Nasdaq: VSTM) and NxStage Medical, Inc., and began her career as a transactional attorney in the life sciences group at Ropes &amp; Gray LLP. Ms. Zeylikman holds a J.D. from the University of California, Berkeley, and a B.S. in Biology from Duke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Andrew Gottesdiener</w:t>
      </w:r>
      <w:r>
        <w:rPr>
          <w:rFonts w:ascii="Times New Roman" w:hAnsi="Times New Roman"/>
          <w:sz w:val="20"/>
        </w:rPr>
        <w:t xml:space="preserve">. Dr. Gottesdiener has served as a member of the Korsana Board since November 2024. Dr. Gottesdiener is a partner at Venrock Healthcare Capital Partners, an investment firm, in its New York office, where he focuses on healthcare investments. Dr. Gottesdiener is also a co-founder of Apogee Therapeutics, Inc. (Nasdaq: APGE), a clinical stage biotechnology company, and has served as a member of Apogee’s board since 2022. Prior to joining Venrock Healthcare Capital Partners full-time in September 2018, Dr. Gottesdiener earned his M.D. from Weill Cornell Medical College during which time he received an HHMI summer fellowship for basic science research. He also has an M.B.A. from Columbia Business School. Dr. Gottesdiener received an A.B. in Economics from Washington University in St. Louis.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Dr. Gottesdiener is qualified to serve as a member of the Combined Company’s board of directors because of his extensive experience in the biotechnology industry providing leadership in biotechnology investments and his medical and research background. </w:t>
      </w:r>
    </w:p>
    <w:p>
      <w:pPr>
        <w:pStyle w:val="TextBody"/>
        <w:bidi w:val="0"/>
        <w:spacing w:before="240" w:after="0"/>
        <w:jc w:val="left"/>
        <w:rPr>
          <w:rFonts w:ascii="Times New Roman" w:hAnsi="Times New Roman"/>
          <w:sz w:val="20"/>
        </w:rPr>
      </w:pPr>
      <w:r>
        <w:rPr>
          <w:rFonts w:ascii="Times New Roman" w:hAnsi="Times New Roman"/>
          <w:b/>
          <w:sz w:val="20"/>
        </w:rPr>
        <w:t>Heidi Henson</w:t>
      </w:r>
      <w:r>
        <w:rPr>
          <w:rFonts w:ascii="Times New Roman" w:hAnsi="Times New Roman"/>
          <w:sz w:val="20"/>
        </w:rPr>
        <w:t xml:space="preserve">. Ms. Henson has served as a member of the Korsana Board since June 2026. Ms. Henson served as Chief Financial Officer of Pardes Biosciences Inc. (Nasdaq: PRDS), a clinical-stage biopharmaceutical company, from January 2021 until its sale in September 2023. From April 2019 to July 2020, Ms. Henson served as Chief Financial Officer of Imbria Pharmaceuticals, Inc., a private biotechnology company, and from November 2018 to April 2019 she served as Chief Financial Officer of Respivant Sciences, a private clinical-stage biopharmaceutical company. From October 2014 to July 2018, Ms. Henson served as Chief Financial Officer of Kura Oncology, Inc. (Nasdaq: KURA), a biopharmaceutical company. Ms. Henson also served as Chief Financial Officer of Wellspring Biosciences, Inc., a private biopharmaceutical company, and its parent company Araxes Pharma LLC, from July 2012 to July 2018, and served as Secretary of Wellspring and Araxes from July 2012 to January 2015. From 2007 to March 2012, Ms. Henson served as the Vice President, Finance at Intellikine, Inc., a private biopharmaceutical company, until its acquisition by Takeda Pharmaceutical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Ms. Henson began her career in auditing at PricewaterhouseCoopers LLP, a public accounting firm, where she served both public and private companies. Ms. Henson has served on the boards of directors of Lisata Therapeutics, Inc. (Nasdaq: LSTA) since 2022, Pepgen, Inc. (Nasdaq: PEPG) since 2021 and Perspective Therapeutics, Inc. (NYSE: CATX) since 2023. She received a Bachelor’s of Accountancy from the University of San Diego and is a Certified Public Accountant (inactive) in the state of California.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Henson is qualified to serve as a member of the Combined Company’s board of directors because of her extensive financial experience in the biotechnology sector, as well her experience serving on the boards of directors of numerous other biotechnology companies. </w:t>
      </w:r>
    </w:p>
    <w:p>
      <w:pPr>
        <w:pStyle w:val="TextBody"/>
        <w:bidi w:val="0"/>
        <w:spacing w:before="240" w:after="0"/>
        <w:jc w:val="left"/>
        <w:rPr>
          <w:rFonts w:ascii="Times New Roman" w:hAnsi="Times New Roman"/>
          <w:sz w:val="20"/>
        </w:rPr>
      </w:pPr>
      <w:r>
        <w:rPr>
          <w:rFonts w:ascii="Times New Roman" w:hAnsi="Times New Roman"/>
          <w:b/>
          <w:sz w:val="20"/>
        </w:rPr>
        <w:t>Tomas Kiselak</w:t>
      </w:r>
      <w:r>
        <w:rPr>
          <w:rFonts w:ascii="Times New Roman" w:hAnsi="Times New Roman"/>
          <w:sz w:val="20"/>
        </w:rPr>
        <w:t xml:space="preserve">. Mr. Kiselak has served as a member of the Korsana Board since November 2024. Mr. Kiselak is a Founding Partner at Fairmount Funds Management LLC, a healthcare investment firm he co-founded in April 2016. Prior to Fairmount, he was a managing director at RA Capital Management, LLC, a healthcare and life science investment firm. Mr. Kiselak currently serves as the chairman of the board of directors of Viridian Therapeutics, Inc. (Nasdaq: VRDN) and has been a member of Viridian’s board since October 2020, and has served as a director for Apogee Therapeutics, Inc. (Nasdaq: APGE) since June 2023, Jade Biosciences, Inc. (Nasdaq: JBIO) since April 2025, Spyre Therapeutics, Inc. (Nasdaq: SYRE) since June 2023, Zenas BioPharma, Inc. (Nasdaq: ZBIO) since September 2020, and several private companies. Mr. Kiselak previously served as a director of Dianthus Therapeutics, Inc. (Nasdaq: DNTH) from September 2023 until March 2025. He received a B.S. in Neuroscience and Economics from Amherst College.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Mr. Kiselak is qualified to serve as a member of the Combined Company’s board of directors because of his experience advising and serving as a director of biotechnology companies and as a manager of funds specializing in the area of life sciences. </w:t>
      </w:r>
    </w:p>
    <w:p>
      <w:pPr>
        <w:pStyle w:val="TextBody"/>
        <w:bidi w:val="0"/>
        <w:spacing w:before="240" w:after="0"/>
        <w:jc w:val="left"/>
        <w:rPr>
          <w:rFonts w:ascii="Times New Roman" w:hAnsi="Times New Roman"/>
          <w:sz w:val="20"/>
        </w:rPr>
      </w:pPr>
      <w:r>
        <w:rPr>
          <w:rFonts w:ascii="Times New Roman" w:hAnsi="Times New Roman"/>
          <w:b/>
          <w:sz w:val="20"/>
        </w:rPr>
        <w:t>Michelle Pernice</w:t>
      </w:r>
      <w:r>
        <w:rPr>
          <w:rFonts w:ascii="Times New Roman" w:hAnsi="Times New Roman"/>
          <w:sz w:val="20"/>
        </w:rPr>
        <w:t xml:space="preserve">. Ms. Pernice has served as a member of the Korsana Board since November 2024. Ms. Pernice is an Operating Partner at Fairmount Funds Management LLC, a healthcare investment firm. Prior to joining Fairmount in October 2023, Ms. Pernice served in global regulatory roles for numerous pharmaceutical and biotechnology companies, including Pardes Biosciences from 2021 to 2023, Dynavax Technologies Corp., a commercial-stage biopharmaceutical company, from 2019 to 2021, Amgen Inc. (Nasdaq: AMGN), a global biotechnology company from 2014 to 2019, and Novartis AG (NYSE: NVS), a global pharmaceutical company, from 2012 to 2014, including development strategy across all phases of development, multiple modalities, and notable approvals. Ms. Pernice received her PharmD from St. John’s University and completed a post-PharmD fellowship through Rutgers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Pernice is qualified to serve as a member of the Combined Company’s board of directors because of her experience advising biotechnology companies and her background in global regulatory and development strategy. </w:t>
      </w:r>
    </w:p>
    <w:p>
      <w:pPr>
        <w:pStyle w:val="TextBody"/>
        <w:bidi w:val="0"/>
        <w:spacing w:before="240" w:after="0"/>
        <w:jc w:val="left"/>
        <w:rPr>
          <w:rFonts w:ascii="Times New Roman" w:hAnsi="Times New Roman"/>
          <w:sz w:val="20"/>
        </w:rPr>
      </w:pPr>
      <w:r>
        <w:rPr>
          <w:rFonts w:ascii="Times New Roman" w:hAnsi="Times New Roman"/>
          <w:b/>
          <w:sz w:val="20"/>
        </w:rPr>
        <w:t>Nimish Shah</w:t>
      </w:r>
      <w:r>
        <w:rPr>
          <w:rFonts w:ascii="Times New Roman" w:hAnsi="Times New Roman"/>
          <w:sz w:val="20"/>
        </w:rPr>
        <w:t xml:space="preserve">. Mr. Shah has served as a member of the Korsana Board since November 2024. Mr. Shah is a Partner at Venrock Healthcare Capital Partners, an investment firm, where he focuses on the firm’s public and crossover biotech investments. Mr. Shah joined Venrock Healthcare Capital Partners in 2013 and has invested in public and private healthcare companies since 2010. Mr. Shah is also a co-founder and a member of the board of directors of Apogee Therapeutics, Inc. (Nasdaq: APGE), a clinical stage biotechnology company, where he has served since 2022. Mr. Shah previously served as a director for Instil Bio, Inc. (Nasdaq: TIL) until December 2021 and as a board observer for LianBio (Nasdaq: LIAN), Biohaven Ltd. (NYSE: BHVN), Viridian Therapeutics, Inc. (Nasdaq: VRDN), and Dianthus Therapeutics, Inc. (Nasdaq: DNTH). Mr. Shah holds a B.S. in Pharmacy from Rutgers College of Pharmacy, an M.P.H. from the Mailman School of Public Health at Columbia University, and an M.B.A. from Columbia Business School. He is a member of the Columbia Business School Healthcare and Pharmaceutical Management Advisory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believes that Mr. Shah is qualified to serve as a member of the Combined Company’s board of directors because of his extensive investment management and finance experience in the healthcare sector, as well as his experience serving on the boards of directors of numerous other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The Cyclerion Board currently is declassified, with directors serving one-year terms. Following the completion of the Merger, if the Cayman Redomestication is effected, pursuant to the Cayman Articles, the Combined Company’s board of directors will be divided into three classes, with directors serving three-year terms and Class I directors holding initial terms expiring at the 2027 annual meeting of stockholders, Class II directors holding initial terms expiring at the 2028 annual meeting of stockholders and Class III directors holding initial terms expiring at the 2029 annual meeting of stockholders. The Class I directors will be Ms. Henson and Dr. Violin, the Class II directors will be Ms. Pernice and Dr. Gottesdiener, and the Class III directors will be Mr. Kiselak and Mr. Shah. See “</w:t>
      </w:r>
      <w:r>
        <w:rPr>
          <w:rFonts w:ascii="Times New Roman" w:hAnsi="Times New Roman"/>
          <w:i/>
          <w:sz w:val="20"/>
        </w:rPr>
        <w:t>Risk Factors — Risks Related</w:t>
      </w:r>
      <w:r>
        <w:rPr>
          <w:rFonts w:ascii="Times New Roman" w:hAnsi="Times New Roman"/>
          <w:sz w:val="20"/>
        </w:rPr>
        <w:t xml:space="preserve"> </w:t>
      </w:r>
      <w:r>
        <w:rPr>
          <w:rFonts w:ascii="Times New Roman" w:hAnsi="Times New Roman"/>
          <w:i/>
          <w:sz w:val="20"/>
        </w:rPr>
        <w:t>to the Cayman Redomestication</w:t>
      </w:r>
      <w:r>
        <w:rPr>
          <w:rFonts w:ascii="Times New Roman" w:hAnsi="Times New Roman"/>
          <w:sz w:val="20"/>
        </w:rPr>
        <w:t xml:space="preserve"> — </w:t>
      </w:r>
      <w:r>
        <w:rPr>
          <w:rFonts w:ascii="Times New Roman" w:hAnsi="Times New Roman"/>
          <w:i/>
          <w:sz w:val="20"/>
        </w:rPr>
        <w:t>Currently, Cyclerion</w:t>
      </w:r>
      <w:r>
        <w:rPr>
          <w:rFonts w:ascii="Times New Roman" w:hAnsi="Times New Roman"/>
          <w:sz w:val="20"/>
        </w:rPr>
        <w:t xml:space="preserve"> </w:t>
      </w:r>
      <w:r>
        <w:rPr>
          <w:rFonts w:ascii="Times New Roman" w:hAnsi="Times New Roman"/>
          <w:i/>
          <w:sz w:val="20"/>
        </w:rPr>
        <w:t>is governed by Massachusetts law, Cyclerion</w:t>
      </w:r>
      <w:r>
        <w:rPr>
          <w:rFonts w:ascii="Times New Roman" w:hAnsi="Times New Roman"/>
          <w:sz w:val="20"/>
        </w:rPr>
        <w:t xml:space="preserve"> </w:t>
      </w:r>
      <w:r>
        <w:rPr>
          <w:rFonts w:ascii="Times New Roman" w:hAnsi="Times New Roman"/>
          <w:i/>
          <w:sz w:val="20"/>
        </w:rPr>
        <w:t>Articles and Cyclerion</w:t>
      </w:r>
      <w:r>
        <w:rPr>
          <w:rFonts w:ascii="Times New Roman" w:hAnsi="Times New Roman"/>
          <w:sz w:val="20"/>
        </w:rPr>
        <w:t xml:space="preserve"> </w:t>
      </w:r>
      <w:r>
        <w:rPr>
          <w:rFonts w:ascii="Times New Roman" w:hAnsi="Times New Roman"/>
          <w:i/>
          <w:sz w:val="20"/>
        </w:rPr>
        <w:t>Bylaws, but upon effectiveness of the Cayman Redomestication</w:t>
      </w:r>
      <w:r>
        <w:rPr>
          <w:rFonts w:ascii="Times New Roman" w:hAnsi="Times New Roman"/>
          <w:sz w:val="20"/>
        </w:rPr>
        <w:t xml:space="preserve"> </w:t>
      </w:r>
      <w:r>
        <w:rPr>
          <w:rFonts w:ascii="Times New Roman" w:hAnsi="Times New Roman"/>
          <w:i/>
          <w:sz w:val="20"/>
        </w:rPr>
        <w:t>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it is expected that Dr. Gottesdiener, Mr. Kiselak, Ms. Pernice and Mr. Shah will be elected as the four Preferred Directors by the holders of Cyclerion Series B Preferred Stock, and Ms. Henson and Dr. Violin will be elected as the two At-Large Directors. The four Preferred Directors will, in the aggregate, represent approximately 86% of the total votes of the Combined Company board of directors. As a result, the four Preferred Directors would be able to control or significantly influence all matters submitted to the Combined Company board of directors for approval, including business plans and policies and the appointment and removal of the Combined Company’s officers. See “</w:t>
      </w:r>
      <w:r>
        <w:rPr>
          <w:rFonts w:ascii="Times New Roman" w:hAnsi="Times New Roman"/>
          <w:i/>
          <w:sz w:val="20"/>
        </w:rPr>
        <w:t>Risk Factors — Risks Related to the Combined Company — After completion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Preferred</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elected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Series B Preferred Stock will have the ability to control or significantly influence all matters submitted to the Combined Company board of directors for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proposed director concerning her or his background, employment and affiliations, Cyclerion and Korsana expect that the Combined Company’s board of directors will determine that Ms. Henson, Dr. Gottesdiener, Mr. Kiselak, Ms. Pernice and Mr. Shah qualify as “independent directors” as defined under Nasdaq listing rules. Jonathan Violin, Korsana’s current Chief Executive Officer, is not expected to qualify as an independent director of the Combined Company. In making these determinations,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board of directors will consider the current and prior relationships that each director has with Cyclerion and Korsana and all other facts and circumstances that the Combined Company’s board of directors deems relevant in determining the independence of each proposed director, including the interests of each Combined Company director in the Merger, any relevant related party transactions and the beneficial ownership of securities of Cyclerion, Korsana or the Combined Company by each Combined Company director. See also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in</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w:t>
      </w:r>
      <w:r>
        <w:rPr>
          <w:rFonts w:ascii="Times New Roman" w:hAnsi="Times New Roman"/>
          <w:i/>
          <w:sz w:val="20"/>
        </w:rPr>
        <w:t>Certain</w:t>
      </w:r>
      <w:r>
        <w:rPr>
          <w:rFonts w:ascii="Times New Roman" w:hAnsi="Times New Roman"/>
          <w:sz w:val="20"/>
        </w:rPr>
        <w:t xml:space="preserve"> </w:t>
      </w:r>
      <w:r>
        <w:rPr>
          <w:rFonts w:ascii="Times New Roman" w:hAnsi="Times New Roman"/>
          <w:i/>
          <w:sz w:val="20"/>
        </w:rPr>
        <w:t>Relationships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Party</w:t>
      </w:r>
      <w:r>
        <w:rPr>
          <w:rFonts w:ascii="Times New Roman" w:hAnsi="Times New Roman"/>
          <w:sz w:val="20"/>
        </w:rPr>
        <w:t xml:space="preserve"> </w:t>
      </w:r>
      <w:r>
        <w:rPr>
          <w:rFonts w:ascii="Times New Roman" w:hAnsi="Times New Roman"/>
          <w:i/>
          <w:sz w:val="20"/>
        </w:rPr>
        <w:t>Transactions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Combined Company</w:t>
      </w:r>
      <w:r>
        <w:rPr>
          <w:rFonts w:ascii="Times New Roman" w:hAnsi="Times New Roman"/>
          <w:sz w:val="20"/>
        </w:rPr>
        <w:t>” and “</w:t>
      </w:r>
      <w:r>
        <w:rPr>
          <w:rFonts w:ascii="Times New Roman" w:hAnsi="Times New Roman"/>
          <w:i/>
          <w:sz w:val="20"/>
        </w:rPr>
        <w:t>Principal Stockholders of Korsana</w:t>
      </w:r>
      <w:r>
        <w:rPr>
          <w:rFonts w:ascii="Times New Roman" w:hAnsi="Times New Roman"/>
          <w:sz w:val="20"/>
        </w:rPr>
        <w:t xml:space="preserve">” beginning on pages 157, 386 and 429, respectively,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Mr. Kiselak is expected to serve as Chair of the Combined Company’s board of directors (“Chair”). Although the Combined Company’s governance documents will not require that the Combined Company separate the Chief Executive Officer and Chair positions, Korsana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recognizes that, depending on future circumstances, other leadership models, such as combining the roles of Chief Executive Officer and Chair, might be appropriate. Accordingly, the Combined Company’s board may periodically review its leadership structure. At any time when a non-independent director is serving as Chair, Korsana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Company’s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Cyclerion and Korsana anticipate that the Combined Company’s board of directors will establish an audit committee, a compensation committee and a nominating and governance committee (“governance committee”), each of which will operate pursuant to a charter adopted by the Combined Company’s board of directors. Cyclerion and Korsana believe that following the completion of the Merger the functioning and composition of these committees of the Combined Company will comply with the requirements of Nasdaq listing rules and SEC rules and regulations. The Combined Company’s board of directors may also establish other committees from time to time to assist the Combined Company and its board of directors. Each of the audit committee, compensation committee and the governance committee is expected to have the responsibilities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Ms. Henson, Dr. Gottesdiener and Mr. Shah,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Ms. Henson is expected to chair the audit committee. In addition, the Combined Company’s board of directors is expected to determine that Ms. Henson is an “audit committee financial expert” as defined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compensation committee are expected to be Ms. Henson and Mr. Kiselak, each of whom is expected to qualify as an independent director for compensation committee purposes as defined under the rules of the SEC and the applicable Nasdaq listing rules. Mr. Kiselak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and objectives and setting or recommending to the Combined Company’s board of directors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to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governance committee are expected to be Dr. Gottesdiener and Ms. Pernice, each of whom is expected to qualify as an independent director as defined under applicable Nasdaq listing rules. Ms. Pernice is expected to chair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Combined Company’s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employees. The full text of the Combined Company’s Code of Conduct and Ethics will be posted on the Combined Company’s website at </w:t>
      </w:r>
      <w:r>
        <w:rPr>
          <w:rFonts w:ascii="Times New Roman" w:hAnsi="Times New Roman"/>
          <w:i/>
          <w:sz w:val="20"/>
        </w:rPr>
        <w:t>www.korsana.com</w:t>
      </w:r>
      <w:r>
        <w:rPr>
          <w:rFonts w:ascii="Times New Roman" w:hAnsi="Times New Roman"/>
          <w:sz w:val="20"/>
        </w:rPr>
        <w:t xml:space="preserve">.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Nasdaq and SEC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111069_33"/>
      <w:bookmarkEnd w:id="35"/>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Korsana’s and Cyclerion’s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the following is a description of each transaction involving Cyclerion since January 1, 2024, each transaction involving Korsana since November 8, 2024 (inception)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Korsana or Cyclerion has been or is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Korsana’s or Cyclerion’s total assets at year-end for the last two completed fiscal years,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Korsana’s or Cyclerion’s directors, executive officers or holders of more than 5% of Korsana’s or Cyclerion’s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Cyclerion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there have been no transactions since January 1, 2024 to which Cyclerion has been a participant in which the amount involved exceeded or will exceed $120,000 (which amount is less than one percent of the average of Cyclerion’s total assets at year-end for the last two completed fiscal years), and in which any of Cyclerion’s directors, executive officers or holders of more than 5% of capital stock, or any members of their immediate family, had or will have a direct or indirect material interest, other than compensation arrangements that are described under “Cyclerion Executive Compensation” and “Cyclerion Non-Employee Director Compensation.” Cyclerion also entered into indemnification agreements with its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March 2025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21, 2025, Cyclerion entered into a Stock Purchase Agreement (the “PIPE Purchase Agreement”) with the investors named therein, including Peter M. Hecht, Ph.D. and Michael J. Higgins, who serve as members of the Cyclerion Board (each, a “PIPE Investor” and collectively, the “PIPE Investors”) for the private placement of 499,998 shares (the “PIPE Shares”) of Cyclerion Common Stock, at an offering price of $2.75 per PIPE Share (the “Cyclerion Private Placement”). The Cyclerion Private Placement closed on March 25, 2025 and the gross proceeds of the Cyclerion Private Placement were $1.375 million, before deducting expenses. Dr. Hecht and Mr. Higgins purchased 181,818 and 9,090 shares of Cyclerion’s Common Stock in the Cyclerion Private Placement, respectively. In connection with the Cyclerion Private Placement, Cyclerion and the PIPE Investors entered into a Registration Rights Agreement, dated March 21, 2025, pursuant to which Cyclerion agreed to register the resale of the PIPE Shares pursuant to a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Seven of Korsana’s stockholders or their affiliates are, or are expected to be as of immediately following the Korsana Pre-Closing Financing, beneficial holders of more than 5% of Korsana’s capital stock: Fairmount, Venrock Healthcare Capital Partners, TCGX, Wellington Management, J.P. Morgan Life Sciences Private Capital, FMR LLC and Janus Henderson Investors.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Korsana deems Paragon, Paragon Laboratories, and Parasa related parties, because Fairmount beneficially owns more than 5% of Paragon and Paragon Laboratories, appointed the board of directors of Paragon and Paragon Laboratories, and has the contractual right to approve the appointment of any executive officers of Paragon and Paragon Laboratories. Parasa is an entity formed by Paragon as a vehicle to hold equity in Korsana in order to share profits with certain employees of Paragon.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Korsana restricted common stock and issued and sold (i) 2,500,000 shares of Korsana restricted common stock to Paragon and (ii) 2,500,000 shares of Korsana restricted common stock to Parasa, in each case, at a purchase price of $0.02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an aggregate of 8,000,000 shares of Korsana Series Seed Preferred Stock at a purchase price of $1.25 per share. In September 2025, Korsana completed a financing of an additional aggregate of 12,000,000 shares of Korsana Series Seed Preferred Stock at a purchase price of $1.25 per share. The following table summarizes the purchases of Korsana Series Seed Preferred Stock by related persons: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99"/>
        <w:gridCol w:w="442"/>
        <w:gridCol w:w="114"/>
        <w:gridCol w:w="2117"/>
        <w:gridCol w:w="60"/>
        <w:gridCol w:w="442"/>
        <w:gridCol w:w="140"/>
        <w:gridCol w:w="1128"/>
        <w:gridCol w:w="63"/>
      </w:tblGrid>
      <w:tr>
        <w:trPr/>
        <w:tc>
          <w:tcPr>
            <w:tcW w:w="5699"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442" w:type="dxa"/>
            <w:tcBorders/>
            <w:vAlign w:val="bottom"/>
          </w:tcPr>
          <w:p>
            <w:pPr>
              <w:pStyle w:val="TableContents"/>
              <w:bidi w:val="0"/>
              <w:spacing w:before="0" w:after="283"/>
              <w:jc w:val="left"/>
              <w:rPr/>
            </w:pPr>
            <w:r>
              <w:rPr/>
              <w:t>  </w:t>
            </w:r>
          </w:p>
        </w:tc>
        <w:tc>
          <w:tcPr>
            <w:tcW w:w="22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Korsana</w:t>
              <w:br/>
              <w:t>Series Seed Preferred</w:t>
              <w:br/>
              <w:t>Stock</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w:t>
            </w:r>
          </w:p>
        </w:tc>
        <w:tc>
          <w:tcPr>
            <w:tcW w:w="63" w:type="dxa"/>
            <w:tcBorders/>
            <w:vAlign w:val="bottom"/>
          </w:tcPr>
          <w:p>
            <w:pPr>
              <w:pStyle w:val="TableContents"/>
              <w:bidi w:val="0"/>
              <w:spacing w:before="0" w:after="283"/>
              <w:jc w:val="left"/>
              <w:rPr/>
            </w:pPr>
            <w:r>
              <w:rPr/>
              <w:t> </w:t>
            </w:r>
          </w:p>
        </w:tc>
      </w:tr>
      <w:tr>
        <w:trPr/>
        <w:tc>
          <w:tcPr>
            <w:tcW w:w="5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44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17"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569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44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right"/>
              <w:rPr/>
            </w:pPr>
            <w:r>
              <w:rPr/>
              <w:t>9,200,000</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11,500,000</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Financing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Korsana completed a financing of an aggregate of 75,500,000 shares of Korsana Series A Preferred Stock at a purchase price of $2.00 per share. The following table summarizes the purchases of Korsana Series A Preferred Stock by related persons: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2"/>
        <w:gridCol w:w="479"/>
        <w:gridCol w:w="131"/>
        <w:gridCol w:w="2500"/>
        <w:gridCol w:w="60"/>
        <w:gridCol w:w="479"/>
        <w:gridCol w:w="140"/>
        <w:gridCol w:w="1110"/>
        <w:gridCol w:w="64"/>
      </w:tblGrid>
      <w:tr>
        <w:trPr/>
        <w:tc>
          <w:tcPr>
            <w:tcW w:w="5242"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479" w:type="dxa"/>
            <w:tcBorders/>
            <w:vAlign w:val="bottom"/>
          </w:tcPr>
          <w:p>
            <w:pPr>
              <w:pStyle w:val="TableContents"/>
              <w:bidi w:val="0"/>
              <w:spacing w:before="0" w:after="283"/>
              <w:jc w:val="left"/>
              <w:rPr/>
            </w:pPr>
            <w:r>
              <w:rPr/>
              <w:t>  </w:t>
            </w:r>
          </w:p>
        </w:tc>
        <w:tc>
          <w:tcPr>
            <w:tcW w:w="26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Korsana</w:t>
              <w:br/>
              <w:t>Series A Preferred Stock</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w:t>
            </w:r>
          </w:p>
        </w:tc>
        <w:tc>
          <w:tcPr>
            <w:tcW w:w="64"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47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50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47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50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47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500"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20,000,000</w:t>
            </w:r>
          </w:p>
        </w:tc>
        <w:tc>
          <w:tcPr>
            <w:tcW w:w="64" w:type="dxa"/>
            <w:tcBorders/>
            <w:shd w:fill="CCEEFF" w:val="clear"/>
            <w:vAlign w:val="bottom"/>
          </w:tcPr>
          <w:p>
            <w:pPr>
              <w:pStyle w:val="TableContents"/>
              <w:bidi w:val="0"/>
              <w:spacing w:before="0" w:after="283"/>
              <w:jc w:val="left"/>
              <w:rPr/>
            </w:pPr>
            <w:r>
              <w:rPr/>
              <w:t> </w:t>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47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500"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16,000,000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Korsana Pre-Closing Financing </w:t>
      </w:r>
    </w:p>
    <w:p>
      <w:pPr>
        <w:pStyle w:val="TextBody"/>
        <w:bidi w:val="0"/>
        <w:spacing w:before="120" w:after="0"/>
        <w:jc w:val="left"/>
        <w:rPr>
          <w:rFonts w:ascii="Times New Roman" w:hAnsi="Times New Roman"/>
          <w:sz w:val="20"/>
        </w:rPr>
      </w:pPr>
      <w:r>
        <w:rPr>
          <w:rFonts w:ascii="Times New Roman" w:hAnsi="Times New Roman"/>
          <w:sz w:val="20"/>
        </w:rPr>
        <w:t>In connection with the Merger, on April 1, 2026, Korsana entered into the Securities Purchase Agreement with certain investors to effect the Korsana Pre-Closing Financing. Pursuant to the Securities Purchase Agreement, the investors agreed to purchase an estimated aggregate of 140,978,969 shares of Korsana Common Stock and 20,488,264 Korsana Pre-Funded Warrants, at an estimated price of $2.3534 per share of common stock and $2.3533 per pre-funded warrant, for aggregate gross proceeds of approximately $380.0 million. The aggregate purchase price of $380.0 million is fixed, while the purchase price per share or pre-funded warrant and the aggregate number of shares of Korsana Common Stock and Korsana Pre-Funded Warrants to be purchased is subject to change pursuant to the terms of the Securities Purchase Agreement.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The closing of the Korsana Pre-Closing Financing is conditioned upon the satisfaction or waiver of the conditions to the Merger as well as certain other conditions. The table below sets forth the number of shares of Korsana Common Stock and Korsana Pre-Funded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expected to be purchased by related persons at the closing of the Korsana Pre-Closing Financing (based on the currently estimated purchase price per share or pre-funded warrant,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6"/>
        <w:gridCol w:w="211"/>
        <w:gridCol w:w="82"/>
        <w:gridCol w:w="1556"/>
        <w:gridCol w:w="60"/>
        <w:gridCol w:w="211"/>
        <w:gridCol w:w="60"/>
        <w:gridCol w:w="1193"/>
        <w:gridCol w:w="60"/>
        <w:gridCol w:w="211"/>
        <w:gridCol w:w="140"/>
        <w:gridCol w:w="1112"/>
        <w:gridCol w:w="63"/>
      </w:tblGrid>
      <w:tr>
        <w:trPr/>
        <w:tc>
          <w:tcPr>
            <w:tcW w:w="5246"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211" w:type="dxa"/>
            <w:tcBorders/>
            <w:vAlign w:val="bottom"/>
          </w:tcPr>
          <w:p>
            <w:pPr>
              <w:pStyle w:val="TableContents"/>
              <w:bidi w:val="0"/>
              <w:spacing w:before="0" w:after="283"/>
              <w:jc w:val="left"/>
              <w:rPr/>
            </w:pPr>
            <w:r>
              <w:rPr/>
              <w:t>  </w:t>
            </w:r>
          </w:p>
        </w:tc>
        <w:tc>
          <w:tcPr>
            <w:tcW w:w="1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Korsana</w:t>
              <w:br/>
              <w:t>Common Stock</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 of</w:t>
              <w:br/>
              <w:t>Korsana</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w:t>
            </w:r>
          </w:p>
        </w:tc>
        <w:tc>
          <w:tcPr>
            <w:tcW w:w="63"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w:t>
            </w:r>
          </w:p>
        </w:tc>
        <w:tc>
          <w:tcPr>
            <w:tcW w:w="21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31,530,026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338,507</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74,999,372</w:t>
            </w:r>
          </w:p>
        </w:tc>
        <w:tc>
          <w:tcPr>
            <w:tcW w:w="63"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21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14,720,332</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10,774,494</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59,998,446</w:t>
            </w:r>
          </w:p>
        </w:tc>
        <w:tc>
          <w:tcPr>
            <w:tcW w:w="63"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w:t>
            </w:r>
          </w:p>
        </w:tc>
        <w:tc>
          <w:tcPr>
            <w:tcW w:w="21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12,747,413</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29,999,762</w:t>
            </w:r>
          </w:p>
        </w:tc>
        <w:tc>
          <w:tcPr>
            <w:tcW w:w="63"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21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12,293,628</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453,785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29,999,716</w:t>
            </w:r>
          </w:p>
        </w:tc>
        <w:tc>
          <w:tcPr>
            <w:tcW w:w="63"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21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6,373,706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14,999,880</w:t>
            </w:r>
          </w:p>
        </w:tc>
        <w:tc>
          <w:tcPr>
            <w:tcW w:w="63"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w:t>
            </w:r>
          </w:p>
        </w:tc>
        <w:tc>
          <w:tcPr>
            <w:tcW w:w="21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3,824,224</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8,999,929</w:t>
            </w:r>
          </w:p>
        </w:tc>
        <w:tc>
          <w:tcPr>
            <w:tcW w:w="63"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w:t>
            </w:r>
          </w:p>
        </w:tc>
        <w:tc>
          <w:tcPr>
            <w:tcW w:w="211"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2,974,396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6,999,944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Paragon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recorded an aggregate of $40.1 million of operating expenses under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may exercise has an option (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not recorded any operating expenses under the Paragon POA. </w:t>
      </w:r>
    </w:p>
    <w:p>
      <w:pPr>
        <w:pStyle w:val="TextBody"/>
        <w:bidi w:val="0"/>
        <w:spacing w:before="360" w:after="0"/>
        <w:jc w:val="left"/>
        <w:rPr>
          <w:rFonts w:ascii="Times New Roman" w:hAnsi="Times New Roman"/>
          <w:i/>
          <w:sz w:val="20"/>
        </w:rPr>
      </w:pPr>
      <w:r>
        <w:rPr>
          <w:rFonts w:ascii="Times New Roman" w:hAnsi="Times New Roman"/>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(as defined below)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240" w:after="0"/>
        <w:jc w:val="left"/>
        <w:rPr>
          <w:rFonts w:ascii="Times New Roman" w:hAnsi="Times New Roman"/>
          <w:sz w:val="20"/>
        </w:rPr>
      </w:pPr>
      <w:r>
        <w:rPr>
          <w:rFonts w:ascii="Times New Roman" w:hAnsi="Times New Roman"/>
          <w:sz w:val="20"/>
        </w:rPr>
        <w:t xml:space="preserve">In June 2026, Korsana paid a $1.0 million research initiation fee under the Paragon Research Letter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30% reduction if there is no valid claim covering the product in the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Korsana has not recorded any operating expenses under the Paragon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Korsana has entered into an indemnification agreement with each of its directors and officers and purchased directors’ and officers’ liability insurance. The indemnification agreements require Korsana to indemnify its directors and officers to the fullest extent permitted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Restricted Stock Grants to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Korsana has entered into a restricted stock purchase agreement with Dr. Violin, Director and Chief Executive Officer and President, as more fully described in the sections titled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Compensation</w:t>
      </w:r>
      <w:r>
        <w:rPr>
          <w:rFonts w:ascii="Times New Roman" w:hAnsi="Times New Roman"/>
          <w:sz w:val="20"/>
        </w:rPr>
        <w:t>” and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Director Compensation</w:t>
      </w:r>
      <w:r>
        <w:rPr>
          <w:rFonts w:ascii="Times New Roman" w:hAnsi="Times New Roman"/>
          <w:sz w:val="20"/>
        </w:rPr>
        <w:t xml:space="preserve">” beginning on pages 215 and 219,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have a formal policy regarding approval of transactions with related parties.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x111069_34"/>
      <w:bookmarkEnd w:id="36"/>
      <w:r>
        <w:rPr>
          <w:rFonts w:ascii="Times New Roman" w:hAnsi="Times New Roman"/>
          <w:b/>
          <w:sz w:val="20"/>
        </w:rPr>
        <w:t xml:space="preserve">UNAUDITED PRO FORMA CONDENSED COMBINED FINANCIAL INFORMATION </w:t>
      </w:r>
    </w:p>
    <w:p>
      <w:pPr>
        <w:pStyle w:val="TextBody"/>
        <w:bidi w:val="0"/>
        <w:spacing w:before="240" w:after="0"/>
        <w:jc w:val="center"/>
        <w:rPr>
          <w:rFonts w:ascii="Times New Roman" w:hAnsi="Times New Roman"/>
          <w:i/>
          <w:sz w:val="20"/>
        </w:rPr>
      </w:pPr>
      <w:r>
        <w:rPr>
          <w:rFonts w:ascii="Times New Roman" w:hAnsi="Times New Roman"/>
          <w:i/>
          <w:sz w:val="20"/>
        </w:rPr>
        <w:t xml:space="preserve">Defined terms included below shall have the same meaning as terms defined and included in the Company’s definitive proxy statement/prospectus filed with the U.S. Securities and Exchange Commission (the “SEC”) on July 9,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 Merger Agreement with Cyclerion and Cariboos Merger Sub Corp and Cariboos Merger Sub II, LLC, both wholly owned subsidiaries of Cyclerion, which agreement was subsequently amended on April 17, 2026, pursuant to which, and subject to the satisfaction or waiver of the conditions set forth in the Merger Agreement, Cariboos Merger Sub Corp merged with and into Korsana, with Korsana continuing as a wholly owned subsidiary of Cyclerion and the surviving corporation (the “First Merger”). Immediately following the First Merger and as part of the same overall transaction, Korsana merged with and into Cariboos Merger Sub II, LLC (the “Second Merger” and, together with the First Merger, the “Merger”), with Cariboos Merger Sub II, LLC being the surviving entity of the Second Merger. The closing of the Korsana Pre-Closing Financing is conditioned on the satisfaction or waiver of the conditions set forth in the Merger Agreement and is expected to occur immediately prior to the closing of the Merger. As such, the pro forma adjustments reflect the Merger and the Korsana Pre-Closing Financing. The Merger is expected to close during the third quarter of 2026, following the effectiveness of Cyclerion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will change its name to “Korsana Biosciences, Inc.” Cyclerion following the Merger is referred to herein as the “Combined Company.” The Combined Company will be led by Korsana’s management team and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Korsana common stock (including shares of Korsana common stock issued in connection with the Korsana Pre-Closing Financing) will be automatically converted solely into the right to receive a number of shares of Cyclerion common stock equal to the Exchange Ratio, (ii) each-then-outstanding share of Cyclerion Series A preferred stock will be automatically converted solely into the right to receive a number of shares of Cyclerion common stock, (iii) 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(iv) each-then-outstanding share of Korsana Series A preferred stock will be automatically converted into the right to receive a number of shares of Cyclerion common stock equal to the Exchange Ratio, as well as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adjusted for the Exchange Ratio,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 (ix) the vesting of each option to acquire shares of Cyclerion common stock that is issued and outstanding will be accelerated, each in-the-money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out-of-the-money option will be cancelled for no consideration; and (x) the vesting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unvested Cyclerion restricted stock award will be accelerated, and all vested and unsettled Cyclerion restricted stock awards will be cancelled and converted into the right to receive a number of shares of Cyclerion common stock equal to the number of unsettled shares of Cyclerion common stock underlying such Cyclerion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1.4735 shares of Cyclerion common stock for each share of Korsana common stock on the closing date. Under the Exchange Ratio formula, the former Korsana stockholders immediately before the effective time, including those purchasing shares and pre-funded warrants in the Korsana Pre-Closing Financing, will own approximately 98.9% of the outstanding common stock of the Combined Company, and the stockholders of Cyclerion immediately before the effective time will own approximately 1.1% of the outstanding common stock of the Combined Company, which give effect to (a) Cyclerion net cash as of the closing of the Merger being $(2.5) million, (b) Korsana closing the Korsana Pre-Closing Financing for an aggregate gross purchase price of approximately $380.0 million, (c) a valuation for Cyclerion equal to $7.5 million based on net cash of $(2.5) million at closing, and (d) a valuation for Korsana equal to $268.4 million plus $380.0 million of assumed proceeds in the Korsana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 reverse recapitalization under U.S. GAAP. For further details related to the accounting for the Merger, please see Notes 1 and 3 below. All share amounts have been adjusted to reflect the estimated Exchange Ratio of 1.4735 shares of Cyclerion common stock for each share of Korsana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Cyclerion and Korsana as of March 31, 2026 and depicts the accounting of the Merger and Pre-Closing Financing transactions (collectively, the “transaction”) prepared pursuant to Article 11 of Regulation S-X. The unaudited pro forma condensed combined statements of operations for the three months ended March 31, 2026 for Cyclerion and Korsana and for the year ended December 31, 2025 for Cyclerion and Korsana, combine the historical results of Cyclerion and Korsana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Korsana as of and for the three months ended March 31,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Cyclerion as of and for the three months ended March 31,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Korsana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Cyclerion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“Korsana’s Management’s Discussion and Analysis of Financial Condition and Results of Operation,” and other financial information relating to Korsana included elsewhere in the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“Cyclerion’s Management’s Discussion and Analysis of Financial Condition and Results of Operations,” and other financial information relating to Cyclerion included elsewhere in the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Cyclerion and Korsana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AS OF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0"/>
        <w:gridCol w:w="195"/>
        <w:gridCol w:w="195"/>
        <w:gridCol w:w="1279"/>
        <w:gridCol w:w="155"/>
        <w:gridCol w:w="139"/>
        <w:gridCol w:w="172"/>
        <w:gridCol w:w="1035"/>
        <w:gridCol w:w="155"/>
        <w:gridCol w:w="139"/>
        <w:gridCol w:w="180"/>
        <w:gridCol w:w="1167"/>
        <w:gridCol w:w="154"/>
        <w:gridCol w:w="139"/>
        <w:gridCol w:w="177"/>
        <w:gridCol w:w="413"/>
        <w:gridCol w:w="355"/>
        <w:gridCol w:w="139"/>
        <w:gridCol w:w="170"/>
        <w:gridCol w:w="1022"/>
        <w:gridCol w:w="165"/>
      </w:tblGrid>
      <w:tr>
        <w:trPr/>
        <w:tc>
          <w:tcPr>
            <w:tcW w:w="26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916" w:type="dxa"/>
            <w:gridSpan w:val="10"/>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5(A)</w:t>
              <w:br/>
              <w:t>Cyclerion</w:t>
              <w:br/>
              <w:t>Therapeutics,</w:t>
              <w:br/>
              <w:t>Inc.</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5(B)</w:t>
              <w:br/>
              <w:t>Korsana</w:t>
              <w:br/>
              <w:t>Biosciences</w:t>
              <w:br/>
              <w:t>Inc.</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3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2,823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134,162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(513</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(a)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481,016</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380,000</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(c)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(28,919</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(d)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(5,257</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(e)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(1,257</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(g)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(23</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(j)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947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(255</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(f)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947</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11</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3,089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135,109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343,776</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481,974</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1,097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1,097</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231</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96</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(5,350</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(h)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1,231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(1,231</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(d)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8,505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137,698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337,195</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483,398</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457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457</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(148</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(g)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1,109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7,398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(1,109</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(g)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7,398</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160</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208</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1,714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7,766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(1,257</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8,223</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484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484</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937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937</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1,714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9,187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(1,257</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9,644</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Series Seed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24,964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(24,964</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(b)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Korsana Series A convertible preferred stock</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150,573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(150,573</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(b)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Cyclerion Series B non-voting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24,964</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(b)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24,964</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Cyclerion Series A convertible preferred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Cyclerion common stock</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common stock</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7</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(b)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22</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14</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(c)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280,988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2,213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150,566</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(b)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498,356</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379,986</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(c)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(30,150</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(d)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325</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(j)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(285,572</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(i)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(274,197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(49,240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(513</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(a)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(49,588</w:t>
            </w:r>
          </w:p>
        </w:tc>
        <w:tc>
          <w:tcPr>
            <w:tcW w:w="165"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(5,257</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(e)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(255</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(f)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(348</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(j)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285,272</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(i) </w:t>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660" w:type="dxa"/>
            <w:tcBorders/>
            <w:shd w:fill="CCEEFF" w:val="clear"/>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(5,350</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pPr>
            <w:r>
              <w:rPr/>
              <w:t>5</w:t>
            </w:r>
          </w:p>
        </w:tc>
        <w:tc>
          <w:tcPr>
            <w:tcW w:w="355" w:type="dxa"/>
            <w:tcBorders/>
            <w:shd w:fill="CCEEFF" w:val="clear"/>
            <w:vAlign w:val="bottom"/>
          </w:tcPr>
          <w:p>
            <w:pPr>
              <w:pStyle w:val="TableContents"/>
              <w:bidi w:val="0"/>
              <w:spacing w:before="0" w:after="283"/>
              <w:jc w:val="left"/>
              <w:rPr/>
            </w:pPr>
            <w:r>
              <w:rPr/>
              <w:t>(h) </w:t>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6,791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(47,026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489,025</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448,790</w:t>
            </w:r>
          </w:p>
        </w:tc>
        <w:tc>
          <w:tcPr>
            <w:tcW w:w="16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equity (deficit)</w:t>
            </w:r>
          </w:p>
        </w:tc>
        <w:tc>
          <w:tcPr>
            <w:tcW w:w="1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8,505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137,698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337,195</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483,398</w:t>
            </w:r>
          </w:p>
        </w:tc>
        <w:tc>
          <w:tcPr>
            <w:tcW w:w="16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THREE MONTHS ENDED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9"/>
        <w:gridCol w:w="171"/>
        <w:gridCol w:w="258"/>
        <w:gridCol w:w="1170"/>
        <w:gridCol w:w="155"/>
        <w:gridCol w:w="113"/>
        <w:gridCol w:w="145"/>
        <w:gridCol w:w="1030"/>
        <w:gridCol w:w="155"/>
        <w:gridCol w:w="113"/>
        <w:gridCol w:w="352"/>
        <w:gridCol w:w="976"/>
        <w:gridCol w:w="59"/>
        <w:gridCol w:w="171"/>
        <w:gridCol w:w="254"/>
        <w:gridCol w:w="254"/>
        <w:gridCol w:w="60"/>
        <w:gridCol w:w="171"/>
        <w:gridCol w:w="140"/>
        <w:gridCol w:w="1241"/>
        <w:gridCol w:w="155"/>
        <w:gridCol w:w="113"/>
        <w:gridCol w:w="150"/>
        <w:gridCol w:w="350"/>
        <w:gridCol w:w="360"/>
      </w:tblGrid>
      <w:tr>
        <w:trPr/>
        <w:tc>
          <w:tcPr>
            <w:tcW w:w="208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8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678" w:type="dxa"/>
            <w:gridSpan w:val="10"/>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r>
      <w:tr>
        <w:trPr/>
        <w:tc>
          <w:tcPr>
            <w:tcW w:w="20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6(A)</w:t>
              <w:br/>
              <w:t>Cyclerion</w:t>
              <w:br/>
              <w:t>Therapeutics,</w:t>
              <w:br/>
              <w:t>Inc.</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6(B)</w:t>
              <w:br/>
              <w:t>Korsana</w:t>
              <w:br/>
              <w:t>Biosciences</w:t>
              <w:br/>
              <w:t>Inc.</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60" w:type="dxa"/>
            <w:tcBorders/>
            <w:vAlign w:val="bottom"/>
          </w:tcPr>
          <w:p>
            <w:pPr>
              <w:pStyle w:val="TableContents"/>
              <w:bidi w:val="0"/>
              <w:spacing w:before="0" w:after="283"/>
              <w:jc w:val="left"/>
              <w:rPr/>
            </w:pPr>
            <w:r>
              <w:rPr/>
              <w:t> </w:t>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20"/>
              <w:jc w:val="left"/>
              <w:rPr>
                <w:rFonts w:ascii="Times New Roman" w:hAnsi="Times New Roman"/>
                <w:sz w:val="20"/>
              </w:rPr>
            </w:pPr>
            <w:r>
              <w:rPr>
                <w:rFonts w:ascii="Times New Roman" w:hAnsi="Times New Roman"/>
                <w:sz w:val="20"/>
              </w:rPr>
              <w:t>Research and development</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11,477</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12,207</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2,479</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3,283</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5,762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3,209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14,760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17,969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(3,209</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(14,760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(17,969</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Interest income</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1,282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1,250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1,282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(3,177</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(16,687</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4,205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5,000,000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360,743,680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360" w:type="dxa"/>
            <w:tcBorders/>
            <w:vAlign w:val="bottom"/>
          </w:tcPr>
          <w:p>
            <w:pPr>
              <w:pStyle w:val="TableContents"/>
              <w:bidi w:val="0"/>
              <w:spacing w:before="0" w:after="283"/>
              <w:jc w:val="left"/>
              <w:rPr/>
            </w:pPr>
            <w:r>
              <w:rPr/>
              <w:t>(d) </w:t>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Series B non-voting convertible preferred stockholders, basic and diluted</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29.470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6</w:t>
            </w:r>
          </w:p>
        </w:tc>
        <w:tc>
          <w:tcPr>
            <w:tcW w:w="360" w:type="dxa"/>
            <w:tcBorders/>
            <w:shd w:fill="CCEEFF" w:val="clear"/>
            <w:vAlign w:val="bottom"/>
          </w:tcPr>
          <w:p>
            <w:pPr>
              <w:pStyle w:val="TableContents"/>
              <w:bidi w:val="0"/>
              <w:spacing w:before="0" w:after="283"/>
              <w:jc w:val="left"/>
              <w:rPr/>
            </w:pPr>
            <w:r>
              <w:rPr/>
              <w:t>(d) </w:t>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7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(42.76</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08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YEAR ENDED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4"/>
        <w:gridCol w:w="148"/>
        <w:gridCol w:w="257"/>
        <w:gridCol w:w="1178"/>
        <w:gridCol w:w="155"/>
        <w:gridCol w:w="90"/>
        <w:gridCol w:w="145"/>
        <w:gridCol w:w="1026"/>
        <w:gridCol w:w="155"/>
        <w:gridCol w:w="90"/>
        <w:gridCol w:w="238"/>
        <w:gridCol w:w="1084"/>
        <w:gridCol w:w="155"/>
        <w:gridCol w:w="90"/>
        <w:gridCol w:w="150"/>
        <w:gridCol w:w="350"/>
        <w:gridCol w:w="350"/>
        <w:gridCol w:w="90"/>
        <w:gridCol w:w="140"/>
        <w:gridCol w:w="1236"/>
        <w:gridCol w:w="155"/>
        <w:gridCol w:w="90"/>
        <w:gridCol w:w="150"/>
        <w:gridCol w:w="349"/>
        <w:gridCol w:w="360"/>
      </w:tblGrid>
      <w:tr>
        <w:trPr/>
        <w:tc>
          <w:tcPr>
            <w:tcW w:w="197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8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883" w:type="dxa"/>
            <w:gridSpan w:val="10"/>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9" w:type="dxa"/>
            <w:gridSpan w:val="2"/>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r>
      <w:tr>
        <w:trPr/>
        <w:tc>
          <w:tcPr>
            <w:tcW w:w="19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6(C)</w:t>
              <w:br/>
              <w:t>Cyclerion</w:t>
              <w:br/>
              <w:t>Therapeutics,</w:t>
              <w:br/>
              <w:t>Inc.</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6(D)</w:t>
              <w:br/>
              <w:t>Korsana</w:t>
              <w:br/>
              <w:t>Biosciences</w:t>
              <w:br/>
              <w:t>Inc.</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60"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license agreements</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32,785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33,744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6,088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513</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(a)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11,709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(b)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347</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(c)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7,047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37,291</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1,115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45,453</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(4,973</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(37,291</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(1,115</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(43,379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1,777</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1,317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1,317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1,445</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3,094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(1,115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(40,285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3,181</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2,920,548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359,719,680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right"/>
              <w:rPr/>
            </w:pPr>
            <w:r>
              <w:rPr/>
              <w:t>6</w:t>
            </w:r>
          </w:p>
        </w:tc>
        <w:tc>
          <w:tcPr>
            <w:tcW w:w="360" w:type="dxa"/>
            <w:tcBorders/>
            <w:vAlign w:val="bottom"/>
          </w:tcPr>
          <w:p>
            <w:pPr>
              <w:pStyle w:val="TableContents"/>
              <w:bidi w:val="0"/>
              <w:spacing w:before="0" w:after="283"/>
              <w:jc w:val="left"/>
              <w:rPr/>
            </w:pPr>
            <w:r>
              <w:rPr/>
              <w:t>(d)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loss per share attributable to Series B non-voting convertible preferred stockholders, basic and diluted</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29,470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6</w:t>
            </w:r>
          </w:p>
        </w:tc>
        <w:tc>
          <w:tcPr>
            <w:tcW w:w="360" w:type="dxa"/>
            <w:tcBorders/>
            <w:shd w:fill="CCEEFF" w:val="clear"/>
            <w:vAlign w:val="bottom"/>
          </w:tcPr>
          <w:p>
            <w:pPr>
              <w:pStyle w:val="TableContents"/>
              <w:bidi w:val="0"/>
              <w:spacing w:before="0" w:after="283"/>
              <w:jc w:val="left"/>
              <w:rPr/>
            </w:pPr>
            <w:r>
              <w:rPr/>
              <w:t>(d)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48"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(103.51</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111069_35"/>
      <w:bookmarkEnd w:id="37"/>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Korsana entered into the Merger Agreement with Cyclerion, Cariboos Merger Sub Corp and Cariboos Merger Sub II, LLC, which agreement was subsequently amended on April 17, 2026, pursuant to which, and subject to the satisfaction or waiver of the conditions set forth in the Merger Agreement, Cariboos Merger Sub Corp will merge with and into Korsana, with Korsana surviving as a wholly owned subsidiary of Cyclerion and the surviving corporation of the First Merger, and, immediately following the First Merger and as part of the same overall transaction, Korsana will merge with and into Cariboos Merger Sub II, LLC, with Cariboos Merger Sub II, LLC being the surviving entity of the Second Merger. The Merger, including the Korsana Pre-Closing Financing, is expected to close during the third quarter of 2026 following the effectiveness of Cyclerion’s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changed its name to “Korsana Biosciences, Inc.” Cyclerion following the Merger is referred to herein as the “Combined Company.” Subject to the terms and conditions of the Merger Agreement, at closing of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common stock (including shares of Korsana common stock issued in connection with the Korsana Pre-Closing Financing) will be converted into the right to receive a number of shares of Cyclerion common stock equal to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Cyclerion Series A preferred stock will be automatically converted solely into the right to receive a number of shares of Cyclerion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option to purchase Korsana common stock will be assumed by Cyclerion and will be converted into an option to purchase shares of Cyclerion common stock, adjusted for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f)</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warrant to purchase shares of Korsana common stock will be converted into a warrant to purchase shares of Cyclerion common stock, adjusted for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restricted stock will be assumed by Cyclerion, subject to adjustment as set forth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pre-funded warrant to purchase shares of Korsana common stock will be converted into a pre-funded warrant to purchase shares of Cyclerion common stock, subject to adjustment as set forth in the form of pre-funded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Korsana restricted stock outstanding and unvested immediately prior to Closing (“Korsana Restricted Stock”) that is assumed by Cyclerion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Cyclerion Board will take actions to accelerate the vesting of certain outstanding equity awards including options to purchase Cyclerion common stock and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held by a current employee, director or consultant of Cyclerion as of the closing of the Merger. The acceleration of vesting of Cyclerion options and restricted stock awards occurs upon a modification of the awards as a result of the Merger. The incremental fair value associated with the modification to accelerate vesting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option to acquire shares of Cyclerion common stock with an exercise price less than or equal to the Cyclerion Closing Price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option with an exercise price greater than the Cyclerion Closing Price to acquire shares of Cyclerion common stock will be cancelled for no consideration. The incremental fair value of Cyclerion options associated with the modification to accelerate vesting and the cancelation of certain stock options for no consideration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Cyclerion securityholders as of immediately prior to the Merger will own approximately 1.1% of the outstanding capital stock of the Combined Company on a fully diluted basis, former Korsana securityholders, excluding shares purchased in the Korsana Pre-Closing Financing, will own approximately 45.5% of the outstanding capital stock of the Combined Company on a fully diluted basis, and shares and pre-funded warrants issued in the Korsana Pre-Closing Financing will own approximately 53.4% of the outstanding capital stock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Korsana stockholders are expected to receive approximately 440,362,379 shares on a fully diluted basis in connection with the Merger, including (i) 52,729,010 shares of Cyclerion common stock and stock options subject to vesting terms, based on the number of shares of Korsana common stock outstanding immediately prior to the Merger, including Korsana restricted stock, (ii) the shares of common stock and pre-funded warrants issued in the Korsana Pre-Closing Financing, (iii) Korsana Series Seed non-voting preferred stock as of March 31, 2026, which will be exchanged into shares of newly created Cyclerion Series B non-voting Preferred Stock, which will be convertible into 1,000 shares of Cyclerion common stock, equal to the Exchange Ratio divided by 1,000, and (iv) Korsana Series A preferred stock outstanding as of March 31, 2026, which will be convertible into shares of Cyclerion common stock, as well as a right to receive a pre-funded warrant to purchase Korsana common stock that will be converted into a pre-funded warrant to purchase shares of Cyclerion common stock, subject to adjustment set forth the form of the pre-funded warrant. These estimates are subject to certain inputs, which include, but are not limited to, (a) Cyclerion’s net cash as of the closing of the Merger being approximately $(2.5) million, (b) Korsana closing the Korsana Pre-Closing Financing for an aggregate purchase price of approximately $380.0 million, (c) a valuation for Cyclerion equal to $7.5 million based on net cash of $(2.5) million at closing, and (d) a valuation for Korsana equal to $268.4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8301" w:type="dxa"/>
        <w:jc w:val="center"/>
        <w:tblInd w:w="0" w:type="dxa"/>
        <w:tblLayout w:type="fixed"/>
        <w:tblCellMar>
          <w:top w:w="0" w:type="dxa"/>
          <w:left w:w="0" w:type="dxa"/>
          <w:bottom w:w="0" w:type="dxa"/>
          <w:right w:w="0" w:type="dxa"/>
        </w:tblCellMar>
      </w:tblPr>
      <w:tblGrid>
        <w:gridCol w:w="3800"/>
        <w:gridCol w:w="120"/>
        <w:gridCol w:w="124"/>
        <w:gridCol w:w="2551"/>
        <w:gridCol w:w="95"/>
        <w:gridCol w:w="191"/>
        <w:gridCol w:w="109"/>
        <w:gridCol w:w="1036"/>
        <w:gridCol w:w="275"/>
      </w:tblGrid>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(Assuming Cyclerion’s Net Cash</w:t>
            </w:r>
            <w:r>
              <w:rPr/>
              <w:br/>
            </w:r>
            <w:r>
              <w:rPr>
                <w:b/>
              </w:rPr>
              <w:t>at Closing of $(2.5) million)</w:t>
            </w:r>
          </w:p>
        </w:tc>
        <w:tc>
          <w:tcPr>
            <w:tcW w:w="27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(fully diluted bas is)</w:t>
              <w:br/>
              <w:t>Upon Consummation of the Merger</w:t>
            </w:r>
          </w:p>
        </w:tc>
        <w:tc>
          <w:tcPr>
            <w:tcW w:w="12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Owned</w:t>
            </w:r>
          </w:p>
        </w:tc>
        <w:tc>
          <w:tcPr>
            <w:tcW w:w="9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275" w:type="dxa"/>
            <w:tcBorders/>
            <w:vAlign w:val="bottom"/>
          </w:tcPr>
          <w:p>
            <w:pPr>
              <w:pStyle w:val="TableContents"/>
              <w:bidi w:val="0"/>
              <w:spacing w:before="0" w:after="283"/>
              <w:jc w:val="left"/>
              <w:rPr/>
            </w:pPr>
            <w:r>
              <w:rPr/>
              <w:t> </w:t>
            </w:r>
          </w:p>
        </w:tc>
      </w:tr>
      <w:tr>
        <w:trPr/>
        <w:tc>
          <w:tcPr>
            <w:tcW w:w="3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Korsana stockholders(1)</w:t>
            </w:r>
          </w:p>
        </w:tc>
        <w:tc>
          <w:tcPr>
            <w:tcW w:w="12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202,440,445</w:t>
            </w:r>
          </w:p>
        </w:tc>
        <w:tc>
          <w:tcPr>
            <w:tcW w:w="9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45.5</w:t>
            </w:r>
          </w:p>
        </w:tc>
        <w:tc>
          <w:tcPr>
            <w:tcW w:w="275" w:type="dxa"/>
            <w:tcBorders/>
            <w:shd w:fill="CCEEFF" w:val="clear"/>
            <w:vAlign w:val="bottom"/>
          </w:tcPr>
          <w:p>
            <w:pPr>
              <w:pStyle w:val="TableContents"/>
              <w:bidi w:val="0"/>
              <w:spacing w:before="0" w:after="283"/>
              <w:jc w:val="left"/>
              <w:rPr/>
            </w:pPr>
            <w:r>
              <w:rPr/>
              <w:t>% </w:t>
            </w:r>
          </w:p>
        </w:tc>
      </w:tr>
      <w:tr>
        <w:trPr/>
        <w:tc>
          <w:tcPr>
            <w:tcW w:w="3800" w:type="dxa"/>
            <w:tcBorders/>
          </w:tcPr>
          <w:p>
            <w:pPr>
              <w:pStyle w:val="TableContents"/>
              <w:bidi w:val="0"/>
              <w:spacing w:before="0" w:after="0"/>
              <w:jc w:val="left"/>
              <w:rPr>
                <w:rFonts w:ascii="Times New Roman" w:hAnsi="Times New Roman"/>
                <w:sz w:val="20"/>
              </w:rPr>
            </w:pPr>
            <w:r>
              <w:rPr>
                <w:rFonts w:ascii="Times New Roman" w:hAnsi="Times New Roman"/>
                <w:sz w:val="20"/>
              </w:rPr>
              <w:t>Cyclerion stockholders</w:t>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4,681,351</w:t>
            </w:r>
          </w:p>
        </w:tc>
        <w:tc>
          <w:tcPr>
            <w:tcW w:w="9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r>
      <w:tr>
        <w:trPr/>
        <w:tc>
          <w:tcPr>
            <w:tcW w:w="3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Agreement(2)</w:t>
            </w:r>
          </w:p>
        </w:tc>
        <w:tc>
          <w:tcPr>
            <w:tcW w:w="12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237,921,934</w:t>
            </w:r>
          </w:p>
        </w:tc>
        <w:tc>
          <w:tcPr>
            <w:tcW w:w="9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53.4</w:t>
            </w:r>
          </w:p>
        </w:tc>
        <w:tc>
          <w:tcPr>
            <w:tcW w:w="27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2551"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3800" w:type="dxa"/>
            <w:tcBorders/>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445,043,730</w:t>
            </w:r>
          </w:p>
        </w:tc>
        <w:tc>
          <w:tcPr>
            <w:tcW w:w="9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2551"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8,504,226 pre-funded warrants issued upon the conversion of Series A preferred stock after reflecting the estimated Exchange Ratio.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30,189,450 pre-funded warrants issued in the Korsana Pre-Closing Financing after reflecting the estimated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 stockholders of the issuance of Cyclerion common stock, including shares of Cyclerion common stock issuable upon conversion of the Cyclerion Preferred Stock, and the other transactions proposed under the Merger Agreement, (2) approval by the requisite Korsana stockholders of the adoption and approval of the Merger Agreement and the transactions contemplated thereby, (3) Nasdaq’s approval of the listing application to be submitted in connection with the Merger, and (4) the effectiveness of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agreement for Cyclerion’s employee includes entitlement to a transaction bonus and severance of which will be treated as pre-Merger compensation expense of Cyclerion, which will be assumed by the Combined Company at the closing of the Merger to the extent they are not yet settled in cash beforehand by Cyclerion. Additionally, Cyclerion’s current Directors &amp; Officers (“D&amp;O”) policy will be fully utilized at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 —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April 1, 2026, Korsana and Cyclerion entered into the Subscription Agreement with certain institutional and accredited investors, pursuant to which such investors have agreed, subject to the terms and conditions of such agreements, to purchase immediately prior to the consummation of the Merger, 140,978,969 shares of Korsana common stock and 20,488,264 pre-funded warrants before giving effect to the Exchange Ratio, at an purchase price of $2.3534 per share and $2.3533 per warrant, for an aggregate purchase price of $380.0 million in a private placement. The closing of the Korsana Pre-Closing Financing is conditioned on the satisfaction or waiver of the conditions set forth in the Merger Agreement and is expected to occur immediately prior to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Effective Time of the Merger, Cyclerion will enter into a Contingent Value Rights Agreement (“CVR Agreement”) whereby which Cyclerion’s pre-Merger shareholders will receive one contingent value right (each a “CVR”)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anniversary of the Closing Date, (ii) with respect to Cyclerion’s right to receive payments under that License Agreement, dated June 3, 2021, between Cyclerion and Akebia Therapeutics, Inc. (the “Akebia License Agreement”), the earlier of (A) the fifteenth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(“Tisento”) that were acquired by Cyclerion pursuant to that certain Asset Purchase Agreement, dated May 13, 2023, by and among Cyclerion, Tisento and JW Cycle, Inc., the earliest of (A) nine months following the date of the consummation of Tisento’s initial public offering pursuant to a registration statement filed with, and declared effective by, the Securities and Exchange Commission pursuant to the Securities Act, (B) the sale of Tisento, and (C) the seventh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Legacy Asset CVR and the Tisento CVR payments are not probable or reasonably estimable at this time. The Company will continue to assess probability for both CVR payments on a quarterly basis and will record a derivative liability when probable and reasonably estimable. Additionally,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preliminarily determined that the fair value of Tisento investment is not material given the current lack of observable pricing, the early state of Tisento’s development activities and the significant uncertainty regarding its potential value. Therefore, the Company has reduced the Tisento investment to zero for purposes of the pro forma financial information as presented in adjustment 5(h) below. The Company will continue to assess observable and unobservable data points to consider fair value estimates through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three months ended March 31, 2026 and the unaudited proforma condensed combined statement of operations for the year ended December 31, 2025 give effect to the Merger as if it had been consummated on January 1, 2025. The unaudited pro forma condensed combined balance sheet as of March 31, 2026 gives effect to the Merger and combines the historical balance sheets of Cyclerion and Korsana if the Merger had been consummated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Cyclerion net cash to be assumed at the closing date, and (iii) other changes in Cyclerion’s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is not aware of any material differences between Korsana’s accounting policies and the accounting policies of Cyclerion. Following the consummation of the Merger, Korsana will conduct a more detailed review of Cyclerion’s accounting policies. As a result, Korsana may identify differences between the accounting policies of the two companies that, when conformed, could have had a material impact on the accompanying unaudited pro forma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 reverse recapitalization of Cyclerion by Korsana, as the transaction is, in essence, the issuance of equity for Cyclerion’s net assets, which will primarily consist of nominal operations and nominal other net assets immediately before the Merger. Under this method of accounting, Korsana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Merger, Korsana is not a variable interest entity as it has sufficient equity at risk in order to fund its next development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stockholders own a substantial majority of the voting rights in the Combined Company through existing ownership and additional interest through the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largest stockholder retains the largest interest in the Combined Company (18.0%);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 designated the initial members of the Combined Company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Korsana’s executive management team became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“Korsana Biosciences,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Korsana being the accounting acquirer, Korsana’s assets and liabilities will be recorded at their pre-combination carrying amounts. Cyclerion’s assets and liabilities will be measured and recognized at their fair values as of the effective time of the Merger. The Company has preliminarily determined that the fair value of Tisento investment is not material given the current lack of observable pricing, the early state of Tisento’s development activities and the significant uncertainty regarding its potential value. Therefore, the Company has reduced the carrying value of the Tisento investment to $0 for purposes of the pro forma financial information as presented in adjustment 5(h) below. The Company will continue to assess observable and unobservable data points to consider fair value estimates through closing of the transaction. The Company determined that the carrying value of the other acquired operating assets and liabilities approximates fair value, with no goodwill or other intangible assets recorded. Any difference between the consideration transferred and the fair value of the net assets of Cyclerion following the determination of the actual consideration transferred for Cyclerion will be reflected as an adjustment to additional paid-in capital. For periods prior to closing of the Merger, the historical financial statements of Korsana will become the historical financial statements of the Combined Company. The Merger will not be accounted for as a business combination under Accounting Standard Codification No. 805, Business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Cyclerion Common Stock, Convertible Preferred Stock, Options, and Warrants Issued to Korsana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Korsana common stock, on a fully-diluted basis, will be exchanged for shares of Cyclerion common stock based on the Exchange Ratio of 1.4735 shares of Cyclerion common stock for each share of Korsana common stock, determined in accordance with the terms of the Merger Agreement. Each share of Korsana Series Seed preferred stock will be convertible into the right to receive a number of shares of newly created Cyclerion Series B non-voting Preferred Stock, equal to the Exchange Ratio divided by 1,000 (and each such share of newly created Cyclerion Series B non-voting Preferred Stock has the right to convert into 1,000 shares of Cyclerion common stock, subject to certain limitations). The estimated number of shares of Cyclerion common stock that Cyclerion expects to issue to Korsana’s stockholders assumes Cyclerion net cash at the closing of the Merger is $(2.5) million and is determined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86"/>
        <w:gridCol w:w="283"/>
        <w:gridCol w:w="60"/>
        <w:gridCol w:w="1248"/>
        <w:gridCol w:w="62"/>
      </w:tblGrid>
      <w:tr>
        <w:trPr/>
        <w:tc>
          <w:tcPr>
            <w:tcW w:w="528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outstanding as of March 31, 2026 (l)</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6,000,000</w:t>
            </w:r>
          </w:p>
        </w:tc>
        <w:tc>
          <w:tcPr>
            <w:tcW w:w="62"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non-voting convertible preferred stock</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20,000,000</w:t>
            </w:r>
          </w:p>
        </w:tc>
        <w:tc>
          <w:tcPr>
            <w:tcW w:w="62" w:type="dxa"/>
            <w:tcBorders/>
            <w:vAlign w:val="bottom"/>
          </w:tcPr>
          <w:p>
            <w:pPr>
              <w:pStyle w:val="TableContents"/>
              <w:bidi w:val="0"/>
              <w:spacing w:before="0" w:after="283"/>
              <w:jc w:val="left"/>
              <w:rPr/>
            </w:pPr>
            <w:r>
              <w:rPr/>
              <w:t> </w:t>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common stock</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69,728,554</w:t>
            </w:r>
          </w:p>
        </w:tc>
        <w:tc>
          <w:tcPr>
            <w:tcW w:w="62"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pre-funded warrants</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5,771,446</w:t>
            </w:r>
          </w:p>
        </w:tc>
        <w:tc>
          <w:tcPr>
            <w:tcW w:w="62" w:type="dxa"/>
            <w:tcBorders/>
            <w:vAlign w:val="bottom"/>
          </w:tcPr>
          <w:p>
            <w:pPr>
              <w:pStyle w:val="TableContents"/>
              <w:bidi w:val="0"/>
              <w:spacing w:before="0" w:after="283"/>
              <w:jc w:val="left"/>
              <w:rPr/>
            </w:pPr>
            <w:r>
              <w:rPr/>
              <w:t> </w:t>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stock options (2)</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34,784,918</w:t>
            </w:r>
          </w:p>
        </w:tc>
        <w:tc>
          <w:tcPr>
            <w:tcW w:w="62"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warrants(3)</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1,102,535</w:t>
            </w:r>
          </w:p>
        </w:tc>
        <w:tc>
          <w:tcPr>
            <w:tcW w:w="62" w:type="dxa"/>
            <w:tcBorders/>
            <w:vAlign w:val="bottom"/>
          </w:tcPr>
          <w:p>
            <w:pPr>
              <w:pStyle w:val="TableContents"/>
              <w:bidi w:val="0"/>
              <w:spacing w:before="0" w:after="283"/>
              <w:jc w:val="left"/>
              <w:rPr/>
            </w:pPr>
            <w:r>
              <w:rPr/>
              <w:t> </w:t>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Korsana common stock to be issued in connection with the Subscription Agreements, see Note 5(c)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140,978,969</w:t>
            </w:r>
          </w:p>
        </w:tc>
        <w:tc>
          <w:tcPr>
            <w:tcW w:w="62"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Estimated Korsana pre-funded warrants to be issued in connection with the Subscription Agreements, see Note 5(c)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20,488,264</w:t>
            </w:r>
          </w:p>
        </w:tc>
        <w:tc>
          <w:tcPr>
            <w:tcW w:w="62" w:type="dxa"/>
            <w:tcBorders/>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Korsana fully diluted shares prior to the closing of the merger</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298,854,686</w:t>
            </w:r>
          </w:p>
        </w:tc>
        <w:tc>
          <w:tcPr>
            <w:tcW w:w="62"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1.4735</w:t>
            </w:r>
          </w:p>
        </w:tc>
        <w:tc>
          <w:tcPr>
            <w:tcW w:w="62" w:type="dxa"/>
            <w:tcBorders/>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5312"/>
        <w:gridCol w:w="282"/>
        <w:gridCol w:w="60"/>
        <w:gridCol w:w="1223"/>
        <w:gridCol w:w="62"/>
      </w:tblGrid>
      <w:tr>
        <w:trPr/>
        <w:tc>
          <w:tcPr>
            <w:tcW w:w="5312"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Korsana stockholders and Investors participating in Subscription Agreements upon closing of the merger</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440,362,379</w:t>
            </w:r>
          </w:p>
        </w:tc>
        <w:tc>
          <w:tcPr>
            <w:tcW w:w="62" w:type="dxa"/>
            <w:tcBorders/>
            <w:shd w:fill="CCEEFF" w:val="clear"/>
            <w:vAlign w:val="bottom"/>
          </w:tcPr>
          <w:p>
            <w:pPr>
              <w:pStyle w:val="TableContents"/>
              <w:bidi w:val="0"/>
              <w:spacing w:before="0" w:after="283"/>
              <w:jc w:val="left"/>
              <w:rPr/>
            </w:pPr>
            <w:r>
              <w:rPr/>
              <w:t> </w:t>
            </w:r>
          </w:p>
        </w:tc>
      </w:tr>
      <w:tr>
        <w:trPr/>
        <w:tc>
          <w:tcPr>
            <w:tcW w:w="531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Korsana common stock outstanding as of March 31, 2026, including 1,000,000 shares of unvested Korsana restricted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options as of March 31, 2026 to acquire Korsana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as of March 31, 2026 to acquire Korsana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Adjustments to Unaudited Pro Forma Condensed Combined Balance Sheet as of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Cyclerion as of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unaudited balance sheet of Korsana as of March 31,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incremental compensation expense of $0.5 million related to severance payments resulting from pre-existing employment agreement or from approval from the Cyclerion Board that will be incurred prior to the closing of the Merger. The pro forma adjustment is reflected as a decrease in cash of $0.5 million for the severance payments made subsequent to March 31, 2026 and an increase to accumulated deficit of $0.5 million. </w:t>
      </w:r>
    </w:p>
    <w:p>
      <w:pPr>
        <w:pStyle w:val="TextBody"/>
        <w:bidi w:val="0"/>
        <w:spacing w:before="240" w:after="0"/>
        <w:jc w:val="left"/>
        <w:rPr>
          <w:rFonts w:ascii="Times New Roman" w:hAnsi="Times New Roman"/>
          <w:sz w:val="20"/>
        </w:rPr>
      </w:pPr>
      <w:r>
        <w:rPr>
          <w:rFonts w:ascii="Times New Roman" w:hAnsi="Times New Roman"/>
          <w:sz w:val="20"/>
        </w:rPr>
        <w:t xml:space="preserve">5(b) To reflect the conversion of all outstanding shares of Korsana Series A preferred stock, with a carrying amount of $150.6 million, to Cyclerion common stock and pre-funded warrants, as well as to reflect the reclassification of all outstanding Korsana Series Seed preferred stock, with a carrying value of $25.0 million, to newly created Cyclerion Series B preferred stock outside of stockholder’s equity (deficit). The Company’s Series B Non-Voting Convertible Preferred Stock are classified within temporary (mezzanine) equity under ASC 480 and ASC 480-10-S99. Although the Series B Preferred Stock is not mandatorily redeemable, certain provisions may require the Company to transfer cash or other assets upon the occurrence of events not solely within the Company’s control. For example, the Series B Preferred Stock includes fundamental transaction provisions pursuant to which, upon the occurrence of certain merger, change-in-control, or other similar transactions, holders may receive cash or other non-equity consideration in lieu of common shares. The occurrence of such transactions is not solely within the control of the Company and may involve shareholder approval. The conversion of the Korsana Series A preferred stock is recorded at the issuance of Cyclerion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5(c) To reflect the issuance of 140,978,969 shares of Korsana common stock and 20,488,264 pre-funded warrants, prior to giving effect to the Exchange Ratio, pursuant to the Subscription Agreement, for an aggregate purchase price of $380.0 million. The issuance of shares in connection with the Subscription Agreement are recorded as the issuance of Korsana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estimated transaction costs of $28.9 million, not yet reflected in the historical financial statements, that are expected to be incurred by Korsana in connection with the Merger and Pre-Closing Financing, and $1.2 million reflected in the historical financial statements as deferred offering costs,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advisory, legal and auditor fees, as a reduction in cash in the unaudited pro forma condensed combined balance sheet. As the Merger will be accounted for as a reverse recapitalization equivalent to the issuance of equity for the net assets of Cyclerion,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5(e) To reflect estimated transaction costs of $5.3 million, not yet reflected in the historical financial statements, which are expected to be incurred by Cyclerion in connection with the Merger, such as advisory, legal and auditor fees and including the estimated $0.7 million cost of a D&amp;O tail policy, as a reduction in cash and an increase in accumulated deficit of $5.3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derecognize $0.3 million of Cyclerion’s prepaid expenses and other current assets consisting of $0.2 million of prepaid expenses related to software that will not be fully utilized and $0.1 million of prepaid insurance primarily related to the current Cyclerion’s D&amp;O insurance policy that will be fully utilized at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$1.3 million of Cyclerion’s accrued expenses consisting of $0.2 million of accrued research and development and $1.1 million of accrued professional and consulting fees that will be paid prior to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5(h) To reflect the elimination of Cyclerion’s historical equity investment of $5.3 million given the current lack of observable pricing, the early state of Tisento’s development activities and the significant uncertainty regarding its potential value. The Company has preliminarily determined the fair value of the Tisento investment to be $0 and will continue to assess observable and unobservable data points to consider fair value estimates through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recapitalization of Korsana and the derecognition of accumulated other comprehensive income and the accumulated deficit of Cyclerion,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Cyclerion of $285.6 million is determined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Cyclerion as of March 31, 2026</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274,197</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Cyclerion severance payments, see Note 5(a)</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513</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Cyclerion, see Note 5(e)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5,257</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Cyclerion prepaid expenses, see Note 5(f)</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255</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equity investment, see Note 5(h)</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5,350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Cyclerion</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285,572</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5(j) To reflect the one-time postcombination stock compensation expense of $0.3 million in general and administrative expense related to the acceleration of equity awards pursuant to a modification to accelerate vesting of certain Cyclerion stock options and restricted stock awards per the terms of the Merger Agreement, and a one-time cash payment of less than $0.1 million to settle certain in-the-money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and comprehensive loss of Cyclerion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 of operations and comprehensive loss of Korsana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Cyclerion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consolidated statement of operations and comprehensive loss of Korsana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 and Cyclerion did not record any provision or benefit for income taxes during the year ended December 31, 2025 nor for the three months ended March 31, 2026 because each company incurred a pre-tax loss in 2025 and expects to incur a pre-tax loss in 2026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incremental compensation expense related to severance payments recorded in general and administrative expenses of $0.5 million, resulting from pre-existing employment agreement or from approval from the Cyclerion Board that will be incurred upon the closing of the Merger, corresponding to the adjustment described in Note 5(a)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Cyclerion’s prepaid expenses and other current assets of $0.3 million related to $0.2 million of software that will not be fully utilized, and prepaid insurance of $0.1 million primarily related to the current Cyclerion D&amp;O policy that will be fully utilized at the closing of the Merger, corresponding to the adjustment made in Note 5(f)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6(c) To reflect the one-time postcombination stock compensation expense of $0.3 million in general and administrative expense pursuant to a modification to accelerate vesting of certain stock options and restricted stock awards, and the one-time cash payment above fair value to settle certain in-the-money stock options corresponding to the adjustment made in Note 5(j)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for the three months ended March 31, 2026 and the year ended December 31, 2025. In addition, the number of shares used in calculating the pro forma combined basic and diluted net loss per share has been adjusted to reflect the estimated total number of shares of common stock of the Combined Company for the respective periods. Pro forma weighted average shares outstanding includes the pre-funded warrants related to the Subscription Agreement as the exercise price is negligible and they are fully vested and exercisable. Shares of newly created Cyclerion Series B non-voting Preferred Stock share the same characteristics as common stock and have no substantive preference attributed to them and, accordingly, have been considered a class of common stock in the computation of net loss per share regardless of their legal form. Net loss is allocated to common stock based on its proportional ownership on an as-converted basis. Net loss is not allocated to participating securities as they do not have an obligation to fund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 forma weighted average shares have been calculated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20"/>
        <w:gridCol w:w="692"/>
        <w:gridCol w:w="200"/>
        <w:gridCol w:w="1769"/>
        <w:gridCol w:w="158"/>
      </w:tblGrid>
      <w:tr>
        <w:trPr/>
        <w:tc>
          <w:tcPr>
            <w:tcW w:w="4120"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8"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969" w:type="dxa"/>
            <w:gridSpan w:val="2"/>
            <w:tcBorders/>
            <w:vAlign w:val="bottom"/>
          </w:tcPr>
          <w:p>
            <w:pPr>
              <w:pStyle w:val="TableContents"/>
              <w:bidi w:val="0"/>
              <w:spacing w:before="0" w:after="283"/>
              <w:jc w:val="center"/>
              <w:rPr>
                <w:b/>
              </w:rPr>
            </w:pPr>
            <w:r>
              <w:rPr>
                <w:b/>
              </w:rPr>
              <w:t>Basic and Diluted</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769" w:type="dxa"/>
            <w:tcBorders/>
            <w:shd w:fill="CCEEFF" w:val="clear"/>
            <w:vAlign w:val="bottom"/>
          </w:tcPr>
          <w:p>
            <w:pPr>
              <w:pStyle w:val="TableContents"/>
              <w:bidi w:val="0"/>
              <w:spacing w:before="0" w:after="283"/>
              <w:jc w:val="right"/>
              <w:rPr/>
            </w:pPr>
            <w:r>
              <w:rPr/>
              <w:t>(15,527</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769" w:type="dxa"/>
            <w:tcBorders/>
            <w:vAlign w:val="bottom"/>
          </w:tcPr>
          <w:p>
            <w:pPr>
              <w:pStyle w:val="TableContents"/>
              <w:bidi w:val="0"/>
              <w:spacing w:before="0" w:after="283"/>
              <w:jc w:val="right"/>
              <w:rPr/>
            </w:pPr>
            <w:r>
              <w:rPr/>
              <w:t>(1,260</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4,205,000</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Shares of Cyclerion common stock issued to Korsana stockholders upon close of Merger, assuming consummation of the Merger as of January 1, 2025(1)</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356,538,680</w:t>
            </w:r>
          </w:p>
        </w:tc>
        <w:tc>
          <w:tcPr>
            <w:tcW w:w="158"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76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360,743,680</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76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29,470</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769" w:type="dxa"/>
            <w:tcBorders/>
            <w:shd w:fill="CCEEFF" w:val="clear"/>
            <w:vAlign w:val="bottom"/>
          </w:tcPr>
          <w:p>
            <w:pPr>
              <w:pStyle w:val="TableContents"/>
              <w:bidi w:val="0"/>
              <w:spacing w:before="0" w:after="283"/>
              <w:jc w:val="right"/>
              <w:rPr/>
            </w:pPr>
            <w:r>
              <w:rPr/>
              <w:t>(0.04</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769" w:type="dxa"/>
            <w:tcBorders/>
            <w:vAlign w:val="bottom"/>
          </w:tcPr>
          <w:p>
            <w:pPr>
              <w:pStyle w:val="TableContents"/>
              <w:bidi w:val="0"/>
              <w:spacing w:before="0" w:after="283"/>
              <w:jc w:val="right"/>
              <w:rPr/>
            </w:pPr>
            <w:r>
              <w:rPr/>
              <w:t>(42.76</w:t>
            </w:r>
          </w:p>
        </w:tc>
        <w:tc>
          <w:tcPr>
            <w:tcW w:w="158" w:type="dxa"/>
            <w:tcBorders/>
            <w:vAlign w:val="bottom"/>
          </w:tcPr>
          <w:p>
            <w:pPr>
              <w:pStyle w:val="TableContents"/>
              <w:bidi w:val="0"/>
              <w:spacing w:before="0" w:after="283"/>
              <w:jc w:val="left"/>
              <w:rPr/>
            </w:pPr>
            <w:r>
              <w:rPr/>
              <w:t>) </w:t>
            </w:r>
          </w:p>
        </w:tc>
      </w:tr>
      <w:tr>
        <w:trPr>
          <w:trHeight w:val="240" w:hRule="atLeast"/>
        </w:trPr>
        <w:tc>
          <w:tcPr>
            <w:tcW w:w="4120" w:type="dxa"/>
            <w:tcBorders/>
            <w:vAlign w:val="center"/>
          </w:tcPr>
          <w:p>
            <w:pPr>
              <w:pStyle w:val="TableContents"/>
              <w:bidi w:val="0"/>
              <w:spacing w:before="0" w:after="283"/>
              <w:jc w:val="left"/>
              <w:rPr>
                <w:sz w:val="4"/>
                <w:szCs w:val="4"/>
              </w:rPr>
            </w:pPr>
            <w:r>
              <w:rPr>
                <w:sz w:val="4"/>
                <w:szCs w:val="4"/>
              </w:rPr>
            </w:r>
          </w:p>
        </w:tc>
        <w:tc>
          <w:tcPr>
            <w:tcW w:w="2819" w:type="dxa"/>
            <w:gridSpan w:val="4"/>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969" w:type="dxa"/>
            <w:gridSpan w:val="2"/>
            <w:tcBorders/>
            <w:vAlign w:val="bottom"/>
          </w:tcPr>
          <w:p>
            <w:pPr>
              <w:pStyle w:val="TableContents"/>
              <w:bidi w:val="0"/>
              <w:spacing w:before="0" w:after="283"/>
              <w:jc w:val="center"/>
              <w:rPr>
                <w:b/>
              </w:rPr>
            </w:pPr>
            <w:r>
              <w:rPr>
                <w:b/>
              </w:rPr>
              <w:t>Basic and Diluted</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769" w:type="dxa"/>
            <w:tcBorders/>
            <w:shd w:fill="CCEEFF" w:val="clear"/>
            <w:vAlign w:val="bottom"/>
          </w:tcPr>
          <w:p>
            <w:pPr>
              <w:pStyle w:val="TableContents"/>
              <w:bidi w:val="0"/>
              <w:spacing w:before="0" w:after="283"/>
              <w:jc w:val="right"/>
              <w:rPr/>
            </w:pPr>
            <w:r>
              <w:rPr/>
              <w:t>(37,235</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769" w:type="dxa"/>
            <w:tcBorders/>
            <w:vAlign w:val="bottom"/>
          </w:tcPr>
          <w:p>
            <w:pPr>
              <w:pStyle w:val="TableContents"/>
              <w:bidi w:val="0"/>
              <w:spacing w:before="0" w:after="283"/>
              <w:jc w:val="right"/>
              <w:rPr/>
            </w:pPr>
            <w:r>
              <w:rPr/>
              <w:t>(3,050</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3,181,000</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Cyclerion common stock issued to Korsana stockholders upon close of Merger, assuming consummation of the Merger as of January 1, 2025(1) </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356,538,680</w:t>
            </w:r>
          </w:p>
        </w:tc>
        <w:tc>
          <w:tcPr>
            <w:tcW w:w="158"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76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359,719,680</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76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29,470</w:t>
            </w:r>
          </w:p>
        </w:tc>
        <w:tc>
          <w:tcPr>
            <w:tcW w:w="158"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69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769" w:type="dxa"/>
            <w:tcBorders/>
            <w:shd w:fill="CCEEFF" w:val="clear"/>
            <w:vAlign w:val="bottom"/>
          </w:tcPr>
          <w:p>
            <w:pPr>
              <w:pStyle w:val="TableContents"/>
              <w:bidi w:val="0"/>
              <w:spacing w:before="0" w:after="283"/>
              <w:jc w:val="right"/>
              <w:rPr/>
            </w:pPr>
            <w:r>
              <w:rPr/>
              <w:t>(0.10)</w:t>
            </w:r>
          </w:p>
        </w:tc>
        <w:tc>
          <w:tcPr>
            <w:tcW w:w="158"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69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769" w:type="dxa"/>
            <w:tcBorders/>
            <w:vAlign w:val="bottom"/>
          </w:tcPr>
          <w:p>
            <w:pPr>
              <w:pStyle w:val="TableContents"/>
              <w:bidi w:val="0"/>
              <w:spacing w:before="0" w:after="283"/>
              <w:jc w:val="right"/>
              <w:rPr/>
            </w:pPr>
            <w:r>
              <w:rPr/>
              <w:t>(103.51)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shares of Cyclerion common stock and pre-funded warrants issued to Korsana stockholders at the closing of the Merger, excluding (i) the outstanding and unvested Korsana restricted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stock and options to purchase Korsana common stock at the closing of the Merger that were converted to the right to receive 1,473,500 shares of the Cyclerion common stock as of March 31, 2026 and December 31, 2025, and 51,255,510 options to purchase shares of Cyclerion common stock as of March 31, 2026 and December 31, 2025 after reflecting the estimated Exchange Ratio, (ii) the outstanding shares of Korsana Series Seed preferred stock that were exchanged for 29,470 shares of newly created Cyclerion Series B Preferred Stock as of March 31, 2026 and December 31, 2025, and (iii) the outstanding warrants to purchase Korsana common stock at the closing of the Merger that were converted to the right to receive 1,624,664 warrants to purchase shares of Cyclerion common stock as of March 31, 2026 and December 31, 2025, after reflecting the estimated Exchange Ratio. The shares of Cyclerion common stock issued in exchange for shares of Korsana restricted stock and options to purchase shares of Cyclerion common stock issued in exchange for options to purchase shares of Korsana common stock are subject to the same vesting and forfeiture conditions, applicable, as they were prior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x111069_36"/>
      <w:bookmarkEnd w:id="38"/>
      <w:r>
        <w:rPr>
          <w:rFonts w:ascii="Times New Roman" w:hAnsi="Times New Roman"/>
          <w:b/>
          <w:sz w:val="20"/>
        </w:rPr>
        <w:t xml:space="preserve">DESCRIPTION OF CYCLERION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Cyclerion capital stock and provisions of the Cyclerion Articles and Cyclerion Bylaws are summaries and are qualified by reference to such charter and bylaws and applicable provisions of Massachusetts corporate law. Copies of these documents are filed as exhibits to the registration statement of which this proxy/prospectus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Cyclerion’s authorized capital stock consists of 400,000,000 shares of common stock and 100,000,000 shares of preferred stock, 500,000 of which preferred stock is designated as Cyclerion Series A Preferred Stock and the rest of which preferred stock is undesignated. As of March 30, 2026, there were 4,330,314 shares of common stock outstanding and 351,037 shares of Cyclerion Series A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holders of outstanding shares of Cyclerion Common Stock are entitled to receive dividends out of assets legally available at the times and in the amounts as the Cyclerion Board may from time to time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share of Cyclerion Common Stock is entitled to one vote on all matters submitted to a vote of shareholders. Holders of shares of Cyclerion Common Stock have no cumulative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not entitled to preemptive or other similar subscription rights to purchase any of Cyclerion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neither convertible nor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Cyclerion’s liquidation, the holders of Cyclerion Common Stock would be entitled to receive pro rata Cyclerion’s assets which are legally available for distribution, after payment of all debts and other liabilities and subject to the prior rights of any holders of the Cyclerion Series A Preferred Stock or any other preferred stock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listed on the Nasdaq Capital Market under the trading symbol “CYCN.”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Cyclerion Common Stock is Computershare Trust Company, N.A. Its address is 150 Royall Street, Canton, Massachusetts 02021 and its telephone number is (800) 522-6645.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of the MBCA and the Cyclerion Articles and Cyclerion Bylaws, the Cyclerion Board may, without further action by Cyclerion shareholders, from time to time, direct the issuance of additional shares of preferred stock in series and may, at the time of issuance, determine the designations, powers, preferences, privileges and relative participating, optional or special rights, any or all of which may be greater than the rights of Cyclerion Common Stock, as well as the qualifications, limitations or restrictions thereof,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Cyclerion will specify the following terms relating to any class or series of preferred stock offered: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Cyclerion’s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Satisfaction of any dividend preferences of outstanding shares of preferred stock would reduce the amount of funds available for the payment of dividends on shares of Cyclerion Common Stock. Holders of shares of preferred stock may be entitled to receive a preference payment in the event of our liquidation before any payment is made to the holders of shares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Cyclerion Series A Preferred Stock (i) is convertible at the option of the holder into one share of Cyclerion Common Stock, subject to adjustment for stock splits, combinations and similar events, (ii) is entitled to participate in any dividends paid to holders of Cyclerion Common Stock on an as-converted basis, and (iii) is entitled to a payment of $0.01 liquidation preference per share, before any amounts are paid to holders of Cyclerion Common Stock, upon the liquidation, dissolution or winding up of Cyclerion, and thereafter will participate in any liquidation distributions to holders of Cyclerion Common Stock on an as-converted basis. The Cyclerion Series A Preferred Stock has no voting rights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and the Cyclerion Bylaws contain certain provisions that are intended to enhance the likelihood of continuity and stability in the composition of the Cyclerion Board but which may have the effect of delaying, deferring or preventing a future takeover or change in control of us unless such takeover or change in control is approved by the Cyclerion Board.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Action by written consent; special meetings of shareholders</w:t>
            </w:r>
            <w:r>
              <w:rPr>
                <w:rFonts w:ascii="Times New Roman" w:hAnsi="Times New Roman"/>
                <w:sz w:val="20"/>
              </w:rPr>
              <w:t xml:space="preserve">. The Cyclerion Bylaws provide that shareholder action can be taken only at an annual or special meeting of shareholders or by the unanimous written consent of all shareholders in lieu of such a meeting. The Cyclerion Articles and the Cyclerion Bylaws also provide that, except as otherwise required by law, special meetings of the shareholders can only be called pursuant to a resolution adopted by a majority of the Cyclerion Board or holders of at least 40% of Cyclerion’s then outstanding common stock. Except as described above, shareholders are not permitted to call a special meeting or to require the Cyclerion Board to call a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The Cyclerion Bylaws contain an advance notice procedure for shareholder proposals to be brought before an annual meeting of Cyclerion’s shareholders, including proposed nominations of persons for election to the Cyclerion Board. Shareholders at an annual meeting are only able to consider proposals or nominations specified in the notice of meeting or brought before the meeting by or at the direction of the Cyclerion Board or by a shareholder who was a shareholder of record on the record date for the meeting, who is entitled to vote at the meeting and who has given Cyclerion’s Secretary timely written notice, in proper form, of the shareholder’s intention to bring that business before the meeting. Although the Cyclerion Bylaws do not give the Cyclerion Board the power to approve or disapprove shareholder nominations of candidates or proposals regarding other business to be conducted at a special or annual meeting, the Cyclerion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Cyclerion.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Proxy Access</w:t>
            </w:r>
            <w:r>
              <w:rPr>
                <w:rFonts w:ascii="Times New Roman" w:hAnsi="Times New Roman"/>
                <w:sz w:val="20"/>
              </w:rPr>
              <w:t xml:space="preserve">. The Cyclerion Bylaws provide that a shareholder or a group of shareholders meeting certain conditions may nominate candidates for election as a director at an annual meeting of our shareholders using “proxy access” provisions. These provisions allow one or more shareholders (up to 20, collectively), owning at least 3% of Cyclerion’s outstanding common stock continuously for at least three years, to nominate for election to the Cyclerion Board and to be included in Cyclerion’s proxy materials up to the greater of two individuals or 20% of the Cyclerion Board, subject to the provisions included in the Cyclerion Bylaws, including the provision of timely written notice to Cyclerion’s Secretary.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Number of directors and filling vacancies; election of directors</w:t>
            </w:r>
            <w:r>
              <w:rPr>
                <w:rFonts w:ascii="Times New Roman" w:hAnsi="Times New Roman"/>
                <w:sz w:val="20"/>
              </w:rPr>
              <w:t xml:space="preserve">. The Cyclerion Articles provide that the number of directors is established by the Cyclerion Board. Furthermore, any vacancy on the Cyclerion Board, however occurring, including a vacancy resulting from an increase in the size of the Cyclerion Board, may only be filled by the affirmative vote of a majority of the directors on the Cyclerion Board then in office. The ability of the Cyclerion Board to increase the number of directors and fill any vacancies may make it more difficult for Cyclerion’s shareholders to change the composition of the Cyclerion Board. The Cyclerion Bylaws provide that a majority of the votes properly cast for the election of a director shall effect such election unless there are more nominees than directorships, in which case a plurality standard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Cyclerion’s authorized but unissued shares of common stock and preferred stock are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Cyclerion’s common stock by means of a proxy contest, tender offer,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The Cyclerion Articles require, to the fullest extent permitted by law, that derivative actions brought in the name of Cyclerion, actions against Cyclerion’s directors, officers and employees for breach of a fiduciary duty and other similar actions may be brought only in specified courts in the Commonwealth of Massachusetts. Although Cyclerion believes this provision benefits Cyclerion by providing increased consistency in the application of Massachusetts law in the types of lawsuits to which it applies, the provision may have the effect of discouraging lawsuits against Cyclerion’s directors and officers.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under Massachusetts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Regarding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is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Chapter 110F,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amendment approved by at least a majority of the outstanding voting shares. Cyclerion has not opted out of these provisions. As a result, mergers or other takeover or change in control attempts of Cyclerion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Regarding a 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Cyclerion has opted out of this default requirement for a classified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8.06(c)(2) of the MBCA, however, the Cyclerion Board may unilaterally opt back into default requirements under Section 8.06(b) of the MBCA and become a classified board of directors without the approval of the Cyclerion shareholders. Sections 8.06(d) and (e) of the MBCA provide that when a board of directors is so classified, (i) shareholders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the Cyclerion Board opts into this classified structure in the future, these provisions are likely to increase the time required for shareholders to change the composition of the Cyclerion Board. For example, at least two annual meetings would generally be necessary for shareholders to effect a change in a majority of the members of the Cyclerion Board. As a result, the ability of the Cyclerion Board to adopt a classified structure in the future without the approval of Cyclerion shareholders could have the effect of discouraging a potential acquirer from making a tender offer for a majority of the outstanding voting interest of Cyclerion’s capital stock or otherwise attempting to obtain control of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provide that the liability of Cyclerion’s directors for damages for any breach of fiduciary duty shall be limited to the fullest extent permitted by law. The Cyclerion Bylaws also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its directors and officers, and Cyclerion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111069_37"/>
      <w:bookmarkEnd w:id="39"/>
      <w:r>
        <w:rPr>
          <w:rFonts w:ascii="Times New Roman" w:hAnsi="Times New Roman"/>
          <w:b/>
          <w:sz w:val="20"/>
        </w:rPr>
        <w:t xml:space="preserve">COMPARISON OF RIGHTS OF HOLDERS OF CYCLERION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Korsana stockholders will receive shares of Cyclerion Common Stock, Cyclerion Pre-Funded Warrants, and shares of Cyclerion Series B Preferred Stock, pursuant to the terms of the Merger Agreement. Prior to or upon the closing of the Merger, assuming that Proposal Nos. 2 and 3 are approved by Cyclerion’s shareholders, the Cyclerion Articles will be amended to increase the number of shares of Cyclerion Common Stock that Cyclerion is authorized to issue from 400,000,000 to 700,000,000, and to effect the proposed reverse stock split, as set forth in the forms of certificates of amendment attached as </w:t>
      </w:r>
      <w:r>
        <w:rPr>
          <w:rFonts w:ascii="Times New Roman" w:hAnsi="Times New Roman"/>
          <w:i/>
          <w:sz w:val="20"/>
        </w:rPr>
        <w:t>Annex</w:t>
      </w:r>
      <w:r>
        <w:rPr>
          <w:rFonts w:ascii="Times New Roman" w:hAnsi="Times New Roman"/>
          <w:sz w:val="20"/>
        </w:rPr>
        <w:t xml:space="preserve"> </w:t>
      </w:r>
      <w:r>
        <w:rPr>
          <w:rFonts w:ascii="Times New Roman" w:hAnsi="Times New Roman"/>
          <w:i/>
          <w:sz w:val="20"/>
        </w:rPr>
        <w:t>H</w:t>
      </w:r>
      <w:r>
        <w:rPr>
          <w:rFonts w:ascii="Times New Roman" w:hAnsi="Times New Roman"/>
          <w:sz w:val="20"/>
        </w:rPr>
        <w:t xml:space="preserve">, and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is incorporated under the laws of the Commonwealth of Massachusetts, and the rights of its shareholders are generally governed by the Massachusetts Business Corporation Act (“MBCA”), as well as its articles of organization and bylaws. Korsana is incorporated under the laws of the State of Delaware, and the rights of its stockholders are generally governed by the DGCL, as well as its articles of organization or certificates of incorporation and bylaws. Upon completion of the Merger, Korsana stockholders will become shareholders of Cyclerion, and their rights thereafter will be governed by the MBCA, the Cyclerion Bylaws, and the Cyclerion Articles, each as may be amended in connection with the Merger, including as contemplated by Proposal Nos. 2 and 3. The material differences between the rights of Korsana stockholders prior to the Merger and their rights as Cyclerion shareholders after the Merger — taking into account the amendments to the Cyclerion Articles and Cyclerion Bylaws that would be effected if Proposal Nos. 2 and 3 are approved — are described in the immediately following paragraph.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Korsana stockholders under the Korsana Charter and Korsana Bylaws and their rights as Cyclerion shareholders, after the Merger, under the Cyclerion Articles and Cyclerion Bylaws, both as will be in effect immediately following the completion of the Merger and assuming that Proposal Nos. 2 and 3 are approved by Cyclerion’s shareholders, are summarized below. The summary below does not purport to be complete and is subject to, and qualified in its entirety by reference to, the DGCL, the MBCA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Cyclerion or Korsana before the Merger and being a shareholder of the Combined Company following the completion of the Merger. For more information on how to obtain these documents, see the section titled “</w:t>
      </w:r>
      <w:r>
        <w:rPr>
          <w:rFonts w:ascii="Times New Roman" w:hAnsi="Times New Roman"/>
          <w:i/>
          <w:sz w:val="20"/>
        </w:rPr>
        <w:t>Where You Can Find More</w:t>
      </w:r>
      <w:r>
        <w:rPr>
          <w:rFonts w:ascii="Times New Roman" w:hAnsi="Times New Roman"/>
          <w:sz w:val="20"/>
        </w:rPr>
        <w:t xml:space="preserve"> </w:t>
      </w:r>
      <w:r>
        <w:rPr>
          <w:rFonts w:ascii="Times New Roman" w:hAnsi="Times New Roman"/>
          <w:i/>
          <w:sz w:val="20"/>
        </w:rPr>
        <w:t>Information</w:t>
      </w:r>
      <w:r>
        <w:rPr>
          <w:rFonts w:ascii="Times New Roman" w:hAnsi="Times New Roman"/>
          <w:sz w:val="20"/>
        </w:rPr>
        <w:t xml:space="preserve">” beginning on page 436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Combined Company shareholders pursuant to the Merger will no longer be governed by the Cyclerion Articles, the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w:t>
      </w:r>
      <w:r>
        <w:rPr>
          <w:rFonts w:ascii="Times New Roman" w:hAnsi="Times New Roman"/>
          <w:sz w:val="20"/>
        </w:rPr>
        <w:t xml:space="preserve"> </w:t>
      </w:r>
      <w:r>
        <w:rPr>
          <w:rFonts w:ascii="Times New Roman" w:hAnsi="Times New Roman"/>
          <w:i/>
          <w:sz w:val="20"/>
        </w:rPr>
        <w:t>of the Cayman Redomestication — Comparison of Rights of</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 Corporation</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Cayman</w:t>
      </w:r>
      <w:r>
        <w:rPr>
          <w:rFonts w:ascii="Times New Roman" w:hAnsi="Times New Roman"/>
          <w:sz w:val="20"/>
        </w:rPr>
        <w:t xml:space="preserve">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Share</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Cyclerion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Korsana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Organizational Documents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rights of Cyclerion shareholders are governed by Cyclerion’s restated articles of organization (as amended, the “Cyclerion Articles”), Cyclerion’s amended and restated bylaws (the “Cyclerion Bylaws”) and the Massachusetts Business Corporation Act (the “MBCA”).</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rights of Korsana’s stockholders are governed by Korsana’s second amended and restated certificate of incorporation, as amended (the “Korsana Charter”), Korsana’s bylaws (the “Korsana Bylaws”) and the DGCL. Rights of certain holders of Korsana preferred stock are governed by the Amended and Restated Investors’ Rights Agreement (the “Korsana IRA”), the Amended and Restated Right of First Refusal and Co-Sale Agreement (the “Korsana ROFR Agreement”), and the Amended and Restated Voting Agreement, each dated as of September 15, 2025.</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Authorized Capital Stock</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Cyclerion is authorized to issue two classes of capital stock which are designated, respectively, “common stock” and “preferred stock.” The total number of shares that Cyclerion is authorized to issue is 500,000,000, of which 400,000,000 shares are common stock, each having no par value per share, and 100,000,000 shares are preferred stock, each having no par value per share. The preferred stock may be issued from time to time in one or more series. The number of authorized shares of Cyclerion preferred stock may be increased or decreased (but not below the number of shares thereof then outstanding) by the affirmative vote of the holders of a majority of the voting power of the stock of Cyclerion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Korsana is authorized to issue two classes of capital stock which are designated, respectively, “common stock” and “preferred stock.” The total number of shares that Korsana is authorized to issue is 235,263,552, of which 139,763,552 shares are common stock, par value $0.0001 per share, and 95,500,000 shares are preferred stock, par value $0.0001 per share. The number of authorized shares of Korsana Common Stock may be increased or decreased (but not below the number of shares thereof then outstanding) by (in addition to any vote of the holders of one or more series of Korsana preferred stock that may be required under the Korsana Charter) the affirmative vote of the holders of shares of Korsana capital stock representing a majority of the votes represented by all outstanding shares of Korsana capital stock entitled to vote, irrespective of the provisions of Section 242(b)(2) of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Common Stock</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The Cyclerion authorized common stock consists of 400,000,000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Cyclerion Common Stock is entitled to one vote for each such share held of record on the applicable record date on each matter properly submitted to the stockholders for their vote.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Korsana’s authorized common stock consists of 139,763,552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Korsana Common Stock is entitled to one vote for each such share held of record on the applicable record date on each matter voted on at a meeting of stockholders (and written actions in lieu of meetings).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Preferred Stock</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Cyclerion preferred stock consists of 100,000,000 shares of preferred stock, each having no par value per share. The voting rights of preferred stockholders can vary depending on the series of preferred stock issued. The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Korsana’s 95,500,000 shares of preferred stock consist of 20,000,000 shares of preferred stock designated as shares of “Series Seed Preferred Stock,” and 75,500,000 shares of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Cyclerion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Cyclerion preferred stock are designated as Series Convertible A Preferred Stock (“Cyclerion Series A Preferred Stock”). Holders of Cyclerion Series A Preferred Stock are not entitled to vote at any meetings of Cyclerion shareholders. Each share of Cyclerion Series A Preferred Stock is convertible into one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In connection with the Merger, the Cyclerion Board intends to designate    shares of undesignated preferred stock as Cyclerion Series B Preferred Stock through an articles of amendment to the Cyclerion Articles in the form attached as </w:t>
            </w:r>
            <w:r>
              <w:rPr>
                <w:rFonts w:ascii="Times New Roman" w:hAnsi="Times New Roman"/>
                <w:i/>
                <w:sz w:val="20"/>
              </w:rPr>
              <w:t>Annex G</w:t>
            </w:r>
            <w:r>
              <w:rPr>
                <w:rFonts w:ascii="Times New Roman" w:hAnsi="Times New Roman"/>
                <w:sz w:val="20"/>
              </w:rPr>
              <w:t xml:space="preserve"> to this proxy statement/prospectus (the “Articles of Amendment”). No shares of Cyclerion Series B Preferred Stock are currently authorized or outstanding. Except as otherwise required by the Articles of Amendment or law, the Cyclerion Series B Preferred Stock will not have voting rights. The Articles of Amendment provides for certain voting rights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As long as shares of Cyclerion Series B Preferred Stock are outstanding, Cyclerion will not, without the affirmative vote of the holders of a majority of the then outstanding shares of the Cyclerion Series B Preferred Stock, (a) alter or change adversely the powers, preferences or rights given to Cyclerion Series B Preferred Stock, (b) alter or amend the description of rights of Cyclerion Series B Preferred Stock set forth in its articles of organization, (c) amend its articles of organization, bylaws or other charter documents in any manner that adversely affects any rights of the holders of Cyclerion Series B Preferred Stock, (d) file any articles of amendment, description of rights, preferences, limitations and relative rights of any series of Cyclerion preferred stock (as defined in the Articles of Amendment), if such action would adversely alter or change the preferences, rights, privileges or powers of, or restrictions provided for the benefit of Cyclerion Series B Preferred Stock, (e) issue further shares of the Cyclerion Series B Preferred Stock or increase or decrease (other than by conversion) the number of authorized shares of Cyclerion Series B Preferred Stock, (f) at any time while at least 30% of the originally issued Cyclerion Series B Preferred Stock remains issued and outstanding, (i) consummate either (A) a Fundamental Transaction (as defined in the Articles of Amendment) or (B) any merger or consolidation of Cyclerion or other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designated as shares of “Series A Preferred Stock.” On each matter voted on at a meeting of stockholders (and written actions in lieu of meetings), each holder of a share of Korsana preferred stock is entitled to cast the number of votes equal to the number of whole shares of Korsana Common Stock into which the shares of preferred stock held by such holder are convertible as of the record date for determining stockholders entitled to vote on such matter. Holders of Korsana preferred stock vote together with holders of Korsana Common Stock as a single class and on an as-converted to common stock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business combination in which the shareholders of Cyclerion immediately before such transaction do not hold at least a majority of the capital stock of Cyclerion immediately after such transaction, (ii) increase the size of the Cyclerion Board, (iii) adopt, amend or repeal any written delegation of authority policy, corporate authority matrix or similar document, framework or schedule unless approved by the unanimous vote of the Cyclerion Board, or (iv) retain or replace Cyclerion’s registered independent public accounting firm, independent compensation consultant or corporate counsel, or (g) enter into any agreement with respect to any of the foregoing. Following the closing of the Merger, each share of Cyclerion Series B Preferred Stock then outstanding will be convertible, at any time and from time to time, at the option of the holder of Cyclerion Series B Preferred Stock, into a number of shares equal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Number and Qualification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number of Cyclerion directors shall be not less than three directors and may be increased or decreased to a size fixed exclusively by vote of a majority of the directors then serving. No decrease in the authorized number of directors constituting the Cyclerion Board will shorten the term of any incumbent director. Directors need not be stockholders of Cyclerion. Following the completion of the Merger, the Combined Company is expected to consist of six members.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number of directors of Korsana is established from time to time by the Korsana Board. The Korsana Board currently consists of six members. Any decrease in the authorized number of directors shall not become effective until the expiration of the term of the directors then in office, unless, at the time of such decrease, there are vacancies on the board which are eliminated by the decrease.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Structure of Board of Directors; Term of Directors; Election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statute, the Cyclerion Articles or the Cyclerion Bylaws, when a quorum is present, (i) in the event there are at least as many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Korsana directors shall be elected at the annual meeting of stockholders by such stockholders as have the right to vote on such election. Election of directors need not be by written ballot. Each director shall hold office for a term of one year and until his or her successor is elected and qualified, or until such director’s earlier resignation or removal. All elections shall be determined by a plurality of the votes cast, except as otherwise required by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Cyclerion Board.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record of the shares of Korsana Series Seed Preferred Stock, voting together exclusively and as a separate class on an as-converted to common stock basis, are entitled to elect four directors of Korsana (the “Series Seed Preferred Directors”). The holders of record of the shares of Series A Preferred Stock, voting together exclusively and as a separate class on an as-converted to common stock basis, are entitled to elect one director (the “Series A Preferred Director”). The holders of record of the shares of common stock and of any other class or series of voting stock (including the Korsana preferred stock), exclusively and voting together as a single class on an as-converted to common stock basis, shall be entitled to elect one director (the “At Large Director”).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Removal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Cyclerion shareholders called at least in part for such purpose, any director may by the affirmative vote of the holders of at least a majority of the shares entitled to vote for the election of directors, be removed for cause. The Cyclerion Board may removal any director or directors, for cause, at a meeting of the Cyclerion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Preferred Director may be removed without cause only by the affirmative vote of the holders of a majority of the Cyclerion Series B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may be removed, with or without cause, by the holders of a majority of shares of the class or series of capital stock entitled to elect such director, voting together as a single class on an as-converted to common stock basis, given either at a special meeting of such stockholders duly called for that purpose or pursuant to a written consent of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Vacancies on the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Subject to the rights of the holders of any series of preferred stock, any vacancies on the Cyclerion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Cyclerion Board, and not by the shareholders. Any director elected in accordance with the preceding sentence shall hold office for the remainder of the full term of the director for which the vacancy was created or occurred and until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may resign at any time upon notice given in writing or by electronic transmission to Korsana. Such resignation shall be effective upon receipt unless it is specified to be effective at some other time or upon the happening of some other event. A vacancy in any director seat other than those required to be filled by a particular class or series of stockholders pursuant to the Korsana Charter can be filled by the vote or written consent in lieu of a meeting of a majority of the remaining director(s), although less than a quorum. Vacancies and newly created directorships resulting from any increase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any vacancies of a Preferred Director directorship resulting from death, resignation, disqualification, removal or other causes shall be filled by the affirmative vote of the holders of a majority of the Cyclerion Series B Preferred Stock.</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a class or series of stock entitled to elect one or more directors fail to elect a sufficient number of directors to fill all directorships for which they are entitled to elect directors, then any directorship not so filled shall remain vacant until such time as such holders elect a person to fill such directorship.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Stockholder Action by Written Consent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action required or permitted to be taken by the Cyclerion shareholders may be taken without a meeting if evidenced by consents signed by all Cyclerion shareholders entitled to vote on the matter.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Korsana, a written consent signed by a sufficient number of stockholders to take action is delivered to Korsana.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Quorum</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At all meetings of stockholders, except where otherwise provided by statute or by the Cyclerion Articles or the Cyclerion Bylaws, at any meeting of Cyclerion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Except as otherwise provided by the DGCL or the Korsana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quorum. If a quorum shall fail to attend any meeting, the chairman of the meeting or the holders of a majority of the shares of stock entitled to vote who are present, in person or by proxy, may adjourn the meeting to another place, if any, date, or time.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Special Meetings of Shareholders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Special meetings of the Cyclerion shareholders may be called, for any purpose as is a proper matter for shareholder action under the Cyclerion Articles, the Cyclerion Bylaws and the MBCA, by (i) subject to certain conditions, holders of at least forty percent (40%) of all the votes entitled to be cast on any issue to be considered at the proposed special meeting, or (ii) the Cyclerion Board pursuant to a resolution adopted by a majority of the directors at a meeting of directors where a quorum is present or by unanimous written consent of the Cyclerion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Cyclerion Board or an officer designed by the Cyclerion Board shall determine the time and place of such special meeting. Upon determination of the time and place of the meeting, the Cyclerion secretary shall cause a notice of meeting to be given to the Cyclerion shareholders entitled to vote, in accordance with the Cyclerion Bylaws. No business may be transacted as such special meeting other than the business specified in the notice of meeting. Special meetings called by Cyclerion shareholders will be scheduled not fewer than sixty (60) nor more than ninety (90) days after the date of delivery of a written request to the Cyclerion secretary for such meeting to be called by shareholders holding at least forty percent (40%) of the votes entitled to be cast on any issue to be considered at the proposed special meeting, subject to certain conditions in the Cyclerion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stockholders, for any purpose or purposes prescribed in the notice of the meeting, may be called by the Korsana Board or the Chief Executive Officer if one is elected, or the President, and shall be held at such place, date, and time as they or he or she shall fix.</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Notice of Shareholder Meetings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Except as otherwise provided by law, notice, given in writing or by electronic transmission, of each meeting of Cyclerion shareholders shall be given not less than seven (7) nor more than sixty (60) days before the date of the meeting to each stockholder entitled to vote at such meeting. Notice of any special meeting requested by Cyclerion shareholders in accordance with the Cyclerion Bylaws shall be given in writing or electronic transmission with thirty (30) days of the date of delivery of a written request for such special meeting to be called. Notice delivered to Cyclerion shareholders of shareholder meetings will specify the date, place and time of such meeting and the purposes of such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Except as otherwise provided by the DGCL or the Korsana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Advance Notice Requirements for Shareholder Proposals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Nominations of persons for election to the Cyclerion Board may be made at an annual meeting or special meeting of shareholders, and the proposal of business to be considered by the shareholders may be made at an annual meeting of shareholders, by any Cyclerion shareholder who was a shareholder of record at the time of giving the shareholder’s notice, who is entitled to vote at the meeting and who complied with the notice procedures set forth in the Cyclerion Bylaws. Such notice must be received by Cyclerion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Cyclerion Board to be elected at such meeting, in the case of a special meeting nomination.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Neither the Korsana Charter nor the Korsana Bylaws contain advance notice requirements for stockholder proposals.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Articles of Organization and Certificate of Incorporation</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Cyclerion Articles may be amended by the affirmative vote of the majority of the outstanding shares of capital stock entitled to vote on such amendment at a duly constituted meeting of shareholders called expressly for such purpose.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Korsana Charter may be amended pursuant to Section 242 of the DGCL; provided that, at any time when shares of preferred stock are outstanding, the written consent or affirmative vote of the holders of at least a majority of the outstanding shares of preferred stock, voting together as a single class on an as-converted to common stock basis (the “Requisite Holders”), is required to (i) amend, alter or repeal of any provision of the Korsana Charter, (ii) create or issue any capital stock unless the same ranks junior to the preferred stock with respect to its special rights, powers and preferences or (iii) increase the authorized number of shares of preferred stock or any additional class or series of capital stock of Korsana unless the same ranks junior to the preferred stock with respect to its special rights, powers and preferences.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Bylaws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Except as otherwise provided by law, the Cyclerion Bylaws may be adopted, amended or repealed by the Cyclerion Board. Any adoption, amendment or repeal of the Cyclerion Bylaws by the Cyclerion Board pursuant to a resolution adopted by a majority of the directors at a meeting of directors where a quorum is present or by unanimous written consent of the Cyclerion Board. The Cyclerion Bylaws may also be adopted, amended or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Korsana Bylaws may be amended or repealed by the Korsana Board or by the stockholders; provided that, at any time when shares of preferred stock are outstanding, the written consent or affirmative vote of the Requisite Holders is required (in addition to any other vote required by law or the Korsana Charter) to amend, alter or repeal any provision of the Korsana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repealed by the shareholders votes cast in favor representing a majority of the votes entitled to be cast on the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Limitation on Director Liability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Directors shall not be liable to Cyclerion or its shareholders for damages for any breach of fiduciary duty, except to the extent that the elimination or limitations of liability is not permitted under law.</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Korsana Charter provides that, to the fullest extent permitted by law, a director or officer of Korsana shall not be personally liable to Korsana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Korsana shall be eliminated or limited to the fullest extent permitted by the DGCL as so amended.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Indemnification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Cyclerion will indemnify and hold harmless its directors and officers from and against any and all claims and liabilities to which he or she may be or become subject by reason of being or having been a director or officer of Cyclerion or by reason of alleged acts or omissions as a director or officer of Cyclerion,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Cyclerion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Cyclerion will also indemnify and hold harmless persons who serve at Cyclerion’s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Cyclerion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Cyclerion Articles will be in addition to and not exclusive of any other rights to which any officer or director of Cyclerion may otherwise be lawfully entitled.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Korsana Charter (i) permits Korsana to indemnify, to the fullest extent permitted by applicable law, any director or officer of Korsana, and (ii) authorizes Korsana to indemnify, to the extent permitted by the DGCL, any employee or agent of Korsana,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Korsana or is or was serving at the request of Korsana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Korsana is required to indemnify a director or officer in connection with a proceeding initiated by such person only if the proceeding was authorized by the Korsana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Korsana Bylaws require Korsana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officer of Korsana or is or was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serving at the request of Korsana as a director, officer, or trustee of another corporation or of a partnership, joint venture, trust or other enterprise, including service with respect to an employee benefit plan (for purpose of this paragraph, an “indemnitee”), whether the basis of such proceeding is alleged action in an official capacity as a director, officer or trustee, or in any other capacity while serving as a director, officer or trustee. The Korsana Bylaws also provide that an indemnitee will have the right to be paid by Korsana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Korsana of an undertaking, by or on behalf of such indemnitee, to repay all amounts so advanced if it shall ultimately be determined by final judicial decision from which there is no further right to appeal that such indemnitee is not entitled to be indemnified for such expenses. The Korsana Bylaws also provide that the rights to indemnification and advancement of expenses shall not be exclusive of any other right which any person may have or hereafter acquire under any statute, the Korsana Charter, the Korsana Bylaws, agreement, vote of stockholders or disinterested directors or otherwise.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Conversion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Cyclerion Series A Preferred Stock have the right to covert such shares into shares of Cyclerion Common Stock at any time at a ratio of 1 share of Cyclerion Series A Preferred Stock to 1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Cyclerion Series B Preferred Stock is issued in connection with the Merger, the holders of Cyclerion Series B Preferred Stock will have the right to convert such shares into Cyclerion Common Stock at any time at a ratio of 1 share of Cyclerion Series B Preferred Stock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Korsana Charter provides that holders of preferred stock have the right to convert such shares into shares of common stock, at the option of the holder, at any time, at a conversion rate in accordance with the terms set forth in the Korsana Charter. In addition, upon the earliest to occur of (i) immediately prior to the closing of the sale of shares of common stock to the public at a price of at least $4.00 per share (subject to appropriate adjustment for any stock dividend, stock split, combination or other similar recapitalization with respect to the common stock), in a firm- commitment underwritten public offering pursuant to an effective registration statement under the Securities Act, resulting in at least $75,000,000 of gross proceeds, net of the underwriting discount and commissions, to Korsana and in connection with such offering the shares of Korsana Common Stock are listed for trading on the Nasdaq Stock Market’s National Market, the New York Stock Exchange or another exchange or marketplace approved by the Korsana Board; (ii) immediately prior to the closing of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business combination pursuant to which Korsana becomes a public company under the terms set forth in the Korsana Charter; and (iii) the date and time, or the occurrence of an event, specified by vote or written consent of the Requisite Holders, all outstanding shares of preferred stock will automatically be converted into shares of common stock at the then effective conversion rate as calculated in accordance with the Korsana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Right of First Refusal</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Certain stockholders party to the Korsana ROFR Agreement wishing to transfer any shares of Korsana capital stock (other than any shares of preferred stock or common stock that are issued or issuable upon conversion of preferred stock) must first provide Korsana with the right to purchase such shares. In such an event, if Korsana does not elect to exercise its right of first refusal in full, certain stockholders party to the Korsana ROFR Agreement have a secondary refusal right to purchase all or any portion of such shares of Korsana capital stock which are proposed for sale or transfer and not purchased by Korsana pursuant to its right of first refusal.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Right of Co-Sale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Certain stockholders party to the Korsana ROFR Agreement have a right of co-sale with respect to any Korsana capital stock proposed to be transferred or sold that is not either purchased by Korsana by exercise of its right of first refusal (as further described above) or by any Korsana stockholder by exercise of their secondary refusal right (as further described above), each pursuant to the Korsana ROFR Agreement.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Preemptive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Cyclerion shareholders do not have preemptive rights. Thus, if additional shares of Cyclerion Common Stock are issued, the current holders of Cyclerion Common Stock will own a proportionately smaller interest in a larger number of outstanding shares of common stock to the extent that they do not participate in the additional issuance.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Korsana stockholders do not have preemptive rights. Thus, if additional shares of Korsana Common Stock are issued, the current holders of Korsana Common Stock will own a proportionately smaller interest in a larger number of outstanding shares of common stock to the extent that they do not participate in the additional issuance.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Distributions to Stockholders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Subject to preferences that may be applicable to any outstanding shares of Cyclerion preferred stock, the holders of Cyclerion Common Stock are entitled to receive ratably such dividends as may be declared by the Cyclerion Board out of legally available funds.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Korsana shall not declare, pay or set aside any dividends (other than dividends on shares of common stock payable in shares of common stock) unless holders of preferred stock first receive, or simultaneously receive, a dividend on each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outstanding share of preferred stock in an amount calculated in accordance with the Korsana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Exclusive Forum</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Cyclerion Articles provide that unless the Cyclerion Board consents in writing to the selection of an alternative forum, a state or federal court located within the Commonwealth of Massachusetts shall be the sole and exclusive forum for (i) any derivative action or proceeding brought on behalf of Cyclerion; (ii) any action asserting a claim of breach of a fiduciary duty owed by any director, officer or other employee of Cyclerion to Cyclerion or its shareholders; (iii) any action asserting a claim against Cyclerion arising pursuant to any provision of the MBCA or any successor statute; or (iv) any action asserting a claim against Cyclerion governed by the internal affairs doctrine.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Korsana Charter provides that, unless Korsana consents in writing to the selection of an alternative forum, the Court of Chancery in the State of Delaware shall be the sole and exclusive forum for any stockholder (including a beneficial owner) to bring (i) any derivative action or proceeding brought on behalf of Korsana, (ii) any action asserting a claim of breach of fiduciary duty owed by any director, officer or other employee of Korsana to Korsana or Korsana’s stockholders, (iii) any action asserting a claim against Korsana, its directors, officers or employees arising pursuant to any provision of the DGCL, the Korsana Charter or the Korsana Bylaws or (iv) any action asserting a claim against Korsana, its directors, officers or employees governed by the internal affairs doctrine or that otherwise relates to the internal affairs of Korsana,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Korsana’s stockholders in pursuing any such claims, particularly if the stockholders do not reside in or near the State of Delaware or were permitted to select another jurisdiction. Additionally, these provisions may limit Korsana’s stockholders’ ability to bring a claim in a judicial forum that they find favorable for disputes with Korsana or its directors, officers or other employees, which may discourage such lawsuits against Korsana and its directors, officers and other employees even though an action, if successful, might benefit its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Registration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Cyclerion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Cyclerion will enter into the Registration Rights Agreement with the investors participating in the Korsana Pre-Closing Financing, pursuant to which, among other things, the Combined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Korsana IRA, certain holders of Korsana capital stock that are party to the Korsana IRA, have certain registration rights, including the right to demand that Korsana file a registration statement, so called “demand” registration rights, or request that their shares be covered by a registration statement that Korsana is otherwise filing, so-called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Company will agree to prepare and file a resale registration statement covering the resale of certain shares of Cyclerion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t>
            </w:r>
            <w:r>
              <w:rPr/>
              <w:t>piggyback” registration rights. The registration rights granted under the Korsana IRA will terminate upon the earlier of: (i) the closing of a Deemed Liquidation Event (as such term is defined in the Korsana Charter), (ii) such time after Korsana’s initial public offering when all registrable securities could be sold under Rule 144 of the Securities Act or a similar exemption without limitation during a three-month period without registration or (iii) the third anniversary of Korsana’s initial public offering.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Share Transfer Restrictions Applicable to Shareholders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Shares of Cyclerion Common Stock are transferable in the manner prescribed by the MBCA.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Transfers of shares of Korsana capital stock are subject to restrictions set forth in the Korsana Bylaws, Korsana ROFR Agreement and Korsana IRA.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x111069_38"/>
      <w:bookmarkEnd w:id="40"/>
      <w:r>
        <w:rPr>
          <w:rFonts w:ascii="Times New Roman" w:hAnsi="Times New Roman"/>
          <w:b/>
          <w:sz w:val="20"/>
        </w:rPr>
        <w:t xml:space="preserve">PRINCIPAL SHAREHOLDERS OF CYCLERION </w:t>
      </w:r>
    </w:p>
    <w:p>
      <w:pPr>
        <w:pStyle w:val="TextBody"/>
        <w:bidi w:val="0"/>
        <w:spacing w:before="240" w:after="0"/>
        <w:jc w:val="left"/>
        <w:rPr>
          <w:rFonts w:ascii="Times New Roman" w:hAnsi="Times New Roman"/>
          <w:sz w:val="20"/>
        </w:rPr>
      </w:pPr>
      <w:r>
        <w:rPr>
          <w:rFonts w:ascii="Times New Roman" w:hAnsi="Times New Roman"/>
          <w:sz w:val="20"/>
        </w:rPr>
        <w:t>As of June 30, 2026, Cyclerion had 4,330,314 shares of Cyclerion Common Stock issued and outstanding. The table below shows certain information about the beneficial ownership of Cyclerion Common Stock, as of June 30, 2026, by:</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Cyclerion’s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rules, Cyclerion has included in the column “Number of Shares Beneficially Owned” all shares of Cyclerion Common Stock over which the person has sole or shared voting or investment power as of June 30, 2026, and all shares of Cyclerion Common Stock that the person has the right to acquire within 60 days after June 30, 2026 through the exercise of any stock options. All shares that a person has a right to acquire within 60 days of June 30, 2026 are deemed outstanding for the purpose of computing the percentage beneficially owned by the person, but are not deemed outstanding for the purpose of computing the percentage beneficially owned by any other person. Unless otherwise indicated, each person has the sole power (or shares the power with a spouse) to invest and vote the shares of Cyclerion Common Stock listed opposite the person’s name. Where applicable, ownership is subject to community property laws. Our inclusion of shares in this table as beneficially owned is not an admission of beneficial ownership of those shares by the person listed in the table.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beneficial ownership in the table below is based on 4,330,314 shares of Common Stock outstanding plus 351,037 shares of Common Stock that may be issued upon conversion of shares of our preferred stock purchased by Dr. Hecht in May 2023, each as of June 30, 2026. The address of all named executive officers and directors is 245 First Street, 18th Floor, Cambridge, MA 02142.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98"/>
        <w:gridCol w:w="466"/>
        <w:gridCol w:w="60"/>
        <w:gridCol w:w="1068"/>
        <w:gridCol w:w="60"/>
        <w:gridCol w:w="466"/>
        <w:gridCol w:w="142"/>
        <w:gridCol w:w="1172"/>
        <w:gridCol w:w="323"/>
      </w:tblGrid>
      <w:tr>
        <w:trPr/>
        <w:tc>
          <w:tcPr>
            <w:tcW w:w="3998"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998" w:type="dxa"/>
            <w:tcBorders/>
            <w:vAlign w:val="bottom"/>
          </w:tcPr>
          <w:p>
            <w:pPr>
              <w:pStyle w:val="TableContents"/>
              <w:bidi w:val="0"/>
              <w:spacing w:before="0" w:after="283"/>
              <w:jc w:val="left"/>
              <w:rPr>
                <w:b/>
              </w:rPr>
            </w:pPr>
            <w:r>
              <w:rPr>
                <w:b/>
              </w:rPr>
              <w:t>Name of Beneficial Owner</w:t>
            </w:r>
          </w:p>
        </w:tc>
        <w:tc>
          <w:tcPr>
            <w:tcW w:w="466"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br/>
              <w:t>Shares of</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b/>
              </w:rPr>
            </w:pPr>
            <w:r>
              <w:rPr>
                <w:b/>
              </w:rPr>
              <w:t>Percentage</w:t>
              <w:br/>
              <w:t>of Shares</w:t>
              <w:br/>
              <w:t>Beneficially</w:t>
              <w:br/>
              <w:t>Owned</w:t>
            </w:r>
          </w:p>
        </w:tc>
        <w:tc>
          <w:tcPr>
            <w:tcW w:w="323" w:type="dxa"/>
            <w:tcBorders/>
            <w:vAlign w:val="bottom"/>
          </w:tcPr>
          <w:p>
            <w:pPr>
              <w:pStyle w:val="TableContents"/>
              <w:bidi w:val="0"/>
              <w:spacing w:before="0" w:after="283"/>
              <w:jc w:val="left"/>
              <w:rPr/>
            </w:pPr>
            <w:r>
              <w:rPr/>
              <w:t> </w:t>
            </w:r>
          </w:p>
        </w:tc>
      </w:tr>
      <w:tr>
        <w:trPr/>
        <w:tc>
          <w:tcPr>
            <w:tcW w:w="3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r>
      <w:tr>
        <w:trPr/>
        <w:tc>
          <w:tcPr>
            <w:tcW w:w="3998" w:type="dxa"/>
            <w:tcBorders/>
          </w:tcPr>
          <w:p>
            <w:pPr>
              <w:pStyle w:val="TableContents"/>
              <w:bidi w:val="0"/>
              <w:spacing w:before="0" w:after="0"/>
              <w:jc w:val="left"/>
              <w:rPr>
                <w:rFonts w:ascii="Times New Roman" w:hAnsi="Times New Roman"/>
                <w:sz w:val="20"/>
              </w:rPr>
            </w:pPr>
            <w:r>
              <w:rPr>
                <w:rFonts w:ascii="Times New Roman" w:hAnsi="Times New Roman"/>
                <w:sz w:val="20"/>
              </w:rPr>
              <w:t>Errol B. De Souza, Ph.D.(1)</w:t>
            </w:r>
          </w:p>
        </w:tc>
        <w:tc>
          <w:tcPr>
            <w:tcW w:w="4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52,500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1.1</w:t>
            </w:r>
          </w:p>
        </w:tc>
        <w:tc>
          <w:tcPr>
            <w:tcW w:w="323" w:type="dxa"/>
            <w:tcBorders/>
            <w:vAlign w:val="bottom"/>
          </w:tcPr>
          <w:p>
            <w:pPr>
              <w:pStyle w:val="TableContents"/>
              <w:bidi w:val="0"/>
              <w:spacing w:before="0" w:after="283"/>
              <w:jc w:val="left"/>
              <w:rPr/>
            </w:pPr>
            <w:r>
              <w:rPr/>
              <w:t>% </w:t>
            </w:r>
          </w:p>
        </w:tc>
      </w:tr>
      <w:tr>
        <w:trPr/>
        <w:tc>
          <w:tcPr>
            <w:tcW w:w="3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M. Hecht, Ph.D.(2)</w:t>
            </w:r>
          </w:p>
        </w:tc>
        <w:tc>
          <w:tcPr>
            <w:tcW w:w="4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1,021,224</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21.3</w:t>
            </w:r>
          </w:p>
        </w:tc>
        <w:tc>
          <w:tcPr>
            <w:tcW w:w="323" w:type="dxa"/>
            <w:tcBorders/>
            <w:shd w:fill="CCEEFF" w:val="clear"/>
            <w:vAlign w:val="bottom"/>
          </w:tcPr>
          <w:p>
            <w:pPr>
              <w:pStyle w:val="TableContents"/>
              <w:bidi w:val="0"/>
              <w:spacing w:before="0" w:after="283"/>
              <w:jc w:val="left"/>
              <w:rPr/>
            </w:pPr>
            <w:r>
              <w:rPr/>
              <w:t>% </w:t>
            </w:r>
          </w:p>
        </w:tc>
      </w:tr>
      <w:tr>
        <w:trPr/>
        <w:tc>
          <w:tcPr>
            <w:tcW w:w="3998" w:type="dxa"/>
            <w:tcBorders/>
          </w:tcPr>
          <w:p>
            <w:pPr>
              <w:pStyle w:val="TableContents"/>
              <w:bidi w:val="0"/>
              <w:spacing w:before="0" w:after="0"/>
              <w:jc w:val="left"/>
              <w:rPr>
                <w:rFonts w:ascii="Times New Roman" w:hAnsi="Times New Roman"/>
                <w:sz w:val="20"/>
              </w:rPr>
            </w:pPr>
            <w:r>
              <w:rPr>
                <w:rFonts w:ascii="Times New Roman" w:hAnsi="Times New Roman"/>
                <w:sz w:val="20"/>
              </w:rPr>
              <w:t>Michael F. Higgins(3)</w:t>
            </w:r>
          </w:p>
        </w:tc>
        <w:tc>
          <w:tcPr>
            <w:tcW w:w="4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30,740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w:t>
            </w:r>
          </w:p>
        </w:tc>
        <w:tc>
          <w:tcPr>
            <w:tcW w:w="323" w:type="dxa"/>
            <w:tcBorders/>
            <w:vAlign w:val="bottom"/>
          </w:tcPr>
          <w:p>
            <w:pPr>
              <w:pStyle w:val="TableContents"/>
              <w:bidi w:val="0"/>
              <w:spacing w:before="0" w:after="283"/>
              <w:jc w:val="left"/>
              <w:rPr/>
            </w:pPr>
            <w:r>
              <w:rPr/>
              <w:t> </w:t>
            </w:r>
          </w:p>
        </w:tc>
      </w:tr>
      <w:tr>
        <w:trPr/>
        <w:tc>
          <w:tcPr>
            <w:tcW w:w="3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E. Hyman, M.D.(4)</w:t>
            </w:r>
          </w:p>
        </w:tc>
        <w:tc>
          <w:tcPr>
            <w:tcW w:w="4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23,887</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w:t>
            </w:r>
          </w:p>
        </w:tc>
        <w:tc>
          <w:tcPr>
            <w:tcW w:w="323" w:type="dxa"/>
            <w:tcBorders/>
            <w:shd w:fill="CCEEFF" w:val="clear"/>
            <w:vAlign w:val="bottom"/>
          </w:tcPr>
          <w:p>
            <w:pPr>
              <w:pStyle w:val="TableContents"/>
              <w:bidi w:val="0"/>
              <w:spacing w:before="0" w:after="283"/>
              <w:jc w:val="left"/>
              <w:rPr/>
            </w:pPr>
            <w:r>
              <w:rPr/>
              <w:t> </w:t>
            </w:r>
          </w:p>
        </w:tc>
      </w:tr>
      <w:tr>
        <w:trPr/>
        <w:tc>
          <w:tcPr>
            <w:tcW w:w="3998" w:type="dxa"/>
            <w:tcBorders/>
          </w:tcPr>
          <w:p>
            <w:pPr>
              <w:pStyle w:val="TableContents"/>
              <w:bidi w:val="0"/>
              <w:spacing w:before="0" w:after="0"/>
              <w:jc w:val="left"/>
              <w:rPr>
                <w:rFonts w:ascii="Times New Roman" w:hAnsi="Times New Roman"/>
                <w:sz w:val="20"/>
              </w:rPr>
            </w:pPr>
            <w:r>
              <w:rPr>
                <w:rFonts w:ascii="Times New Roman" w:hAnsi="Times New Roman"/>
                <w:sz w:val="20"/>
              </w:rPr>
              <w:t>Dina Katabi, Ph.D.(5)</w:t>
            </w:r>
          </w:p>
        </w:tc>
        <w:tc>
          <w:tcPr>
            <w:tcW w:w="4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w:t>
            </w:r>
          </w:p>
        </w:tc>
        <w:tc>
          <w:tcPr>
            <w:tcW w:w="323" w:type="dxa"/>
            <w:tcBorders/>
            <w:vAlign w:val="bottom"/>
          </w:tcPr>
          <w:p>
            <w:pPr>
              <w:pStyle w:val="TableContents"/>
              <w:bidi w:val="0"/>
              <w:spacing w:before="0" w:after="283"/>
              <w:jc w:val="left"/>
              <w:rPr/>
            </w:pPr>
            <w:r>
              <w:rPr/>
              <w:t> </w:t>
            </w:r>
          </w:p>
        </w:tc>
      </w:tr>
      <w:tr>
        <w:trPr/>
        <w:tc>
          <w:tcPr>
            <w:tcW w:w="3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Regina M. Graul, Ph.D.(6)</w:t>
            </w:r>
          </w:p>
        </w:tc>
        <w:tc>
          <w:tcPr>
            <w:tcW w:w="4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127,912</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2.7</w:t>
            </w:r>
          </w:p>
        </w:tc>
        <w:tc>
          <w:tcPr>
            <w:tcW w:w="323" w:type="dxa"/>
            <w:tcBorders/>
            <w:shd w:fill="CCEEFF" w:val="clear"/>
            <w:vAlign w:val="bottom"/>
          </w:tcPr>
          <w:p>
            <w:pPr>
              <w:pStyle w:val="TableContents"/>
              <w:bidi w:val="0"/>
              <w:spacing w:before="0" w:after="283"/>
              <w:jc w:val="left"/>
              <w:rPr/>
            </w:pPr>
            <w:r>
              <w:rPr/>
              <w:t>% </w:t>
            </w:r>
          </w:p>
        </w:tc>
      </w:tr>
      <w:tr>
        <w:trPr/>
        <w:tc>
          <w:tcPr>
            <w:tcW w:w="3998" w:type="dxa"/>
            <w:tcBorders/>
          </w:tcPr>
          <w:p>
            <w:pPr>
              <w:pStyle w:val="TableContents"/>
              <w:bidi w:val="0"/>
              <w:spacing w:before="0" w:after="0"/>
              <w:jc w:val="left"/>
              <w:rPr>
                <w:rFonts w:ascii="Times New Roman" w:hAnsi="Times New Roman"/>
                <w:sz w:val="20"/>
              </w:rPr>
            </w:pPr>
            <w:r>
              <w:rPr>
                <w:rFonts w:ascii="Times New Roman" w:hAnsi="Times New Roman"/>
                <w:sz w:val="20"/>
              </w:rPr>
              <w:t>Rhonda M. Chicko(7)</w:t>
            </w:r>
          </w:p>
        </w:tc>
        <w:tc>
          <w:tcPr>
            <w:tcW w:w="4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15,056</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w:t>
            </w:r>
          </w:p>
        </w:tc>
        <w:tc>
          <w:tcPr>
            <w:tcW w:w="323" w:type="dxa"/>
            <w:tcBorders/>
            <w:vAlign w:val="bottom"/>
          </w:tcPr>
          <w:p>
            <w:pPr>
              <w:pStyle w:val="TableContents"/>
              <w:bidi w:val="0"/>
              <w:spacing w:before="0" w:after="283"/>
              <w:jc w:val="left"/>
              <w:rPr/>
            </w:pPr>
            <w:r>
              <w:rPr/>
              <w:t> </w:t>
            </w:r>
          </w:p>
        </w:tc>
      </w:tr>
      <w:tr>
        <w:trPr/>
        <w:tc>
          <w:tcPr>
            <w:tcW w:w="3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(7 persons)</w:t>
            </w:r>
          </w:p>
        </w:tc>
        <w:tc>
          <w:tcPr>
            <w:tcW w:w="4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b/>
              </w:rPr>
            </w:pPr>
            <w:r>
              <w:rPr>
                <w:b/>
              </w:rPr>
              <w:t>1,291,319</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b/>
              </w:rPr>
            </w:pPr>
            <w:r>
              <w:rPr>
                <w:b/>
              </w:rPr>
              <w:t>27.6</w:t>
            </w:r>
          </w:p>
        </w:tc>
        <w:tc>
          <w:tcPr>
            <w:tcW w:w="323"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w:t>
            </w:r>
          </w:p>
        </w:tc>
      </w:tr>
    </w:tbl>
    <w:p>
      <w:pPr>
        <w:pStyle w:val="TextBody"/>
        <w:bidi w:val="0"/>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shareholders known by us to be beneficial owners of more than 5% of our Common Stock, information obtained from Schedules 13G or 13D filed with the SEC and based on information publicly available reporting beneficial ownership of our Common Stock. Unless otherwise noted below, no shareholder has had any position, office or other material relationship with us or any of our predecessors or affiliates within the past three years.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20,000 shares of Common Stock issued on November 30, 2023 as restricted Common Stock for services as a member of the Company’s Board of Directors, of which 15,010 of these shares are vested through June 30, 2026 and the remaining 4,990 shares vest ratably on a monthly basis through June 1, 2027, provided that Dr. De Souza remains as a director of the Company on each such applicable vesting date, subject to certain exemptions, (ii) 30,000 shares of Common Stock issued on November 30, 2023 as restricted Common Stock for services as Chairman of the Board of Directors, of which 22,500 of these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are vested through June 30, 2026 and the remaining 7,500 shares vest ratably on a monthly basis through June 1, 2027, provided that Dr. De Souza remains as Chairman of the Board of Directors of the Company on each such applicable vesting date subject to certain exemptions, and (iii) an additional 2,500 shares of Common Stock that underlie stock options that are currently exercisable or will be exercisable within the next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559,203 shares of Common Stock held directly by Dr. Hecht, (ii) an additional 110,984 shares of Common Stock that underlie stock options that are currently exercisable or will be exercisable within 60 days, and (iii) 351,037 shares of Common Stock that may be issued upon conversion of shares of our preferred stock purchased by Dr. Hecht in May 2023. These shares of preferred stock have no voting rights but may be converted into our Common Stock by the holder at any time. The shares of Common Stock held directly by Dr. Hecht include (i) 20,000 shares of Common Stock issued on November 30, 2023 as restricted Common Stock for services as a member of our Board, of which 15,010 shares are vested as of June 30, 2026 and the remaining 4,990 shares vest ratably on a monthly basis through June 1, 2027, provided that Dr. Hecht remains as a director of the Company on each such applicable vesting date, subject to certain exemptions, (ii) 15,000 shares of Common Stock issued on December 1, 2023 as restricted Common Stock, of which 9,703 shares are vested as of June 30, 2026 and the remaining 5,297 shares vest ratably on a monthly basis through November 1, 2027, provided that Dr. Hecht remains as a consultant to or a director of the Company on each such applicable vesting date, subject to certain exemptions, and (iii) 15,000 shares of Common Stock issued on January 2, 2024 as restricted Common Stock, of which 9,570 shares are vested as of June 30, 2026 and the remaining 5,430 shares vest ratably through November 1, 2027, provided that Dr. Hecht remains as a consultant to or a director of the Company on each such applicable vesting date, subject to certain exemptions. On July 16, 2026 Dr. Hecht forfeited options to purchase 110,984 shares of Common Stock and converted 351,037 shares of preferred stock into 351,037 shares of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10,740 shares of Common Stock held directly by Mr. Higgins, and (ii) 20,000 shares of Common Stock issued on November 30, 2023 as restricted Common Stock for services as a member of the Company’s Board of Directors, of which 15,010 of these shares are vested as of June 30, 2026 and the remaining 4,990 shares vest ratably on a monthly basis through June 1, 2027, provided that Mr. Higgins remains as a director of the Company on each such applicable vesting date, subject to certain exemptions.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3,887 shares of Common Stock that underlie stock options that are currently exercisable or will be exercisable within 60 days (ii)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Hyman remains as a director of the Company on each such applicable vesting date, subject to certain exemptions.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Katabi remains as a director of the Company on each such applicable vesting date, subject to certain exemptions.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50,000 shares of Common Stock issued to Dr. Graul as restricted Common Stock on December 1, 2023, of which 34,900 of the shares vested as of June 30, 2026 and the remaining 15,010 shares vesting ratably through December 1, 2027, provided that Dr. Graul remains as an employee of the Company on each such applicable vesting date, subject to certain exemptions, (ii) 50,000 shares of Common Stock issued to Dr. Graul as restricted Common Stock on January 1, 2024, with 34,157 of the shares vested as of June 30, 2026 and the remaining 15,843 shares vesting ratably through January 1, 2028, subject to certain exemptions; and (iii) an option to acquire 55,849 shares of Common Stock with 27,912 shares exercisable or which will become exercisable within 60 days with the remainder vesting monthly through July 2028.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18 shares owned directly by Ms. Chicko and (ii) an option to acquire 25,000 shares of Common Stock with 15,038 shares exercisable or which will become exercisable within 60 days with the remainder vesting monthly through February 2028.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x111069_39"/>
      <w:bookmarkEnd w:id="41"/>
      <w:r>
        <w:rPr>
          <w:rFonts w:ascii="Times New Roman" w:hAnsi="Times New Roman"/>
          <w:b/>
          <w:sz w:val="20"/>
        </w:rPr>
        <w:t xml:space="preserve">PRINCIPAL STOCKHOLDERS OF KORSANA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known to Korsana regarding beneficial ownership of Korsana capital stock on an as-converted to Korsana Common Stock basis as of June 30,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Korsana to be the beneficial owner of more than 5% of Korsana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Korsana’s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Korsana named executive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Korsana’s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Korsana’s securities. Under such rules, beneficial ownership includes any shares over which the individual has sole or shared voting power or investment power as well as any shares that the individual has the right to acquire within 60 days of the date of this table. Shares of Korsana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Korsana’s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Korsana Pre-Closing Financing in the table below is based on 101,500,000 shares of Korsana Common Stock deemed to be outstanding as of the date of this table, assuming the conversion of all outstanding shares of Korsana Preferred Stock into shares of Korsana Common Stock. The following table does not reflect any shares of Korsana Common Stock or Korsana Pre-Funded Warrants that such holders have agreed to purchase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01"/>
        <w:gridCol w:w="240"/>
        <w:gridCol w:w="61"/>
        <w:gridCol w:w="1161"/>
        <w:gridCol w:w="60"/>
        <w:gridCol w:w="240"/>
        <w:gridCol w:w="153"/>
        <w:gridCol w:w="1159"/>
        <w:gridCol w:w="280"/>
      </w:tblGrid>
      <w:tr>
        <w:trPr/>
        <w:tc>
          <w:tcPr>
            <w:tcW w:w="440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240"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Fairmount Healthcare Fund II, L.P.(1)</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22.2</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21,700,000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21.4</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9.9</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Capital(4)</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9.9</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Management(5)</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Sanofi Ventures(6)</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7.4</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7.4</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22.2</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60,763</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2,474,146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21,700,000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21.4</w:t>
            </w:r>
          </w:p>
        </w:tc>
        <w:tc>
          <w:tcPr>
            <w:tcW w:w="280"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46,734,909</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45.4</w:t>
            </w:r>
          </w:p>
        </w:tc>
        <w:tc>
          <w:tcPr>
            <w:tcW w:w="28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held directly by Fairmount Healthcare Fund II, L.P. (“Fairmount Fund II”). Fairmount Funds Management LLC (“Fairmount”) serves as investment manager for Fairmount Fund II. Fairmount Fund II has delegated to Fairmount the sole power to vote and the sole power to dispose of all securities held in Fairmount Fund II’s portfolio. Because Fairmount Fund II has divested itself of voting and investment power over the securities it holds and may not revoke that delegation on less than 61 days’ notice, Fairmount Fund II disclaims beneficial ownership of the securities it holds. As managers of Fairmount, Peter Harwin and Tomas Kiselak may be deemed to have voting and investment power over the shares held by Fairmount Fund II. 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4,166,166 shares of Korsana Common Stock issuable upon conversion of Korsana Series A Preferred Stock held by Venrock Healthcare Capital Partners EG, L.P. (“VHCP EG”), (ii) 8,333,334 shares of Korsana Common Stock issuable upon conversion of Korsana Series A Preferred Stock held by Venrock Healthcare Capital Partners XP, L.P. (“VHCP XP”) (iii) 627,840 shares of Korsana Common Stock issuable upon conversion of Korsana Series Seed Preferred Stock held by Venrock Healthcare Capital Partners III, L.P. (“VHCP III”), (iv) 62,720 shares of Korsana Common Stock issuable upon conversion of Korsana Series Seed Preferred Stock held by VHCP Co-Investment Holdings III, LLC (“VCHP Co-III”), (v) 4,000,000 shares of Korsana Common Stock issuable upon conversion of Korsana Series Seed Preferred Stock held by VHCP XP, and (vi) 4,509,440 shares of Korsana Common Stock issuable upon conversion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Korsana Series Seed Preferred Stock held by VCHP EG.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Dr. Koh, Mr. Shah, VHCPM III, VHCPM EG and VHCPM XP disclaim beneficial ownership over all shares held by VHCP III, VHCP Co-III, VHCP EG and VHCP XP, except to the extent of their respective indirect pecuniary interests therein. The principal business address of each of the foregoing persons is 7 Bryant Park, 23rd Floor, New York, New York 10018.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10,000,000 shares of Korsana Common Stock issuable upon conversion of Korsana Series A Preferred Stock held by TCG Crossover Fund II, L.P. (“TCGX”).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8,530,000 shares of Korsana Common Stock issuable upon conversion of Korsana Series A Preferred Stock held by 270 Life Sciences Private Capital Master Fund I SCA-RAIF, (ii) 1,240,000 shares of Korsana Common Stock issuable upon conversion of Korsana Series A Preferred Stock held by 270 Life Sciences Private Capital Employee Fund I LP and (iii) 230,000 shares of Korsana Common Stock issuable upon conversion of Korsana Series A Preferred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7,500,000 shares of Korsana Common Stock issuable upon conversion of Korsana Series A Preferred Stock held by Wellington Biomedical Innovation Master Investors (Cayman) II L.P. (“Wellington Biomedical Fund”) and (ii) 500,000 shares of Korsana Common Stock issuable upon conversion of Korsana Series A Preferred Stock held by Wellington Private Investments Opportunities SPV 2, LLC (“WPIO”). Wellington Management Company LLP, a registered investment adviser under the Investment Advisers Act of 1940, as amended (“WMC”), is the investment advisor to Wellington Biomedical Fund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and WPIO. Additional information about WMC is available in its Form ADV filed with the SEC. The address of all entities referenced in this footnote is 280 Congress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Sanofi Ventures LLC. The corporate address for Sanofi Ventures LLC is 100 Morris Street, Morristown, New Jersey 07960.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57,870 shares of common stock and (b) options to acquire 2,893 shares of common stock that will vest within 60 days of the date of this table.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(a)1,000,000 shares of restricted common stock, (b) vested options to acquire 1,368,850 shares of common stock and (c) options to acquire 105,296 shares of common stock that will vest within 60 days of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x111069_40"/>
      <w:bookmarkEnd w:id="42"/>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3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June 30,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Cyclerion and Korsana to be the beneficial owner of more than 5%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June 30, 2026. Shares of the Combined Company’s common stock that an individual or entity has the right to acquire within 60 days of June 30, 2026 are deemed to be outstanding and beneficially owned by the individual or entity for the purpose of computing the percentage ownership of that individual, but they are not treated as outstanding for the purpose of computing the percentage ownership of any other person. To Cyclerion’s and Korsana’s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323,574,795 shares of common stock expected to be outstanding upon consummation of the Merger, after giving effect to the Korsana Pre-Closing Financing and prior to giving effect to the anticipated Cyclerion reverse stock split and includes 1,074,427 shares of unvested restricted common stock. The number of shares beneficially owned includes shares of common stock that each person has the right to acquire within 60 days, including upon the exercise of stock options and warrants. These stock options and warrants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There can be no assurances any of these assumptions will be accurate at closing when the final Exchange Ratio is determined. The table below assumes that, based on Cyclerion’s and Korsana’s capitalization as of June 30, 2026, the Exchange Ratio is estimated to be equal to approximately 1.4735 shares of Cyclerion Common Stock for each share of Korsana Common Stock, prior to giving effect to the anticipated Cyclerion reverse stock split. The estimated Exchange Ratio was derived on a fully-diluted basis, using a stipulated value of Korsana of $268.4 million and of Cyclerion of $10 million, assuming Net Cash of $0 as of Closing. The final Exchange Ratio is subject to adjustment prior to the closing of the Merger based upon Cyclerion’s Net Cash at Closing and the aggregate proceeds from the sale of Korsana Common Stock and Korsana Pre-Funded Warrants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218"/>
        <w:gridCol w:w="60"/>
        <w:gridCol w:w="1273"/>
        <w:gridCol w:w="60"/>
        <w:gridCol w:w="218"/>
        <w:gridCol w:w="123"/>
        <w:gridCol w:w="1199"/>
        <w:gridCol w:w="278"/>
      </w:tblGrid>
      <w:tr>
        <w:trPr/>
        <w:tc>
          <w:tcPr>
            <w:tcW w:w="432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3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218"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Fairmount(1)</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64,682,599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19.99</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32,325,118</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9.99</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32,325,119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9.99</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Management(4)</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21,179,655</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6.55</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FMR LLC(5)</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19,432,861</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6.01</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Capital(6)</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19,117,772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5.91</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16,686,244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5.16</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64,682,599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19.99</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89,535</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3,645,655</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1.12</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32,325,118</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9.99</w:t>
            </w:r>
          </w:p>
        </w:tc>
        <w:tc>
          <w:tcPr>
            <w:tcW w:w="278"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100,742,907</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30.92</w:t>
            </w:r>
          </w:p>
        </w:tc>
        <w:tc>
          <w:tcPr>
            <w:tcW w:w="27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49,029,838 shares of the Combined Company’s common stock held directly by Fairmount Healthcare Fund II, L.P. (“Fairmount Fund II”) and (ii) 15,652,761 shares of the Combined Company’s common stock held directly by Fairmount Healthcare Co-Invest VI L.P. (“Co-Invest”). Excludes (i) 694,433 shares of the Combined Company’s common stock issuable upon the exercise of pre-funded warrants held by Fairmount Fund II and (ii) 14,735,000 shares of the Combined Company’s common stock issuable upon the conversion of 14,735 shares of the Combined Company’s Series B Preferred Stock held by Fairmount Fund II. The pre-funded warrants are subject to a beneficial ownership limitation of 19.99% and the shares of the Combined Company’s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the Combined Company’s common stock in excess of the applicable ownership limitation. At such time as Fairmount and its affiliates beneficially own 9.0% or less of the shares of common stock, the beneficial ownership limitation applicable to the shares of the Combined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32,325,118 shares of the Combined Company’s common stock held by Venrock Healthcare Capital Partners EG, L.P. (“VHCP EG”) and Venrock Healthcare Capital Partners XP, L.P. (“VHCP XP”). Excludes an aggregate of 23,660,256 shares of the Combined Company’s common stock issuable upon the exercise of pre-funded warrants held by VHCP EG and VHCP XP. Excludes an aggregate of 13,556,000 shares of the Combined Company’s common stock issuable upon the conversion of 13,556 shares of the Combined Company’s Series B Preferred Stock held by VHCPEG, VHCPXP, Venrock Healthcare Capital Partners III, L.P. (“VHCP III”) and VHCP Co-Investment Holdings III, LLC (“VCHP Co-III).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The principal business address of each of the foregoing persons is 7 Bryant Park, 23rd Floor, New York, New York 10018.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32,325,119 shares of the Combined Company’s common stock held by TCG Crossover Fund II, L.P. (“TCGX”). Excludes 1,193,192 shares of the Combined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Combined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19,762,587 shares of the Combined Company’s common stock held by Wellington Biomedical Innovation Master Investors (Cayman) II L.P. (“Wellington Biomedical Fund”), (ii) 356,398 shares of the Combined Company’s common stock held by Wellington Biotechnology Long/Short Fund, L.P. (“Wellington LS”), (iii) 323,920 shares of the Combined Company’s common stock held by Wellington Biotechnology Long/Short Fund (Bermuda) L.P. (“Wellington LS Bermuda”), and (iv) 736,750 shares of the Combined Company’s common stock held by Wellington Private Investments Opportunities SPV 2, LLC (“WPIO”). Wellington Management Company LLP, a registered investment adviser under the Investment Advisers Act of 1940, as amended (“WMC”), is the investment advisor to Wellington Biomedical Fund, Wellington LS, Wellington LS Bermuda,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Wellington LS, Wellington LS Bermuda, and WPIO. Additional information about WMC is available in its Form ADV filed with the SEC. The address of all entities referenced in this footnote is 280 Congress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power over the shares reported herein; neither has sole voting power over such shares. The address of FMR LLC is 245 Summer Street, Boston, Massachusetts 02110.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19,117,772 shares of the Combined Company’s common stock held by 270 Life Sciences Private Capital Master Fund I SCA-RAIF, 270 Life Sciences Private Capital Employee Fund I LP and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16,686,244 shares of the Combined Company’s common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85,272 shares of common stock and (b) options to acquire 4,263 shares of common stock that will vest within 60 days of the date of this table.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1,473,500 shares of restricted common stock, (b) vested options to acquire 2,017,001 shares of common stock and (c) options to acquire 155,154 shares of common stock that will vest within 60 days of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tx111069_41"/>
      <w:bookmarkEnd w:id="4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will pass upon the validity of the securities offered by this proxy statement/prospectus. </w:t>
      </w:r>
    </w:p>
    <w:p>
      <w:pPr>
        <w:pStyle w:val="TextBody"/>
        <w:bidi w:val="0"/>
        <w:spacing w:before="480" w:after="0"/>
        <w:jc w:val="center"/>
        <w:rPr>
          <w:rFonts w:ascii="Times New Roman" w:hAnsi="Times New Roman"/>
          <w:b/>
          <w:sz w:val="20"/>
        </w:rPr>
      </w:pPr>
      <w:bookmarkStart w:id="44" w:name="tx111069_42"/>
      <w:bookmarkEnd w:id="4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Cyclerion Therapeutics, Inc. at December 31, 2025 and 2024, and for each of the two years in the period ended December 31, 2025, included in the Proxy Statement of Cyclerion Therapeutics, Inc., which is referred to and made a part of this Prospectus and Registration Statement, have been audited by Ernst &amp; Young LLP, independent registered public accounting firm, as set forth in their report thereon (which contains an explanatory paragraph describing conditions that raise substantial doubt about Cyclerion Therapeutics, Inc.’s ability to continue as a going concern as described in Note 1 to the consolidated financial statements)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Korsana Biosciences, Inc. at December 31, 2025 and 2024, and for the year ended December 31, 2025 and the period from November 8, 2024 (inception) to December 31, 2024, included in the Proxy Statement of Cyclerion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x111069_43"/>
      <w:bookmarkEnd w:id="4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Cyclerion is subject to the informational requirements of the Exchange Act and in accordance therewith, files annual, quarterly and current reports, proxy statements, and other information with the SEC electronically, and the SEC maintains a website that contains Cyclerion’s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makes available free of charge on or through its website at </w:t>
      </w:r>
      <w:r>
        <w:rPr>
          <w:rFonts w:ascii="Times New Roman" w:hAnsi="Times New Roman"/>
          <w:i/>
          <w:sz w:val="20"/>
        </w:rPr>
        <w:t>www.cyclerion.com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Cyclerion electronically files such material with or otherwise furnishes it to the SEC. The website addresses for the SEC and Cyclerion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filed with the SEC a registration statement on Form S-4, of which this proxy statement/prospectus is a part, under the Securities Act to register the shares of Cyclerion Common Stock (including the shares of Cyclerion Common Stock issuable upon conversion of Cyclerion Series B Preferred Stock) to be issued to Korsana stockholders in the Merger. The registration statement, including the attached annexes, exhibits and schedules, contains additional relevant information about Cyclerion and Cyclerion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 has supplied all information contained in this proxy statement/prospectus relating to Cyclerion and Korsana has supplied all information contained in this proxy statement/prospectus relating to Korsana.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Cyclerion or Korsana, please send a request in writing or by telephone to either Cyclerion or Korsana at the following addresses: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pPr>
            <w:r>
              <w:rPr/>
              <w:t>Cyclerion Therapeutics, Inc.</w:t>
              <w:br/>
              <w:t>245 First Street, 18th Floor</w:t>
              <w:br/>
              <w:t>Cambridge, MA 02142</w:t>
              <w:br/>
              <w:t>Attn: Secretary</w:t>
              <w:br/>
              <w:t>Tel: (857) 327-8778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Korsana Biosciences, Inc.</w:t>
              <w:br/>
              <w:t>203 Crescent Street, Bldgs. #3/3A/4, Suite 503</w:t>
            </w:r>
          </w:p>
          <w:p>
            <w:pPr>
              <w:pStyle w:val="TableContents"/>
              <w:bidi w:val="0"/>
              <w:spacing w:before="0" w:after="0"/>
              <w:jc w:val="center"/>
              <w:rPr>
                <w:rFonts w:ascii="Times New Roman" w:hAnsi="Times New Roman"/>
                <w:sz w:val="20"/>
              </w:rPr>
            </w:pPr>
            <w:r>
              <w:rPr>
                <w:rFonts w:ascii="Times New Roman" w:hAnsi="Times New Roman"/>
                <w:sz w:val="20"/>
              </w:rPr>
              <w:t>Waltham, MA 02453</w:t>
              <w:br/>
              <w:t>Attn: Secretary</w:t>
            </w:r>
          </w:p>
          <w:p>
            <w:pPr>
              <w:pStyle w:val="TableContents"/>
              <w:bidi w:val="0"/>
              <w:spacing w:before="0" w:after="20"/>
              <w:jc w:val="center"/>
              <w:rPr>
                <w:rFonts w:ascii="Times New Roman" w:hAnsi="Times New Roman"/>
                <w:sz w:val="20"/>
              </w:rPr>
            </w:pPr>
            <w:r>
              <w:rPr>
                <w:rFonts w:ascii="Times New Roman" w:hAnsi="Times New Roman"/>
                <w:sz w:val="20"/>
              </w:rPr>
              <w:t>Tel: (781) 516-2325</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Cyclerion has filed its Annual Report on Form 10-K for the year ended December 31, 2025 with the SEC. It is available free of charge at the SEC’s web site at www.sec.gov. Upon written request by a Cyclerion shareholder, Cyclerion will mail without charge a copy of its Annual Report on Form 10-K, including the financial statements, but excluding exhibits to the Annual Report on Form 10-K. Exhibits to the Annual Report on Form 10-K are available upon payment of a reasonable fee, which is limited to Cyclerion’s expenses in furnishing the requested exhibit. All requests should be directed to Cyclerion’s Secretary, 245 First Street, 18th Floor, Cambridge, MA 02142 . </w:t>
      </w:r>
    </w:p>
    <w:p>
      <w:pPr>
        <w:pStyle w:val="TextBody"/>
        <w:bidi w:val="0"/>
        <w:spacing w:before="240" w:after="0"/>
        <w:jc w:val="left"/>
        <w:rPr>
          <w:rFonts w:ascii="Times New Roman" w:hAnsi="Times New Roman"/>
          <w:sz w:val="20"/>
        </w:rPr>
      </w:pPr>
      <w:r>
        <w:rPr>
          <w:rFonts w:ascii="Times New Roman" w:hAnsi="Times New Roman"/>
          <w:sz w:val="20"/>
        </w:rPr>
        <w:t xml:space="preserve">If you are a Cyclerion shareholder and would like additional copies, without charge, of this proxy statement/prospectus or if you have questions about the Merger, including the procedures for voting your shares, you should contact, Cyclerion’s proxy solicitor,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x111069_44"/>
      <w:bookmarkEnd w:id="46"/>
      <w:r>
        <w:rPr>
          <w:rFonts w:ascii="Times New Roman" w:hAnsi="Times New Roman"/>
          <w:b/>
          <w:sz w:val="20"/>
        </w:rPr>
        <w:t xml:space="preserve">SHAREHOLDER PROPOSALS OR DIRECTOR NOMINATIONS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Bylaws provide that, for shareholder nominations to the Cyclerion Board at an annual meeting of shareholders, the shareholder must have given timely notice thereof in writing to the Secretary at Cyclerion Therapeutics, Inc., 245 First Street, 18th Floor, Cambridge, MA 02142. To be timely for the 2027 annual meeting of shareholders, the shareholder’s notice must be delivered to us not earlier than the close of business on the 120th day nor later than the close of business on the 90th day prior to the anniversary date of the prior year’s annual meeting of shareholders, except that if the 2027 annual meeting of shareholders is set for a date that is more than 30 days before or after such anniversary date, Cyclerion must receive the notice not later than the close of business on the 60th day prior to the date of the annual meeting (provided that, if fewer than 65 days’ notice or prior public disclosure of the date of the 2027 annual meeting of shareholders is given or made to the shareholders, notice by the shareholder to be timely must be so received no later than the close of business on the 15th day following the day of such notice or public disclosure). Assuming the date of Cyclerion’s 2027 annual meeting of shareholders is not so advanced or delayed, shareholders who wish to make a proposal or a director nomination for the 2027 annual meeting of shareholders must notify Cyclerion no earlier than April 28, 2027 and no later than May 28, 2027. Such notice must provide certain information about the director nominees, as provided in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For other shareholder proposals to be considered at an annual meeting of Cyclerion shareholders, the Cyclerion Bylaws provide that the shareholder must, in addition to any other applicable requirements, comply with the requirements of Rule 14a-8 of the Exchange Act. Shareholder proposals submitted pursuant to Rule 14a-8 of the Exchange Act must be received no later than the close of business on March 23,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of the Cyclerion Bylaws, to comply with the universal proxy rules, shareholders who intend to solicit proxies in support of director nominees other than the Cyclerion’s nominees for the 2027 annual meeting of shareholders must provide notice that sets forth the information required by Rule 14a-19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the Cyclerion Bylaws may be obtained by accessing Cyclerion’s filings on the SEC’s website at </w:t>
      </w:r>
      <w:r>
        <w:rPr>
          <w:rFonts w:ascii="Times New Roman" w:hAnsi="Times New Roman"/>
          <w:i/>
          <w:sz w:val="20"/>
        </w:rPr>
        <w:t>www.sec.gov</w:t>
      </w:r>
      <w:r>
        <w:rPr>
          <w:rFonts w:ascii="Times New Roman" w:hAnsi="Times New Roman"/>
          <w:sz w:val="20"/>
        </w:rPr>
        <w:t xml:space="preserve">. You may also contact Cyclerion’s corporate secretary at Cyclerion’s principal executive offices for a copy of the relevant bylaw provisions regarding the requirements for making stockholder proposals and nominating director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shareholders. This process, which is commonly referred to as “householding,” potentially means extra convenience for shareholders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Cyclerion Shareholders Meeting, a number of brokers with account holders who are Cyclerion shareholders will be “householding” the proxy materials. A single set of the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proxy materials, please notify your broker or Cyclerion. Direct your written request to Secretary at Cyclerion Therapeutics, Inc., 245 First Street, 18th Floor, Cambridge, MA 02142. Cyclerion undertakes to promptly deliver a separate set of the proxy materials upon receiving your written request. Shareholders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x111069_45"/>
      <w:bookmarkEnd w:id="47"/>
      <w:r>
        <w:rPr>
          <w:rFonts w:ascii="Times New Roman" w:hAnsi="Times New Roman"/>
          <w:b/>
          <w:sz w:val="20"/>
        </w:rPr>
        <w:t xml:space="preserve">INDEX TO CYCLERION THERAPEUTICS, INC.’S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vAlign w:val="bottom"/>
          </w:tcPr>
          <w:p>
            <w:pPr>
              <w:pStyle w:val="TableContents"/>
              <w:bidi w:val="0"/>
              <w:spacing w:before="0" w:after="0"/>
              <w:jc w:val="left"/>
              <w:rPr/>
            </w:pPr>
            <w:hyperlink w:anchor="fin111069_1">
              <w:r>
                <w:rPr>
                  <w:rStyle w:val="InternetLink"/>
                  <w:rFonts w:ascii="Times New Roman" w:hAnsi="Times New Roman"/>
                  <w:sz w:val="20"/>
                </w:rPr>
                <w:t>Report of Independent Registered Public Accounting Firm (PCAOB ID: 42)</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111069_2">
              <w:r>
                <w:rPr>
                  <w:rStyle w:val="InternetLink"/>
                  <w:rFonts w:ascii="Times New Roman" w:hAnsi="Times New Roman"/>
                  <w:sz w:val="20"/>
                </w:rPr>
                <w:t>Consolidated Balance Sheets as of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111069_3">
              <w:r>
                <w:rPr>
                  <w:rStyle w:val="InternetLink"/>
                  <w:rFonts w:ascii="Times New Roman" w:hAnsi="Times New Roman"/>
                  <w:sz w:val="20"/>
                </w:rPr>
                <w:t>Consolidated Statements of Operations and Comprehensive Loss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111069_4">
              <w:r>
                <w:rPr>
                  <w:rStyle w:val="InternetLink"/>
                  <w:rFonts w:ascii="Times New Roman" w:hAnsi="Times New Roman"/>
                  <w:sz w:val="20"/>
                </w:rPr>
                <w:t>Consolidated Statements of Stockholders’ Equity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111069_5">
              <w:r>
                <w:rPr>
                  <w:rStyle w:val="InternetLink"/>
                  <w:rFonts w:ascii="Times New Roman" w:hAnsi="Times New Roman"/>
                  <w:sz w:val="20"/>
                </w:rPr>
                <w:t>Consolidated Statements of Cash Flows for the years ended December  31, 2025 and 2024</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111069_6">
              <w:r>
                <w:rPr>
                  <w:rStyle w:val="InternetLink"/>
                  <w:rFonts w:ascii="Times New Roman" w:hAnsi="Times New Roman"/>
                  <w:sz w:val="20"/>
                </w:rPr>
                <w:t>Notes to the Consolidated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Three Months Ended March 31,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11069_6a">
              <w:r>
                <w:rPr>
                  <w:rStyle w:val="InternetLink"/>
                  <w:rFonts w:ascii="Times New Roman" w:hAnsi="Times New Roman"/>
                  <w:sz w:val="20"/>
                </w:rPr>
                <w:t>Condensed Consolidated Balance Sheets as of March 31, 2026 and December 31,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6b">
              <w:r>
                <w:rPr>
                  <w:rStyle w:val="InternetLink"/>
                  <w:rFonts w:ascii="Times New Roman" w:hAnsi="Times New Roman"/>
                  <w:sz w:val="20"/>
                </w:rPr>
                <w:t>Condensed Consolidated Statements of Operations and Comprehensive Loss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6c">
              <w:r>
                <w:rPr>
                  <w:rStyle w:val="InternetLink"/>
                  <w:rFonts w:ascii="Times New Roman" w:hAnsi="Times New Roman"/>
                  <w:sz w:val="20"/>
                </w:rPr>
                <w:t>Condensed Consolidated Statements of Stockholders’ Equity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6d">
              <w:r>
                <w:rPr>
                  <w:rStyle w:val="InternetLink"/>
                  <w:rFonts w:ascii="Times New Roman" w:hAnsi="Times New Roman"/>
                  <w:sz w:val="20"/>
                </w:rPr>
                <w:t>Condensed Consolidated Statements of Cash Flows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6e">
              <w:r>
                <w:rPr>
                  <w:rStyle w:val="InternetLink"/>
                  <w:rFonts w:ascii="Times New Roman" w:hAnsi="Times New Roman"/>
                  <w:sz w:val="20"/>
                </w:rPr>
                <w:t>Notes to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INDEX TO KORSANA BIOSCIENCES, INC.’S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11069_7">
              <w:r>
                <w:rPr>
                  <w:rStyle w:val="InternetLink"/>
                  <w:rFonts w:ascii="Times New Roman" w:hAnsi="Times New Roman"/>
                  <w:sz w:val="20"/>
                </w:rPr>
                <w:t>Report of Independent Registered Public Accounting Firm (PCAOB ID# 00042)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8">
              <w:r>
                <w:rPr>
                  <w:rStyle w:val="InternetLink"/>
                  <w:rFonts w:ascii="Times New Roman" w:hAnsi="Times New Roman"/>
                  <w:sz w:val="20"/>
                </w:rPr>
                <w:t>Consolidated Balance Sheets as of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9">
              <w:r>
                <w:rPr>
                  <w:rStyle w:val="InternetLink"/>
                  <w:rFonts w:ascii="Times New Roman" w:hAnsi="Times New Roman"/>
                  <w:sz w:val="20"/>
                </w:rPr>
                <w:t>Consolidated Statements of Operations and Comprehensive Loss for the Year Ended December 31, 2025 and for the period from November 8, 2024 (Inception)</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0">
              <w:r>
                <w:rPr>
                  <w:rStyle w:val="InternetLink"/>
                  <w:rFonts w:ascii="Times New Roman" w:hAnsi="Times New Roman"/>
                  <w:sz w:val="20"/>
                </w:rPr>
                <w:t>Consolidated Statements of Convertible Preferred Stock and Stockholders’ (Deficit) Equity for the Year Ended December 31, 2025 and for the period from November 8, 2024 (Inception) to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1">
              <w:r>
                <w:rPr>
                  <w:rStyle w:val="InternetLink"/>
                  <w:rFonts w:ascii="Times New Roman" w:hAnsi="Times New Roman"/>
                  <w:sz w:val="20"/>
                </w:rPr>
                <w:t>Consolidated Statements of Cash Flows for the Year Ended December  31, 2025 and for the period from November 8, 2024 (Inception) to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2">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Three Months Ended March 31,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11069_13">
              <w:r>
                <w:rPr>
                  <w:rStyle w:val="InternetLink"/>
                  <w:rFonts w:ascii="Times New Roman" w:hAnsi="Times New Roman"/>
                  <w:sz w:val="20"/>
                </w:rPr>
                <w:t>Condensed Consolidated Balance Sheets as of March 31, 2026 and December 31,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4">
              <w:r>
                <w:rPr>
                  <w:rStyle w:val="InternetLink"/>
                  <w:rFonts w:ascii="Times New Roman" w:hAnsi="Times New Roman"/>
                  <w:sz w:val="20"/>
                </w:rPr>
                <w:t>Condensed Consolidated Statements of Operations and Comprehensive Loss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5">
              <w:r>
                <w:rPr>
                  <w:rStyle w:val="InternetLink"/>
                  <w:rFonts w:ascii="Times New Roman" w:hAnsi="Times New Roman"/>
                  <w:sz w:val="20"/>
                </w:rPr>
                <w:t>Condensed Consolidated Statements of Convertible Preferred Stock and Stockholders’ (Deficit) Equity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6">
              <w:r>
                <w:rPr>
                  <w:rStyle w:val="InternetLink"/>
                  <w:rFonts w:ascii="Times New Roman" w:hAnsi="Times New Roman"/>
                  <w:sz w:val="20"/>
                </w:rPr>
                <w:t>Condensed Consolidated Statements of Cash Flows for the Three Months Ended March 31, 2026 and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7">
              <w:r>
                <w:rPr>
                  <w:rStyle w:val="InternetLink"/>
                  <w:rFonts w:ascii="Times New Roman" w:hAnsi="Times New Roman"/>
                  <w:sz w:val="20"/>
                </w:rPr>
                <w:t>Notes to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111069_1"/>
      <w:bookmarkEnd w:id="48"/>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Cyclerion Therapeutics,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Cyclerion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vAlign w:val="bottom"/>
          </w:tcPr>
          <w:p>
            <w:pPr>
              <w:pStyle w:val="TableContents"/>
              <w:bidi w:val="0"/>
              <w:spacing w:before="0" w:after="283"/>
              <w:jc w:val="left"/>
              <w:rPr>
                <w:b/>
                <w:i/>
              </w:rPr>
            </w:pPr>
            <w:r>
              <w:rPr>
                <w:b/>
                <w:i/>
              </w:rPr>
              <w:t>Assessment of indicators of impairment of investment in Tisento Therapeutics Holdings Inc.</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Description of the Matter</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As discussed in Notes 2 and 4 to the consolidated financial statements, as of December 31, 2025, the Company had recognized an Other investment of $5.4 million which was accounted for as a financial instrument without a readily determinable fair value. Such investment was recorded using the measurement alternative for investments without readily determinable fair values, whereby the investment was measured at cost less any impairment recorded or adjustments for observable price changes. As of December 31, 2025, no impairment loss was recognized.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assessment of indicators of impairment of the Other investment was complex and required significant judgment in applying our audit procedures and in the evaluation of the results of the procedures performed to determine if any impairment indicators were present. In addition, there was a significant degree of subjectivity in evaluating the relevance and reliability of the audit evidence obtained.</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i/>
              </w:rPr>
            </w:pPr>
            <w:r>
              <w:rPr>
                <w:i/>
              </w:rPr>
              <w:t>How We Addressed the Matter in Our Audit</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We performed audit procedures to test management’s evaluation of events or changes in circumstances that might be indicators of impairment of the Company’s Other investment. Such procedures included, among others: (i) evaluating the appropriateness of management’s assessment of indicators of impairment; (ii) independently obtaining and assessing evidence, including from external sources, to corroborate management’s judgments and evaluating contrary evidence; (iii) reading the minutes of the Company’s Board of Directors meetings; and (iv) performing inquiries of management of Tisento Therapeutics Holdings Inc. and the Company regarding their knowledge of impairment indicators.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2018.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111069_2"/>
      <w:bookmarkEnd w:id="49"/>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3"/>
        <w:gridCol w:w="465"/>
        <w:gridCol w:w="195"/>
        <w:gridCol w:w="1225"/>
        <w:gridCol w:w="155"/>
        <w:gridCol w:w="414"/>
        <w:gridCol w:w="195"/>
        <w:gridCol w:w="1225"/>
        <w:gridCol w:w="158"/>
      </w:tblGrid>
      <w:tr>
        <w:trPr/>
        <w:tc>
          <w:tcPr>
            <w:tcW w:w="6173"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73"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3,240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3,232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556</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384</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421</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4,635</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4,225</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5,350</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5,350</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9,985</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9,575</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508</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390</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198</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283</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no par value, 100,000,000 shares authorized and 351,037 shares of Series A convertible preferred stock issued and outstanding at December 31, 2025 and 2024</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no par value, 400,000,000 shares authorized at December 31, 2025 and 2024; 3,925,314 and 2,710,096 shares issued at December 31, 2025 and 2024, respectively; 3,821,236 and 2,545,922 shares outstanding at December 31, 2025 and 2024, respectively</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280,105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276,342</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(271,020</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(267,492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9,085</w:t>
            </w:r>
          </w:p>
        </w:tc>
        <w:tc>
          <w:tcPr>
            <w:tcW w:w="155"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8,850</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4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9,985</w:t>
            </w:r>
          </w:p>
        </w:tc>
        <w:tc>
          <w:tcPr>
            <w:tcW w:w="155"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9,575</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111069_3"/>
      <w:bookmarkEnd w:id="50"/>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1"/>
        <w:gridCol w:w="228"/>
        <w:gridCol w:w="140"/>
        <w:gridCol w:w="635"/>
        <w:gridCol w:w="156"/>
        <w:gridCol w:w="201"/>
        <w:gridCol w:w="140"/>
        <w:gridCol w:w="635"/>
        <w:gridCol w:w="159"/>
      </w:tblGrid>
      <w:tr>
        <w:trPr/>
        <w:tc>
          <w:tcPr>
            <w:tcW w:w="7911"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1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license agreement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1,000</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1,750</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800</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274</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250</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2,074</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2,000</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959</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286</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6,088</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5,342</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7,047</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5,628</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(4,973</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(3,628</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128</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208</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settlement of account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363</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1,317</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1,445</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571</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(3,528</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(3,057</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(1.11</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(1.21</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shares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3,181</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2,518</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(3,528</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(3,057</w:t>
            </w:r>
          </w:p>
        </w:tc>
        <w:tc>
          <w:tcPr>
            <w:tcW w:w="159" w:type="dxa"/>
            <w:tcBorders/>
            <w:vAlign w:val="bottom"/>
          </w:tcPr>
          <w:p>
            <w:pPr>
              <w:pStyle w:val="TableContents"/>
              <w:bidi w:val="0"/>
              <w:spacing w:before="0" w:after="283"/>
              <w:jc w:val="left"/>
              <w:rPr/>
            </w:pPr>
            <w:r>
              <w:rPr/>
              <w:t>) </w:t>
            </w:r>
          </w:p>
        </w:tc>
      </w:tr>
      <w:tr>
        <w:trPr/>
        <w:tc>
          <w:tcPr>
            <w:tcW w:w="7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w:t>
            </w:r>
          </w:p>
        </w:tc>
        <w:tc>
          <w:tcPr>
            <w:tcW w:w="159" w:type="dxa"/>
            <w:tcBorders/>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(3,528</w:t>
            </w:r>
          </w:p>
        </w:tc>
        <w:tc>
          <w:tcPr>
            <w:tcW w:w="15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(3,063</w:t>
            </w:r>
          </w:p>
        </w:tc>
        <w:tc>
          <w:tcPr>
            <w:tcW w:w="159" w:type="dxa"/>
            <w:tcBorders/>
            <w:shd w:fill="CCEEFF" w:val="clear"/>
            <w:vAlign w:val="bottom"/>
          </w:tcPr>
          <w:p>
            <w:pPr>
              <w:pStyle w:val="TableContents"/>
              <w:bidi w:val="0"/>
              <w:spacing w:before="0" w:after="283"/>
              <w:jc w:val="left"/>
              <w:rPr/>
            </w:pPr>
            <w:r>
              <w:rPr/>
              <w:t>) </w:t>
            </w:r>
          </w:p>
        </w:tc>
      </w:tr>
      <w:tr>
        <w:trPr/>
        <w:tc>
          <w:tcPr>
            <w:tcW w:w="7911"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111069_4"/>
      <w:bookmarkEnd w:id="51"/>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data) </w:t>
      </w:r>
    </w:p>
    <w:p>
      <w:pPr>
        <w:pStyle w:val="TextBody"/>
        <w:bidi w:val="0"/>
        <w:spacing w:before="0" w:after="0"/>
        <w:jc w:val="left"/>
        <w:rPr/>
      </w:pPr>
      <w:r>
        <w:rPr/>
        <w:t> </w:t>
      </w:r>
    </w:p>
    <w:tbl>
      <w:tblPr>
        <w:tblW w:w="11105" w:type="dxa"/>
        <w:jc w:val="center"/>
        <w:tblInd w:w="0" w:type="dxa"/>
        <w:tblLayout w:type="fixed"/>
        <w:tblCellMar>
          <w:top w:w="0" w:type="dxa"/>
          <w:left w:w="0" w:type="dxa"/>
          <w:bottom w:w="0" w:type="dxa"/>
          <w:right w:w="0" w:type="dxa"/>
        </w:tblCellMar>
      </w:tblPr>
      <w:tblGrid>
        <w:gridCol w:w="1055"/>
        <w:gridCol w:w="60"/>
        <w:gridCol w:w="60"/>
        <w:gridCol w:w="980"/>
        <w:gridCol w:w="60"/>
        <w:gridCol w:w="60"/>
        <w:gridCol w:w="231"/>
        <w:gridCol w:w="629"/>
        <w:gridCol w:w="60"/>
        <w:gridCol w:w="60"/>
        <w:gridCol w:w="60"/>
        <w:gridCol w:w="800"/>
        <w:gridCol w:w="60"/>
        <w:gridCol w:w="60"/>
        <w:gridCol w:w="231"/>
        <w:gridCol w:w="629"/>
        <w:gridCol w:w="60"/>
        <w:gridCol w:w="60"/>
        <w:gridCol w:w="140"/>
        <w:gridCol w:w="800"/>
        <w:gridCol w:w="60"/>
        <w:gridCol w:w="60"/>
        <w:gridCol w:w="188"/>
        <w:gridCol w:w="1182"/>
        <w:gridCol w:w="155"/>
        <w:gridCol w:w="60"/>
        <w:gridCol w:w="413"/>
        <w:gridCol w:w="1122"/>
        <w:gridCol w:w="155"/>
        <w:gridCol w:w="60"/>
        <w:gridCol w:w="228"/>
        <w:gridCol w:w="1112"/>
        <w:gridCol w:w="15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Paid-in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center"/>
              <w:rPr>
                <w:b/>
              </w:rPr>
            </w:pPr>
            <w:r>
              <w:rPr>
                <w:b/>
              </w:rPr>
              <w:t>Accumulated</w:t>
              <w:br/>
              <w:t>other</w:t>
              <w:br/>
              <w:t>comprehensive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Total</w:t>
              <w:br/>
              <w:t>Stockholders’</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2,474,159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275,717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(264,417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11,288</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(3,057</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stock awards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Share-based compensation expense related to issuance of stock options and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625</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Release of foreign currency translation adjustment upon liquidation of a subsidiary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2,545,922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276,342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(267,492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8,850</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 private placement, net of issuance 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499,998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common stock - ATM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715,220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2,077</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(3,528</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stock awards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Share-based compensation expense related to issuance of stock options and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at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3,821,236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280,105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(271,020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9,085</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fin111069_5"/>
      <w:bookmarkEnd w:id="52"/>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8"/>
        <w:gridCol w:w="231"/>
        <w:gridCol w:w="210"/>
        <w:gridCol w:w="960"/>
        <w:gridCol w:w="235"/>
        <w:gridCol w:w="210"/>
        <w:gridCol w:w="210"/>
        <w:gridCol w:w="963"/>
        <w:gridCol w:w="158"/>
      </w:tblGrid>
      <w:tr>
        <w:trPr/>
        <w:tc>
          <w:tcPr>
            <w:tcW w:w="7028"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(3,528</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(3,057</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Gain from settlement of account payable</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(363</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441</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625</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(444</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(556</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37</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5</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118</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(445</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146</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(89</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(515</w:t>
            </w:r>
          </w:p>
        </w:tc>
        <w:tc>
          <w:tcPr>
            <w:tcW w:w="158" w:type="dxa"/>
            <w:tcBorders/>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(3,314</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(4,333</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9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ATM</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2,077</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1,375</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costs paid for private placement</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(130</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3,322</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(4,339</w:t>
            </w:r>
          </w:p>
        </w:tc>
        <w:tc>
          <w:tcPr>
            <w:tcW w:w="158" w:type="dxa"/>
            <w:tcBorders/>
            <w:vAlign w:val="bottom"/>
          </w:tcPr>
          <w:p>
            <w:pPr>
              <w:pStyle w:val="TableContents"/>
              <w:bidi w:val="0"/>
              <w:spacing w:before="0" w:after="283"/>
              <w:jc w:val="left"/>
              <w:rPr/>
            </w:pPr>
            <w:r>
              <w:rPr/>
              <w:t>) </w:t>
            </w:r>
          </w:p>
        </w:tc>
      </w:tr>
      <w:tr>
        <w:trPr/>
        <w:tc>
          <w:tcPr>
            <w:tcW w:w="7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23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3,232</w:t>
            </w:r>
          </w:p>
        </w:tc>
        <w:tc>
          <w:tcPr>
            <w:tcW w:w="2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7,571</w:t>
            </w:r>
          </w:p>
        </w:tc>
        <w:tc>
          <w:tcPr>
            <w:tcW w:w="158" w:type="dxa"/>
            <w:tcBorders/>
            <w:shd w:fill="CCEEFF" w:val="clear"/>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3,240</w:t>
            </w:r>
          </w:p>
        </w:tc>
        <w:tc>
          <w:tcPr>
            <w:tcW w:w="2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3,232</w:t>
            </w:r>
          </w:p>
        </w:tc>
        <w:tc>
          <w:tcPr>
            <w:tcW w:w="158" w:type="dxa"/>
            <w:tcBorders/>
            <w:vAlign w:val="bottom"/>
          </w:tcPr>
          <w:p>
            <w:pPr>
              <w:pStyle w:val="TableContents"/>
              <w:bidi w:val="0"/>
              <w:spacing w:before="0" w:after="283"/>
              <w:jc w:val="left"/>
              <w:rPr/>
            </w:pPr>
            <w:r>
              <w:rPr/>
              <w:t> </w:t>
            </w:r>
          </w:p>
        </w:tc>
      </w:tr>
      <w:tr>
        <w:trPr/>
        <w:tc>
          <w:tcPr>
            <w:tcW w:w="702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fin111069_6"/>
      <w:bookmarkEnd w:id="53"/>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tax-free spin-off of their sGC business. Cyclerion has one employee as of December 31, 2025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is focused on building a new pipeline of innovative therapeutics to address serious neuropsychiatric diseases. The Company’s current strategic focus is centered on the development of a novel therapeutic approach for treatment-resistant depression (“TRD”), which represents a substantial clinical and commercial opportunity. Over the past year, the Company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In September 2025, the Company entered into a license agreement with the Massachusetts Institute of Technology (“MIT”) for intellectual property supporting this program (see Note 11), and in January 2026 entered into a collaboration and option-to-license agreement with Medsteer SAS (“Medsteer”) to access certain technology, data assets, and technical know-how related to drug delivery and physiological monitoring. The Company is advancing development planning, regulatory strategy, and commercial positioning for this program and intends to initiate a Phase 2 proof-of-concept study in Australia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its neuropsychiatric strategy, Cyclerion continues to evaluate opportunities related to its legacy soluble guanylate cyclase (“sGC”) stimulator assets, including potential collaborations, monetization opportunities, or other strategic transactions designed to maximize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have re-negotiated a mutually beneficial amendment to their exclusive license agreement for praliciguat, a systemic sGC stimulator. Under this new license amendment, Cyclerion will receive $1.75 million in amendment payments, of which $1.25 million was paid in December 2024 and an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would be due to us and it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mid-single-digits to twenty percent. </w:t>
      </w:r>
    </w:p>
    <w:p>
      <w:pPr>
        <w:pStyle w:val="TextBody"/>
        <w:bidi w:val="0"/>
        <w:spacing w:before="24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the Company entered into an Option to License Agreement (the “Option Agreement”) with a third party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Cyclerion GmbH, a wholly owned subsidiary, was incorporated in Zug, Switzerland on May 3, 2019. The functional currency is the Swiss franc. Cyclerion GmbH was liquidated and de-registered in May 2024. </w:t>
      </w:r>
    </w:p>
    <w:p>
      <w:pPr>
        <w:pStyle w:val="TextBody"/>
        <w:bidi w:val="0"/>
        <w:spacing w:before="240" w:after="0"/>
        <w:jc w:val="left"/>
        <w:rPr>
          <w:rFonts w:ascii="Times New Roman" w:hAnsi="Times New Roman"/>
          <w:sz w:val="20"/>
        </w:rPr>
      </w:pPr>
      <w:r>
        <w:rPr>
          <w:rFonts w:ascii="Times New Roman" w:hAnsi="Times New Roman"/>
          <w:sz w:val="20"/>
        </w:rPr>
        <w:t xml:space="preserve">Cyclerion Securities Corporation, a wholly owned subsidiary, was incorporated in Massachusetts on November 15, 2019 and was granted securities corporation status in Massachusetts. </w:t>
      </w:r>
    </w:p>
    <w:p>
      <w:pPr>
        <w:pStyle w:val="TextBody"/>
        <w:bidi w:val="0"/>
        <w:spacing w:before="360" w:after="0"/>
        <w:jc w:val="left"/>
        <w:rPr>
          <w:rFonts w:ascii="Times New Roman" w:hAnsi="Times New Roman"/>
          <w:b/>
          <w:sz w:val="20"/>
        </w:rPr>
      </w:pPr>
      <w:r>
        <w:rPr>
          <w:rFonts w:ascii="Times New Roman" w:hAnsi="Times New Roman"/>
          <w:b/>
          <w:sz w:val="20"/>
        </w:rPr>
        <w:t xml:space="preserve">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the Company entered into a stock purchase agreement with the Company’s former Chief Executive Officer (the “CEO”) pursuant to which he invested $5 million in cash for 225,000 shares of common stock and 351,037 shares of Series A Convertible Preferred Stock of the Company at a price of $8.68 per share (after giving effect to the 1-for-20 reverse stock split the Company implemented on May 15, 2023). The Series A Convertible Preferred Stock is convertible into shares of the Company’s common stock on a one-to-one basis. The closing of the equity investment took place on May 19, 2023, and (to comply with Nasdaq listing requirements) the Company’s shareholders approved such convertibility on July 19, 2023. </w:t>
      </w:r>
    </w:p>
    <w:p>
      <w:pPr>
        <w:pStyle w:val="TextBody"/>
        <w:bidi w:val="0"/>
        <w:spacing w:before="360" w:after="0"/>
        <w:jc w:val="left"/>
        <w:rPr>
          <w:rFonts w:ascii="Times New Roman" w:hAnsi="Times New Roman"/>
          <w:b/>
          <w:sz w:val="20"/>
        </w:rPr>
      </w:pPr>
      <w:r>
        <w:rPr>
          <w:rFonts w:ascii="Times New Roman" w:hAnsi="Times New Roman"/>
          <w:b/>
          <w:sz w:val="20"/>
        </w:rPr>
        <w:t xml:space="preserve">2025 Equity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S-3 (the “Shelf”) with the Securities and Exchange Commission (the “SEC”) in relation to the registration of common stock,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warrants and units of any combination thereof for an aggregate initial offering price not to exceed $25.0 million. The Registration Statement was declared effective by the SEC in February 2025.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sold 715,220 shares of its common stock for net proceeds of $2.1 million under the Sales Agreement, after deducting commissions paid to Guggenheim Securities of $0.1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and the related disclosures have been prepared in accordance with U.S. generally accepted accounting principles. In the opinion of management, the consolidated financial statements reflect all normal recurring adjustments considered necessary for a fair presentation of the Company’s financial position and the results of its operations for the fiscal years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and its wholly owned subsidiaries, Cyclerion Securities Corporation and Cyclerion GmbH which was dissolved in May 2024. All significant intercompany accounts and transactions have been eliminated in the preparation of the accompanying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its analysis, management excluded certain elements of its operating plan that cannot be considered probable. Under ASC 205-40, the future receipt of potential funding from future partnerships, equity or debt issuances, certain cost reduction measures and the potential milestones from the Akebia agreement cannot be considered probable at this time because these plans are not entirely within the Company’s control and/or have not been approved by the Board of Directors as of the date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expects that its cash and cash equivalents as of December 31, 2025, will be sufficient to fund operations through mid-2026,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president and chief executive officer, who is the chief operating decision maker (“CODM”), reviews the Company’s financial information on a consolidated basis for purposes of evaluating financial performance and allocating resources. When evaluating the Company’s financial performance, the CODM regularly reviews net loss, non-operating expenses and operating expenses excluding non-cash stock based compensation expense. </w:t>
      </w:r>
    </w:p>
    <w:p>
      <w:pPr>
        <w:pStyle w:val="TextBody"/>
        <w:bidi w:val="0"/>
        <w:spacing w:before="360" w:after="0"/>
        <w:jc w:val="left"/>
        <w:rPr>
          <w:rFonts w:ascii="Times New Roman" w:hAnsi="Times New Roman"/>
          <w:b/>
          <w:sz w:val="20"/>
        </w:rPr>
      </w:pPr>
      <w:r>
        <w:rPr>
          <w:rFonts w:ascii="Times New Roman" w:hAnsi="Times New Roman"/>
          <w:b/>
          <w:sz w:val="20"/>
        </w:rPr>
        <w:t xml:space="preserve">Variable Interest Entities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investments in equity securities without a readily determinable fair value at cost, minus impairment. If the Company identifies observable price changes in orderly transactions for an identical or a similar investment of the same issuer, the Company will measure the equity security at fair value as of the date that the observable transaction occurred in accordance with ASC Topic 321, Investments-Equity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accordance with U.S. generally accepted accounting principles (“GAAP”) requires the Company’s management to make estimates and judgments that may affect the reported amounts of assets and liabilities and disclosure of contingent assets and liabilities at the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financial statements, and the amounts of expenses during the reported periods. On an ongoing basis, the Company’s management evaluates its estimates, judgments and methodologies. Significant estimates and assumptions in the consolidated financial statements include those related to revenue, fair value determination of other investment, income taxes, including the valuation allowance for deferred tax assets, research and development expenses, contingencies, share-based compensation and going concern.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 instruments with a remaining maturity when purchased of three months or less to be cash equivalents. Investments qualifying as cash equivalents may consist of money market funds and overnight repurchase agreements. The carrying amount of cash equivalents approximates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Investment Instruments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Foreign Currency Translation Adjustment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former foreign subsidiary is its local currency, the Swiss franc. The assets and liabilities of the Company’s former foreign subsidiary are translated into U.S. dollars at exchange rates in effect at the balance sheet date. Income and expense items are translated at the average exchange rates prevailing during the period. The cumulative translation effect for the Company’s former foreign subsidiary was included as a foreign currency translation adjustment in the consolidated statements of stockholders’ equity and as a component of comprehensive loss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intercompany accounts are typically denominated in the functional currency of the foreign subsidiary. Gains and losses resulting from the re-measurement of intercompany balances are recorded in the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makes judgments as to its ability to collect outstanding receivables and provides an allowance for receivables when collection becomes doubtful. Provisions are made based upon a specific review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outstanding invoices. The Company believes that credit risks associated with these agreements are not significant. To date, the Company has not had significant write-offs of bad debt and the Company did not have an allowance for doubtful accounts as of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r>
        <w:rPr>
          <w:rFonts w:ascii="Times New Roman" w:hAnsi="Times New Roman"/>
          <w:i/>
          <w:sz w:val="20"/>
        </w:rPr>
        <w:t>Revenue from Contracts with Customers</w:t>
      </w:r>
      <w:r>
        <w:rPr>
          <w:rFonts w:ascii="Times New Roman" w:hAnsi="Times New Roman"/>
          <w:sz w:val="20"/>
        </w:rPr>
        <w:t xml:space="preserve">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success. The Company derives revenue from (1) license agreement, (2) purchase agreement and (3) option to license agreement which are fully described in Note 11, </w:t>
      </w:r>
      <w:r>
        <w:rPr>
          <w:rFonts w:ascii="Times New Roman" w:hAnsi="Times New Roman"/>
          <w:i/>
          <w:sz w:val="20"/>
        </w:rPr>
        <w:t>License and Option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research and development costs to operations as incurred. The Company defers and capitalizes nonrefundable advance payments made by the Company for research and development activities until the related goods are received or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general and administrative costs to operations as incurred. General and administrative expense consists of compensation, share-based compensation, benefits and other employee-related expenses for personnel and outside consultants providing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primarily subject to U.S. Federal and Massachusetts state income taxes. For federal and state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recorded when it is more likely than not that some portion or all of the deferred tax assets will not be realized. Accordingly, the Company provides a valuation allowance, if necessary, to reduce deferred tax assets to amounts that are realizable. </w:t>
      </w:r>
    </w:p>
    <w:p>
      <w:pPr>
        <w:pStyle w:val="TextBody"/>
        <w:bidi w:val="0"/>
        <w:spacing w:before="240" w:after="0"/>
        <w:jc w:val="left"/>
        <w:rPr>
          <w:rFonts w:ascii="Times New Roman" w:hAnsi="Times New Roman"/>
          <w:sz w:val="20"/>
        </w:rPr>
      </w:pPr>
      <w:r>
        <w:rPr>
          <w:rFonts w:ascii="Times New Roman" w:hAnsi="Times New Roman"/>
          <w:sz w:val="20"/>
        </w:rPr>
        <w:t xml:space="preserve">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There were no uncertain tax positions that require accrual or disclosure in the consolidated financial statements as of December 31, 2025, and 2024. The Company’s policy is to recognize interest and penalties related to income tax, if any, in income tax expense. As of December 31, 2025 and 2024, the Company has no accruals for interest or penalties related to income tax matters. </w:t>
      </w:r>
    </w:p>
    <w:p>
      <w:pPr>
        <w:pStyle w:val="TextBody"/>
        <w:bidi w:val="0"/>
        <w:spacing w:before="360" w:after="0"/>
        <w:jc w:val="left"/>
        <w:rPr>
          <w:rFonts w:ascii="Times New Roman" w:hAnsi="Times New Roman"/>
          <w:b/>
          <w:sz w:val="20"/>
        </w:rPr>
      </w:pPr>
      <w:r>
        <w:rPr>
          <w:rFonts w:ascii="Times New Roman" w:hAnsi="Times New Roman"/>
          <w:b/>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Patent fees and patent related costs in connection with filing and prosecuting patent applications are expensed as incurred and are classified as general and administrative expenses in the accompanying consolidated financial statements. The Company incurred and recorded as operating expense legal and other fees related to patents of approximately $0.3 million and $0.6 million for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and 2024, interest and other income, net consisted of a $0.1 million and $0.2 million of interest income related to interest generated from the Company’s cash and cash equivalents balances,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events or transactions that have occurred after the balance sheet date of December 31, 2025,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10-K. See Note 12, </w:t>
      </w:r>
      <w:r>
        <w:rPr>
          <w:rFonts w:ascii="Times New Roman" w:hAnsi="Times New Roman"/>
          <w:i/>
          <w:sz w:val="20"/>
        </w:rPr>
        <w:t>Subsequent Events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consolidated financial statements, the Company did not adopt any new accounting pronouncements during the years ended December 31, 2025 and 2024, that had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August 2025, the FASB issued ASU No. 2025-05, Financial Instruments—Credit Losses (Topic 326), which requires incremental disclosures on estimating expected credit losses. The Company will adopt this guidance beginning with its annual report for fiscal 2027. The Company is currently evaluating the potential effect that the updated standard will have on its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Improvements to Reportable Segment Disclosures (Topic 280), which requires incremental disclosures on reportable segments, primarily through enhanced disclosures on significant segment expenses. The Company adopted this guidance beginning with its annual report for fiscal 2025 and interim periods thereafter on a retrospective basis. The adoption did not have a material effect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As of December 31, 2025, the Company adopted this new ASU and it only impacts the Company’s income tax disclosures with no impact to its operations, cash flows,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consolidated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December 31, 2025 and December 31, 2024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03"/>
        <w:gridCol w:w="301"/>
        <w:gridCol w:w="253"/>
        <w:gridCol w:w="1015"/>
        <w:gridCol w:w="104"/>
        <w:gridCol w:w="379"/>
        <w:gridCol w:w="253"/>
        <w:gridCol w:w="660"/>
        <w:gridCol w:w="104"/>
        <w:gridCol w:w="378"/>
        <w:gridCol w:w="253"/>
        <w:gridCol w:w="660"/>
        <w:gridCol w:w="104"/>
        <w:gridCol w:w="379"/>
        <w:gridCol w:w="253"/>
        <w:gridCol w:w="1020"/>
        <w:gridCol w:w="69"/>
      </w:tblGrid>
      <w:tr>
        <w:trPr/>
        <w:tc>
          <w:tcPr>
            <w:tcW w:w="3203"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20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 December 31, 2025:</w:t>
            </w:r>
          </w:p>
        </w:tc>
        <w:tc>
          <w:tcPr>
            <w:tcW w:w="69" w:type="dxa"/>
            <w:tcBorders/>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10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3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0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20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3,072</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3,072</w:t>
            </w:r>
          </w:p>
        </w:tc>
        <w:tc>
          <w:tcPr>
            <w:tcW w:w="69" w:type="dxa"/>
            <w:tcBorders/>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0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3,072</w:t>
            </w:r>
          </w:p>
        </w:tc>
        <w:tc>
          <w:tcPr>
            <w:tcW w:w="10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3,072</w:t>
            </w:r>
          </w:p>
        </w:tc>
        <w:tc>
          <w:tcPr>
            <w:tcW w:w="69" w:type="dxa"/>
            <w:tcBorders/>
            <w:shd w:fill="CCEEFF" w:val="clear"/>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3203" w:type="dxa"/>
            <w:tcBorders/>
            <w:vAlign w:val="center"/>
          </w:tcPr>
          <w:p>
            <w:pPr>
              <w:pStyle w:val="TableContents"/>
              <w:bidi w:val="0"/>
              <w:spacing w:before="0" w:after="283"/>
              <w:jc w:val="left"/>
              <w:rPr>
                <w:sz w:val="4"/>
                <w:szCs w:val="4"/>
              </w:rPr>
            </w:pPr>
            <w:r>
              <w:rPr>
                <w:sz w:val="4"/>
                <w:szCs w:val="4"/>
              </w:rPr>
            </w:r>
          </w:p>
        </w:tc>
        <w:tc>
          <w:tcPr>
            <w:tcW w:w="6185" w:type="dxa"/>
            <w:gridSpan w:val="16"/>
            <w:tcBorders/>
            <w:vAlign w:val="center"/>
          </w:tcPr>
          <w:p>
            <w:pPr>
              <w:pStyle w:val="TableContents"/>
              <w:bidi w:val="0"/>
              <w:spacing w:before="0" w:after="283"/>
              <w:jc w:val="left"/>
              <w:rPr>
                <w:sz w:val="4"/>
                <w:szCs w:val="4"/>
              </w:rPr>
            </w:pPr>
            <w:r>
              <w:rPr>
                <w:sz w:val="4"/>
                <w:szCs w:val="4"/>
              </w:rPr>
            </w:r>
          </w:p>
        </w:tc>
      </w:tr>
      <w:tr>
        <w:trPr/>
        <w:tc>
          <w:tcPr>
            <w:tcW w:w="320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 December 31, 2024:</w:t>
            </w:r>
          </w:p>
        </w:tc>
        <w:tc>
          <w:tcPr>
            <w:tcW w:w="69" w:type="dxa"/>
            <w:tcBorders/>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10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3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0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20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3,025</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3,025</w:t>
            </w:r>
          </w:p>
        </w:tc>
        <w:tc>
          <w:tcPr>
            <w:tcW w:w="69" w:type="dxa"/>
            <w:tcBorders/>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0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3,025</w:t>
            </w:r>
          </w:p>
        </w:tc>
        <w:tc>
          <w:tcPr>
            <w:tcW w:w="10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3,025</w:t>
            </w:r>
          </w:p>
        </w:tc>
        <w:tc>
          <w:tcPr>
            <w:tcW w:w="69" w:type="dxa"/>
            <w:tcBorders/>
            <w:shd w:fill="CCEEFF" w:val="clear"/>
            <w:vAlign w:val="bottom"/>
          </w:tcPr>
          <w:p>
            <w:pPr>
              <w:pStyle w:val="TableContents"/>
              <w:bidi w:val="0"/>
              <w:spacing w:before="0" w:after="283"/>
              <w:jc w:val="left"/>
              <w:rPr/>
            </w:pPr>
            <w:r>
              <w:rPr/>
              <w:t> </w:t>
            </w:r>
          </w:p>
        </w:tc>
      </w:tr>
      <w:tr>
        <w:trPr/>
        <w:tc>
          <w:tcPr>
            <w:tcW w:w="320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and 2024, there were no transfers between levels. The fair value of the Company’s cash equivalents, consisting of money market funds, is based on quoted market prices in active markets with no valuation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spacing w:before="360" w:after="0"/>
        <w:jc w:val="left"/>
        <w:rPr>
          <w:rFonts w:ascii="Times New Roman" w:hAnsi="Times New Roman"/>
          <w:b/>
          <w:sz w:val="20"/>
        </w:rPr>
      </w:pPr>
      <w:r>
        <w:rPr>
          <w:rFonts w:ascii="Times New Roman" w:hAnsi="Times New Roman"/>
          <w:b/>
          <w:sz w:val="20"/>
        </w:rPr>
        <w:t xml:space="preserve">4. Other Investment </w:t>
      </w:r>
    </w:p>
    <w:p>
      <w:pPr>
        <w:pStyle w:val="TextBody"/>
        <w:bidi w:val="0"/>
        <w:spacing w:before="120" w:after="0"/>
        <w:jc w:val="left"/>
        <w:rPr>
          <w:rFonts w:ascii="Times New Roman" w:hAnsi="Times New Roman"/>
          <w:sz w:val="20"/>
        </w:rPr>
      </w:pPr>
      <w:r>
        <w:rPr>
          <w:rFonts w:ascii="Times New Roman" w:hAnsi="Times New Roman"/>
          <w:sz w:val="20"/>
        </w:rPr>
        <w:t xml:space="preserve">On July 28, 2023, the Company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which fair value was determined to be $5.3 million at the time of closing. The Company’s investment in Tisento Parent does not provide it with significant influence over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 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December 31, 2025, no impairment loss was recognized. The Company considers the cost of the investment to be the maximum exposure to loss as a result of its involvement with the non-affiliated entity.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fair value of the investment in Tisento Parent was determined by reference to the risk-adjusted net assets value using the discounted cash flow method. The estimated net assets value of Tisento Parent includes the cash generated/used from the operations and the proceeds from equity financing. Valuations were derived by reference to observable valuation measures for comparable companies or transactions, including weighted average cost of capital (21% to 23%), terminal decline rate (25% to 75%) and the discount rate referenced by a two-year treasury rate of 4.01%.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5.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1"/>
        <w:gridCol w:w="619"/>
        <w:gridCol w:w="376"/>
        <w:gridCol w:w="995"/>
        <w:gridCol w:w="60"/>
        <w:gridCol w:w="619"/>
        <w:gridCol w:w="376"/>
        <w:gridCol w:w="995"/>
        <w:gridCol w:w="64"/>
      </w:tblGrid>
      <w:tr>
        <w:trPr/>
        <w:tc>
          <w:tcPr>
            <w:tcW w:w="3651" w:type="dxa"/>
            <w:tcBorders/>
            <w:vAlign w:val="center"/>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619"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220</w:t>
            </w:r>
          </w:p>
        </w:tc>
        <w:tc>
          <w:tcPr>
            <w:tcW w:w="64"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19"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194</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283</w:t>
            </w:r>
          </w:p>
        </w:tc>
        <w:tc>
          <w:tcPr>
            <w:tcW w:w="64" w:type="dxa"/>
            <w:tcBorders/>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Other Funding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enter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December 31, 2025 or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Benefits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benefit of the former Chief Financial Officer, the Company paid $0.1 million each in May 2024 and August 2024. The Company has no further separation benefits obligation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7. Share-based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mirrored two of Ironwood Pharmaceuticals, Inc. (“Ironwood”) existing plans, the Amended and Restated 2005 Stock Incentive Plan (“2005 Equity Plan”) and the Amended and Restated 2010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share-based compensation reflected in the Company’s consolidated statements of operations and comprehensive loss for the years ended December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82"/>
        <w:gridCol w:w="381"/>
        <w:gridCol w:w="155"/>
        <w:gridCol w:w="430"/>
        <w:gridCol w:w="66"/>
        <w:gridCol w:w="391"/>
        <w:gridCol w:w="155"/>
        <w:gridCol w:w="431"/>
        <w:gridCol w:w="64"/>
      </w:tblGrid>
      <w:tr>
        <w:trPr/>
        <w:tc>
          <w:tcPr>
            <w:tcW w:w="5682"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8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568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8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29</w:t>
            </w:r>
          </w:p>
        </w:tc>
        <w:tc>
          <w:tcPr>
            <w:tcW w:w="6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1" w:type="dxa"/>
            <w:tcBorders/>
            <w:shd w:fill="CCEEFF" w:val="clear"/>
            <w:vAlign w:val="bottom"/>
          </w:tcPr>
          <w:p>
            <w:pPr>
              <w:pStyle w:val="TableContents"/>
              <w:bidi w:val="0"/>
              <w:spacing w:before="0" w:after="283"/>
              <w:jc w:val="right"/>
              <w:rPr/>
            </w:pPr>
            <w:r>
              <w:rPr/>
              <w:t>91</w:t>
            </w:r>
          </w:p>
        </w:tc>
        <w:tc>
          <w:tcPr>
            <w:tcW w:w="64" w:type="dxa"/>
            <w:tcBorders/>
            <w:shd w:fill="CCEEFF" w:val="clear"/>
            <w:vAlign w:val="bottom"/>
          </w:tcPr>
          <w:p>
            <w:pPr>
              <w:pStyle w:val="TableContents"/>
              <w:bidi w:val="0"/>
              <w:spacing w:before="0" w:after="283"/>
              <w:jc w:val="left"/>
              <w:rPr/>
            </w:pPr>
            <w:r>
              <w:rPr/>
              <w:t> </w:t>
            </w:r>
          </w:p>
        </w:tc>
      </w:tr>
      <w:tr>
        <w:trPr/>
        <w:tc>
          <w:tcPr>
            <w:tcW w:w="568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8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412</w:t>
            </w:r>
          </w:p>
        </w:tc>
        <w:tc>
          <w:tcPr>
            <w:tcW w:w="6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534</w:t>
            </w:r>
          </w:p>
        </w:tc>
        <w:tc>
          <w:tcPr>
            <w:tcW w:w="64" w:type="dxa"/>
            <w:tcBorders/>
            <w:vAlign w:val="bottom"/>
          </w:tcPr>
          <w:p>
            <w:pPr>
              <w:pStyle w:val="TableContents"/>
              <w:bidi w:val="0"/>
              <w:spacing w:before="0" w:after="283"/>
              <w:jc w:val="left"/>
              <w:rPr/>
            </w:pPr>
            <w:r>
              <w:rPr/>
              <w:t> </w:t>
            </w:r>
          </w:p>
        </w:tc>
      </w:tr>
      <w:tr>
        <w:trPr/>
        <w:tc>
          <w:tcPr>
            <w:tcW w:w="568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3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82"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441</w:t>
            </w:r>
          </w:p>
        </w:tc>
        <w:tc>
          <w:tcPr>
            <w:tcW w:w="6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1" w:type="dxa"/>
            <w:tcBorders/>
            <w:shd w:fill="CCEEFF" w:val="clear"/>
            <w:vAlign w:val="bottom"/>
          </w:tcPr>
          <w:p>
            <w:pPr>
              <w:pStyle w:val="TableContents"/>
              <w:bidi w:val="0"/>
              <w:spacing w:before="0" w:after="283"/>
              <w:jc w:val="right"/>
              <w:rPr/>
            </w:pPr>
            <w:r>
              <w:rPr/>
              <w:t>625</w:t>
            </w:r>
          </w:p>
        </w:tc>
        <w:tc>
          <w:tcPr>
            <w:tcW w:w="64" w:type="dxa"/>
            <w:tcBorders/>
            <w:shd w:fill="CCEEFF" w:val="clear"/>
            <w:vAlign w:val="bottom"/>
          </w:tcPr>
          <w:p>
            <w:pPr>
              <w:pStyle w:val="TableContents"/>
              <w:bidi w:val="0"/>
              <w:spacing w:before="0" w:after="283"/>
              <w:jc w:val="left"/>
              <w:rPr/>
            </w:pPr>
            <w:r>
              <w:rPr/>
              <w:t> </w:t>
            </w:r>
          </w:p>
        </w:tc>
      </w:tr>
      <w:tr>
        <w:trPr/>
        <w:tc>
          <w:tcPr>
            <w:tcW w:w="568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3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240" w:after="0"/>
        <w:jc w:val="left"/>
        <w:rPr>
          <w:rFonts w:ascii="Times New Roman" w:hAnsi="Times New Roman"/>
          <w:sz w:val="20"/>
        </w:rPr>
      </w:pPr>
      <w:r>
        <w:rPr>
          <w:rFonts w:ascii="Times New Roman" w:hAnsi="Times New Roman"/>
          <w:sz w:val="20"/>
        </w:rPr>
        <w:t xml:space="preserve">A summary of stock option activity for the year ended December 31, 2025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92"/>
        <w:gridCol w:w="341"/>
        <w:gridCol w:w="74"/>
        <w:gridCol w:w="1018"/>
        <w:gridCol w:w="155"/>
        <w:gridCol w:w="341"/>
        <w:gridCol w:w="169"/>
        <w:gridCol w:w="832"/>
        <w:gridCol w:w="60"/>
        <w:gridCol w:w="341"/>
        <w:gridCol w:w="209"/>
        <w:gridCol w:w="1122"/>
        <w:gridCol w:w="59"/>
        <w:gridCol w:w="341"/>
        <w:gridCol w:w="284"/>
        <w:gridCol w:w="784"/>
        <w:gridCol w:w="66"/>
      </w:tblGrid>
      <w:tr>
        <w:trPr/>
        <w:tc>
          <w:tcPr>
            <w:tcW w:w="3192"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9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Options</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Intrinsic</w:t>
              <w:br/>
              <w:t>Value (in</w:t>
              <w:br/>
              <w:t>thousands)</w:t>
            </w:r>
          </w:p>
        </w:tc>
        <w:tc>
          <w:tcPr>
            <w:tcW w:w="66" w:type="dxa"/>
            <w:tcBorders/>
            <w:vAlign w:val="bottom"/>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335,448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158.98</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4.7</w:t>
            </w:r>
          </w:p>
        </w:tc>
        <w:tc>
          <w:tcPr>
            <w:tcW w:w="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2.36</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(62,686</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140.44</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2025</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297,762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149.73</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4.9</w:t>
            </w:r>
          </w:p>
        </w:tc>
        <w:tc>
          <w:tcPr>
            <w:tcW w:w="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232,385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187.20</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4.0</w:t>
            </w:r>
          </w:p>
        </w:tc>
        <w:tc>
          <w:tcPr>
            <w:tcW w:w="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granted stock options to purchase an aggregate of 25,000 shares and 55,849 shares, respectively, at weighted average grant date fair values per option share of $2.14 and $2.80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There were no options exercised during the year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unrecognized share-based compensation expense, net of estimated forfeitures, related to all unvested time-based stock options held by the Company’s employee and non-employees is $0.1 million and the weighted average period over which that expense is expected to be recognized is 3.03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weighted-average Black-Scholes assumptions used in estimating the fair value of the stock options granted by Cyclerion during the years ended December 31, 2025 and 2024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2"/>
        <w:gridCol w:w="332"/>
        <w:gridCol w:w="85"/>
        <w:gridCol w:w="1050"/>
        <w:gridCol w:w="396"/>
        <w:gridCol w:w="256"/>
        <w:gridCol w:w="85"/>
        <w:gridCol w:w="1054"/>
        <w:gridCol w:w="295"/>
      </w:tblGrid>
      <w:tr>
        <w:trPr/>
        <w:tc>
          <w:tcPr>
            <w:tcW w:w="420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20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926" w:type="dxa"/>
            <w:gridSpan w:val="6"/>
            <w:tcBorders/>
            <w:vAlign w:val="bottom"/>
          </w:tcPr>
          <w:p>
            <w:pPr>
              <w:pStyle w:val="TableContents"/>
              <w:bidi w:val="0"/>
              <w:spacing w:before="0" w:after="283"/>
              <w:jc w:val="center"/>
              <w:rPr>
                <w:b/>
              </w:rPr>
            </w:pPr>
            <w:r>
              <w:rPr>
                <w:b/>
              </w:rPr>
              <w:t>Year ended December 31,</w:t>
            </w:r>
          </w:p>
        </w:tc>
        <w:tc>
          <w:tcPr>
            <w:tcW w:w="295" w:type="dxa"/>
            <w:tcBorders/>
            <w:vAlign w:val="bottom"/>
          </w:tcPr>
          <w:p>
            <w:pPr>
              <w:pStyle w:val="TableContents"/>
              <w:bidi w:val="0"/>
              <w:spacing w:before="0" w:after="283"/>
              <w:jc w:val="left"/>
              <w:rPr/>
            </w:pPr>
            <w:r>
              <w:rPr/>
              <w:t> </w:t>
            </w:r>
          </w:p>
        </w:tc>
      </w:tr>
      <w:tr>
        <w:trPr/>
        <w:tc>
          <w:tcPr>
            <w:tcW w:w="420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9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5"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risk-free interest rate</w:t>
            </w:r>
          </w:p>
        </w:tc>
        <w:tc>
          <w:tcPr>
            <w:tcW w:w="33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3.79</w:t>
            </w:r>
          </w:p>
        </w:tc>
        <w:tc>
          <w:tcPr>
            <w:tcW w:w="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3.64</w:t>
            </w:r>
          </w:p>
        </w:tc>
        <w:tc>
          <w:tcPr>
            <w:tcW w:w="295"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3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— </w:t>
            </w:r>
          </w:p>
        </w:tc>
        <w:tc>
          <w:tcPr>
            <w:tcW w:w="39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4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option term (in years)</w:t>
            </w:r>
          </w:p>
        </w:tc>
        <w:tc>
          <w:tcPr>
            <w:tcW w:w="33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5.4</w:t>
            </w:r>
          </w:p>
        </w:tc>
        <w:tc>
          <w:tcPr>
            <w:tcW w:w="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6.0</w:t>
            </w:r>
          </w:p>
        </w:tc>
        <w:tc>
          <w:tcPr>
            <w:tcW w:w="295" w:type="dxa"/>
            <w:tcBorders/>
            <w:shd w:fill="CCEEFF" w:val="clear"/>
            <w:vAlign w:val="bottom"/>
          </w:tcPr>
          <w:p>
            <w:pPr>
              <w:pStyle w:val="TableContents"/>
              <w:bidi w:val="0"/>
              <w:spacing w:before="0" w:after="283"/>
              <w:jc w:val="left"/>
              <w:rPr/>
            </w:pPr>
            <w:r>
              <w:rPr/>
              <w:t> </w:t>
            </w:r>
          </w:p>
        </w:tc>
      </w:tr>
      <w:tr>
        <w:trPr/>
        <w:tc>
          <w:tcPr>
            <w:tcW w:w="4202"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33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141.07</w:t>
            </w:r>
          </w:p>
        </w:tc>
        <w:tc>
          <w:tcPr>
            <w:tcW w:w="39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111.97</w:t>
            </w:r>
          </w:p>
        </w:tc>
        <w:tc>
          <w:tcPr>
            <w:tcW w:w="29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granted certain employees performance-based options to purchase shares of common stock. These options are subject to performance-based milestone vesting. During the year ended December 31, 2025 and 2024, there were no shares that vested as a result of performance milestone achievements. No share-based compensation expense related to these performance-based options was recognized during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No RSA was granted during the year ended December 31, 2025. The Company granted 65,000 RSAs during the year ended December 31, 2024.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A summary of RSA activity for the years ended December 31,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1"/>
        <w:gridCol w:w="509"/>
        <w:gridCol w:w="67"/>
        <w:gridCol w:w="905"/>
        <w:gridCol w:w="155"/>
        <w:gridCol w:w="509"/>
        <w:gridCol w:w="462"/>
        <w:gridCol w:w="1482"/>
        <w:gridCol w:w="65"/>
      </w:tblGrid>
      <w:tr>
        <w:trPr/>
        <w:tc>
          <w:tcPr>
            <w:tcW w:w="3601"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w:t>
              <w:br/>
              <w:t>Fair Value</w:t>
            </w:r>
          </w:p>
        </w:tc>
        <w:tc>
          <w:tcPr>
            <w:tcW w:w="65" w:type="dxa"/>
            <w:tcBorders/>
            <w:vAlign w:val="bottom"/>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as of December 31, 2024</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164,174</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2.56</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(60,096</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2.52</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0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as of December 31, 2025</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104,078</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2.57</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unrecognized share-based compensation expense, net of estimated forfeitures, related to all unvested RSAs held by the Company’s directors is $0.2 million and the weighted average period over which that expense is expected to be recognized is 1.69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8"/>
        <w:gridCol w:w="368"/>
        <w:gridCol w:w="146"/>
        <w:gridCol w:w="635"/>
        <w:gridCol w:w="156"/>
        <w:gridCol w:w="368"/>
        <w:gridCol w:w="146"/>
        <w:gridCol w:w="635"/>
        <w:gridCol w:w="163"/>
      </w:tblGrid>
      <w:tr>
        <w:trPr/>
        <w:tc>
          <w:tcPr>
            <w:tcW w:w="513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 thousands)</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(3,528</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(3,057</w:t>
            </w:r>
          </w:p>
        </w:tc>
        <w:tc>
          <w:tcPr>
            <w:tcW w:w="163" w:type="dxa"/>
            <w:tcBorders/>
            <w:vAlign w:val="bottom"/>
          </w:tcPr>
          <w:p>
            <w:pPr>
              <w:pStyle w:val="TableContents"/>
              <w:bidi w:val="0"/>
              <w:spacing w:before="0" w:after="283"/>
              <w:jc w:val="left"/>
              <w:rPr/>
            </w:pPr>
            <w:r>
              <w:rPr/>
              <w:t>) </w:t>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net loss per share — basic and diluted (in thousands)</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3,181</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2,518</w:t>
            </w:r>
          </w:p>
        </w:tc>
        <w:tc>
          <w:tcPr>
            <w:tcW w:w="163" w:type="dxa"/>
            <w:tcBorders/>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(1.11</w:t>
            </w:r>
          </w:p>
        </w:tc>
        <w:tc>
          <w:tcPr>
            <w:tcW w:w="15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(1.21</w:t>
            </w:r>
          </w:p>
        </w:tc>
        <w:tc>
          <w:tcPr>
            <w:tcW w:w="163" w:type="dxa"/>
            <w:tcBorders/>
            <w:shd w:fill="CCEEFF" w:val="clear"/>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excludes potential shares of common stock related to Preferred Stock, stock options and RSAs from the calculation of diluted net loss per share since the inclusion of such shares would be anti-dilutive. The following table sets forth potential shares that were considered anti-dilutive for the years ended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6"/>
        <w:gridCol w:w="243"/>
        <w:gridCol w:w="84"/>
        <w:gridCol w:w="1129"/>
        <w:gridCol w:w="84"/>
        <w:gridCol w:w="272"/>
        <w:gridCol w:w="84"/>
        <w:gridCol w:w="1129"/>
        <w:gridCol w:w="64"/>
      </w:tblGrid>
      <w:tr>
        <w:trPr/>
        <w:tc>
          <w:tcPr>
            <w:tcW w:w="466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7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46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24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351,037</w:t>
            </w:r>
          </w:p>
        </w:tc>
        <w:tc>
          <w:tcPr>
            <w:tcW w:w="8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351,037</w:t>
            </w:r>
          </w:p>
        </w:tc>
        <w:tc>
          <w:tcPr>
            <w:tcW w:w="64" w:type="dxa"/>
            <w:tcBorders/>
            <w:shd w:fill="CCEEFF" w:val="clear"/>
            <w:vAlign w:val="bottom"/>
          </w:tcPr>
          <w:p>
            <w:pPr>
              <w:pStyle w:val="TableContents"/>
              <w:bidi w:val="0"/>
              <w:spacing w:before="0" w:after="283"/>
              <w:jc w:val="left"/>
              <w:rPr/>
            </w:pPr>
            <w:r>
              <w:rPr/>
              <w:t> </w:t>
            </w:r>
          </w:p>
        </w:tc>
      </w:tr>
      <w:tr>
        <w:trPr/>
        <w:tc>
          <w:tcPr>
            <w:tcW w:w="4666"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297,762</w:t>
            </w:r>
          </w:p>
        </w:tc>
        <w:tc>
          <w:tcPr>
            <w:tcW w:w="8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335,448</w:t>
            </w:r>
          </w:p>
        </w:tc>
        <w:tc>
          <w:tcPr>
            <w:tcW w:w="64" w:type="dxa"/>
            <w:tcBorders/>
            <w:vAlign w:val="bottom"/>
          </w:tcPr>
          <w:p>
            <w:pPr>
              <w:pStyle w:val="TableContents"/>
              <w:bidi w:val="0"/>
              <w:spacing w:before="0" w:after="283"/>
              <w:jc w:val="left"/>
              <w:rPr/>
            </w:pPr>
            <w:r>
              <w:rPr/>
              <w:t> </w:t>
            </w:r>
          </w:p>
        </w:tc>
      </w:tr>
      <w:tr>
        <w:trPr/>
        <w:tc>
          <w:tcPr>
            <w:tcW w:w="4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RSAs</w:t>
            </w:r>
          </w:p>
        </w:tc>
        <w:tc>
          <w:tcPr>
            <w:tcW w:w="24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104,078</w:t>
            </w:r>
          </w:p>
        </w:tc>
        <w:tc>
          <w:tcPr>
            <w:tcW w:w="8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164,174</w:t>
            </w:r>
          </w:p>
        </w:tc>
        <w:tc>
          <w:tcPr>
            <w:tcW w:w="64" w:type="dxa"/>
            <w:tcBorders/>
            <w:shd w:fill="CCEEFF" w:val="clear"/>
            <w:vAlign w:val="bottom"/>
          </w:tcPr>
          <w:p>
            <w:pPr>
              <w:pStyle w:val="TableContents"/>
              <w:bidi w:val="0"/>
              <w:spacing w:before="0" w:after="283"/>
              <w:jc w:val="left"/>
              <w:rPr/>
            </w:pPr>
            <w:r>
              <w:rPr/>
              <w:t> </w:t>
            </w:r>
          </w:p>
        </w:tc>
      </w:tr>
      <w:tr>
        <w:trPr/>
        <w:tc>
          <w:tcPr>
            <w:tcW w:w="466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66"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752,877</w:t>
            </w:r>
          </w:p>
        </w:tc>
        <w:tc>
          <w:tcPr>
            <w:tcW w:w="8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850,659</w:t>
            </w:r>
          </w:p>
        </w:tc>
        <w:tc>
          <w:tcPr>
            <w:tcW w:w="64" w:type="dxa"/>
            <w:tcBorders/>
            <w:vAlign w:val="bottom"/>
          </w:tcPr>
          <w:p>
            <w:pPr>
              <w:pStyle w:val="TableContents"/>
              <w:bidi w:val="0"/>
              <w:spacing w:before="0" w:after="283"/>
              <w:jc w:val="left"/>
              <w:rPr/>
            </w:pPr>
            <w:r>
              <w:rPr/>
              <w:t> </w:t>
            </w:r>
          </w:p>
        </w:tc>
      </w:tr>
      <w:tr>
        <w:trPr/>
        <w:tc>
          <w:tcPr>
            <w:tcW w:w="466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net income (loss) before income tax expense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72"/>
        <w:gridCol w:w="341"/>
        <w:gridCol w:w="209"/>
        <w:gridCol w:w="926"/>
        <w:gridCol w:w="226"/>
        <w:gridCol w:w="383"/>
        <w:gridCol w:w="209"/>
        <w:gridCol w:w="928"/>
        <w:gridCol w:w="161"/>
      </w:tblGrid>
      <w:tr>
        <w:trPr/>
        <w:tc>
          <w:tcPr>
            <w:tcW w:w="4372"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43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2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(3,528</w:t>
            </w:r>
          </w:p>
        </w:tc>
        <w:tc>
          <w:tcPr>
            <w:tcW w:w="22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(3,061</w:t>
            </w:r>
          </w:p>
        </w:tc>
        <w:tc>
          <w:tcPr>
            <w:tcW w:w="161"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w:t>
            </w:r>
          </w:p>
        </w:tc>
        <w:tc>
          <w:tcPr>
            <w:tcW w:w="161" w:type="dxa"/>
            <w:tcBorders/>
            <w:vAlign w:val="bottom"/>
          </w:tcPr>
          <w:p>
            <w:pPr>
              <w:pStyle w:val="TableContents"/>
              <w:bidi w:val="0"/>
              <w:spacing w:before="0" w:after="283"/>
              <w:jc w:val="left"/>
              <w:rPr/>
            </w:pPr>
            <w:r>
              <w:rPr/>
              <w:t> </w:t>
            </w:r>
          </w:p>
        </w:tc>
      </w:tr>
      <w:tr>
        <w:trPr/>
        <w:tc>
          <w:tcPr>
            <w:tcW w:w="437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(3,528</w:t>
            </w:r>
          </w:p>
        </w:tc>
        <w:tc>
          <w:tcPr>
            <w:tcW w:w="22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(3,058</w:t>
            </w:r>
          </w:p>
        </w:tc>
        <w:tc>
          <w:tcPr>
            <w:tcW w:w="161" w:type="dxa"/>
            <w:tcBorders/>
            <w:shd w:fill="CCEEFF" w:val="clear"/>
            <w:vAlign w:val="bottom"/>
          </w:tcPr>
          <w:p>
            <w:pPr>
              <w:pStyle w:val="TableContents"/>
              <w:bidi w:val="0"/>
              <w:spacing w:before="0" w:after="283"/>
              <w:jc w:val="left"/>
              <w:rPr/>
            </w:pPr>
            <w:r>
              <w:rPr/>
              <w:t>) </w:t>
            </w:r>
          </w:p>
        </w:tc>
      </w:tr>
      <w:tr>
        <w:trPr/>
        <w:tc>
          <w:tcPr>
            <w:tcW w:w="437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taxes computed using the U.S. federal statutory rate to that reflected in operations follows after adoption of ASU 2023-09 on a retrospective basis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77"/>
        <w:gridCol w:w="284"/>
        <w:gridCol w:w="155"/>
        <w:gridCol w:w="727"/>
        <w:gridCol w:w="155"/>
        <w:gridCol w:w="284"/>
        <w:gridCol w:w="83"/>
        <w:gridCol w:w="737"/>
        <w:gridCol w:w="275"/>
        <w:gridCol w:w="188"/>
        <w:gridCol w:w="155"/>
        <w:gridCol w:w="727"/>
        <w:gridCol w:w="154"/>
        <w:gridCol w:w="284"/>
        <w:gridCol w:w="83"/>
        <w:gridCol w:w="737"/>
        <w:gridCol w:w="283"/>
      </w:tblGrid>
      <w:tr>
        <w:trPr/>
        <w:tc>
          <w:tcPr>
            <w:tcW w:w="407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0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474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3" w:type="dxa"/>
            <w:tcBorders/>
            <w:vAlign w:val="bottom"/>
          </w:tcPr>
          <w:p>
            <w:pPr>
              <w:pStyle w:val="TableContents"/>
              <w:bidi w:val="0"/>
              <w:spacing w:before="0" w:after="283"/>
              <w:jc w:val="left"/>
              <w:rPr/>
            </w:pPr>
            <w:r>
              <w:rPr/>
              <w:t> </w:t>
            </w:r>
          </w:p>
        </w:tc>
      </w:tr>
      <w:tr>
        <w:trPr/>
        <w:tc>
          <w:tcPr>
            <w:tcW w:w="40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41" w:type="dxa"/>
            <w:gridSpan w:val="6"/>
            <w:tcBorders/>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0" w:type="dxa"/>
            <w:gridSpan w:val="6"/>
            <w:tcBorders/>
            <w:vAlign w:val="bottom"/>
          </w:tcPr>
          <w:p>
            <w:pPr>
              <w:pStyle w:val="TableContents"/>
              <w:bidi w:val="0"/>
              <w:spacing w:before="0" w:after="283"/>
              <w:jc w:val="center"/>
              <w:rPr>
                <w:b/>
              </w:rPr>
            </w:pPr>
            <w:r>
              <w:rPr>
                <w:b/>
              </w:rPr>
              <w:t>2024</w:t>
            </w:r>
          </w:p>
        </w:tc>
        <w:tc>
          <w:tcPr>
            <w:tcW w:w="283" w:type="dxa"/>
            <w:tcBorders/>
            <w:vAlign w:val="bottom"/>
          </w:tcPr>
          <w:p>
            <w:pPr>
              <w:pStyle w:val="TableContents"/>
              <w:bidi w:val="0"/>
              <w:spacing w:before="0" w:after="283"/>
              <w:jc w:val="left"/>
              <w:rPr/>
            </w:pPr>
            <w:r>
              <w:rPr/>
              <w:t> </w:t>
            </w:r>
          </w:p>
        </w:tc>
      </w:tr>
      <w:tr>
        <w:trPr/>
        <w:tc>
          <w:tcPr>
            <w:tcW w:w="40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3"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loss</w:t>
            </w:r>
          </w:p>
        </w:tc>
        <w:tc>
          <w:tcPr>
            <w:tcW w:w="28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(3,528</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(3,058</w:t>
            </w:r>
          </w:p>
        </w:tc>
        <w:tc>
          <w:tcPr>
            <w:tcW w:w="15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8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21.0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(642</w:t>
            </w:r>
          </w:p>
        </w:tc>
        <w:tc>
          <w:tcPr>
            <w:tcW w:w="15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21.0</w:t>
            </w:r>
          </w:p>
        </w:tc>
        <w:tc>
          <w:tcPr>
            <w:tcW w:w="283"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8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0.0</w:t>
            </w:r>
          </w:p>
        </w:tc>
        <w:tc>
          <w:tcPr>
            <w:tcW w:w="283"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items</w:t>
            </w:r>
          </w:p>
        </w:tc>
        <w:tc>
          <w:tcPr>
            <w:tcW w:w="28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571</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-16.2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88</w:t>
            </w:r>
          </w:p>
        </w:tc>
        <w:tc>
          <w:tcPr>
            <w:tcW w:w="15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-2.9</w:t>
            </w:r>
          </w:p>
        </w:tc>
        <w:tc>
          <w:tcPr>
            <w:tcW w:w="283"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8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0.4</w:t>
            </w:r>
          </w:p>
        </w:tc>
        <w:tc>
          <w:tcPr>
            <w:tcW w:w="283" w:type="dxa"/>
            <w:tcBorders/>
            <w:shd w:fill="CCEEFF" w:val="clear"/>
            <w:vAlign w:val="bottom"/>
          </w:tcPr>
          <w:p>
            <w:pPr>
              <w:pStyle w:val="TableContents"/>
              <w:bidi w:val="0"/>
              <w:spacing w:before="0" w:after="283"/>
              <w:jc w:val="left"/>
              <w:rPr/>
            </w:pPr>
            <w:r>
              <w:rPr/>
              <w:t>%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8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566</w:t>
            </w:r>
          </w:p>
        </w:tc>
        <w:tc>
          <w:tcPr>
            <w:tcW w:w="15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-18.5</w:t>
            </w:r>
          </w:p>
        </w:tc>
        <w:tc>
          <w:tcPr>
            <w:tcW w:w="283" w:type="dxa"/>
            <w:tcBorders/>
            <w:vAlign w:val="bottom"/>
          </w:tcPr>
          <w:p>
            <w:pPr>
              <w:pStyle w:val="TableContents"/>
              <w:bidi w:val="0"/>
              <w:spacing w:before="0" w:after="283"/>
              <w:jc w:val="left"/>
              <w:rPr/>
            </w:pPr>
            <w:r>
              <w:rPr/>
              <w:t>% </w:t>
            </w:r>
          </w:p>
        </w:tc>
      </w:tr>
      <w:tr>
        <w:trPr/>
        <w:tc>
          <w:tcPr>
            <w:tcW w:w="407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0.0</w:t>
            </w:r>
          </w:p>
        </w:tc>
        <w:tc>
          <w:tcPr>
            <w:tcW w:w="283" w:type="dxa"/>
            <w:tcBorders/>
            <w:shd w:fill="CCEEFF" w:val="clear"/>
            <w:vAlign w:val="bottom"/>
          </w:tcPr>
          <w:p>
            <w:pPr>
              <w:pStyle w:val="TableContents"/>
              <w:bidi w:val="0"/>
              <w:spacing w:before="0" w:after="283"/>
              <w:jc w:val="left"/>
              <w:rPr/>
            </w:pPr>
            <w:r>
              <w:rPr/>
              <w:t>% </w:t>
            </w:r>
          </w:p>
        </w:tc>
      </w:tr>
      <w:tr>
        <w:trPr/>
        <w:tc>
          <w:tcPr>
            <w:tcW w:w="407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37"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effective tax rate differs from the statutory rate primarily due to continued losses and the maintenance of a full valuation allowance on deferred tax assets, resulting in zero income tax expense for the period.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(liabilities) consist of the following as of December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2"/>
        <w:gridCol w:w="374"/>
        <w:gridCol w:w="185"/>
        <w:gridCol w:w="983"/>
        <w:gridCol w:w="200"/>
        <w:gridCol w:w="400"/>
        <w:gridCol w:w="185"/>
        <w:gridCol w:w="986"/>
        <w:gridCol w:w="160"/>
      </w:tblGrid>
      <w:tr>
        <w:trPr/>
        <w:tc>
          <w:tcPr>
            <w:tcW w:w="4282"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2"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9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282"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57,618</w:t>
            </w:r>
          </w:p>
        </w:tc>
        <w:tc>
          <w:tcPr>
            <w:tcW w:w="2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53,281</w:t>
            </w:r>
          </w:p>
        </w:tc>
        <w:tc>
          <w:tcPr>
            <w:tcW w:w="160" w:type="dxa"/>
            <w:tcBorders/>
            <w:vAlign w:val="bottom"/>
          </w:tcPr>
          <w:p>
            <w:pPr>
              <w:pStyle w:val="TableContents"/>
              <w:bidi w:val="0"/>
              <w:spacing w:before="0" w:after="283"/>
              <w:jc w:val="left"/>
              <w:rPr/>
            </w:pPr>
            <w:r>
              <w:rPr/>
              <w:t> </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 carryforwards</w:t>
            </w:r>
          </w:p>
        </w:tc>
        <w:tc>
          <w:tcPr>
            <w:tcW w:w="3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10,385</w:t>
            </w:r>
          </w:p>
        </w:tc>
        <w:tc>
          <w:tcPr>
            <w:tcW w:w="2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10,383</w:t>
            </w:r>
          </w:p>
        </w:tc>
        <w:tc>
          <w:tcPr>
            <w:tcW w:w="160" w:type="dxa"/>
            <w:tcBorders/>
            <w:shd w:fill="CCEEFF" w:val="clear"/>
            <w:vAlign w:val="bottom"/>
          </w:tcPr>
          <w:p>
            <w:pPr>
              <w:pStyle w:val="TableContents"/>
              <w:bidi w:val="0"/>
              <w:spacing w:before="0" w:after="283"/>
              <w:jc w:val="left"/>
              <w:rPr/>
            </w:pPr>
            <w:r>
              <w:rPr/>
              <w:t> </w:t>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6,500</w:t>
            </w:r>
          </w:p>
        </w:tc>
        <w:tc>
          <w:tcPr>
            <w:tcW w:w="2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7,122</w:t>
            </w:r>
          </w:p>
        </w:tc>
        <w:tc>
          <w:tcPr>
            <w:tcW w:w="160" w:type="dxa"/>
            <w:tcBorders/>
            <w:vAlign w:val="bottom"/>
          </w:tcPr>
          <w:p>
            <w:pPr>
              <w:pStyle w:val="TableContents"/>
              <w:bidi w:val="0"/>
              <w:spacing w:before="0" w:after="283"/>
              <w:jc w:val="left"/>
              <w:rPr/>
            </w:pPr>
            <w:r>
              <w:rPr/>
              <w:t> </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3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8,867</w:t>
            </w:r>
          </w:p>
        </w:tc>
        <w:tc>
          <w:tcPr>
            <w:tcW w:w="2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12,370</w:t>
            </w:r>
          </w:p>
        </w:tc>
        <w:tc>
          <w:tcPr>
            <w:tcW w:w="160" w:type="dxa"/>
            <w:tcBorders/>
            <w:shd w:fill="CCEEFF" w:val="clear"/>
            <w:vAlign w:val="bottom"/>
          </w:tcPr>
          <w:p>
            <w:pPr>
              <w:pStyle w:val="TableContents"/>
              <w:bidi w:val="0"/>
              <w:spacing w:before="0" w:after="283"/>
              <w:jc w:val="left"/>
              <w:rPr/>
            </w:pPr>
            <w:r>
              <w:rPr/>
              <w:t> </w:t>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20</w:t>
            </w:r>
          </w:p>
        </w:tc>
        <w:tc>
          <w:tcPr>
            <w:tcW w:w="2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282"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3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83,390</w:t>
            </w:r>
          </w:p>
        </w:tc>
        <w:tc>
          <w:tcPr>
            <w:tcW w:w="2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83,156</w:t>
            </w:r>
          </w:p>
        </w:tc>
        <w:tc>
          <w:tcPr>
            <w:tcW w:w="160" w:type="dxa"/>
            <w:tcBorders/>
            <w:shd w:fill="CCEEFF" w:val="clear"/>
            <w:vAlign w:val="bottom"/>
          </w:tcPr>
          <w:p>
            <w:pPr>
              <w:pStyle w:val="TableContents"/>
              <w:bidi w:val="0"/>
              <w:spacing w:before="0" w:after="283"/>
              <w:jc w:val="left"/>
              <w:rPr/>
            </w:pPr>
            <w:r>
              <w:rPr/>
              <w:t> </w:t>
            </w:r>
          </w:p>
        </w:tc>
      </w:tr>
      <w:tr>
        <w:trPr/>
        <w:tc>
          <w:tcPr>
            <w:tcW w:w="4282"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82"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(83,390</w:t>
            </w:r>
          </w:p>
        </w:tc>
        <w:tc>
          <w:tcPr>
            <w:tcW w:w="2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(83,156</w:t>
            </w:r>
          </w:p>
        </w:tc>
        <w:tc>
          <w:tcPr>
            <w:tcW w:w="160" w:type="dxa"/>
            <w:tcBorders/>
            <w:vAlign w:val="bottom"/>
          </w:tcPr>
          <w:p>
            <w:pPr>
              <w:pStyle w:val="TableContents"/>
              <w:bidi w:val="0"/>
              <w:spacing w:before="0" w:after="283"/>
              <w:jc w:val="left"/>
              <w:rPr/>
            </w:pPr>
            <w:r>
              <w:rPr/>
              <w:t>) </w:t>
            </w:r>
          </w:p>
        </w:tc>
      </w:tr>
      <w:tr>
        <w:trPr/>
        <w:tc>
          <w:tcPr>
            <w:tcW w:w="4282"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3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282"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the possible realization of its deferred tax assets. Management has considered the Company’s history of operating losses,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2025 and December 31, 2024. Management reevaluates the positive and negative evidence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allowance increased by approximately $0.2 million during the year ended December 31, 2025 primarily due to increases in capitalized research and development expenses, net operating losses, tax credit carryforwards and deferred tax assets related to share-based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2025 and 2024, Cyclerion has federal net operating loss carryforwards of approximately $211 million and $195 million, respectively, to offset future federal taxable income that will be carried forward indefinitely until utilized. As of December 31, 2025 and 2024, Cyclerion had state net operating loss carryforwards of approximately $212 million and $196 million, respectively, to offset future state taxable income, which will begin to expire in 2039 and will continue to expire through 2045. Cyclerion also had tax credit carryforwards of approximately $10.8 million as of December 31, 2025, to offset future federal and state income taxes. Federal credits begin to expire in 2039 and will continue to expire through 2044. State credits begin to expire in 2034 and continue through 2039.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use its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if an adjustment is required, this adjustment would be offset by an adjustment to the valuation allowance. Thus, there would be no impact to the consolidated balance sheets or statements of operations if an adjustment were required. </w:t>
      </w:r>
    </w:p>
    <w:p>
      <w:pPr>
        <w:pStyle w:val="TextBody"/>
        <w:bidi w:val="0"/>
        <w:spacing w:before="240" w:after="0"/>
        <w:jc w:val="left"/>
        <w:rPr>
          <w:rFonts w:ascii="Times New Roman" w:hAnsi="Times New Roman"/>
          <w:sz w:val="20"/>
        </w:rPr>
      </w:pPr>
      <w:r>
        <w:rPr>
          <w:rFonts w:ascii="Times New Roman" w:hAnsi="Times New Roman"/>
          <w:sz w:val="20"/>
        </w:rPr>
        <w:t xml:space="preserve">Upon audit, taxing authorities may challenge all or part of an uncertain income tax position. While Cyclerion has no history of tax audits since its inception on a standalone basis, it may be subject to tax audits by federal and state taxing authorities in the future. Accordingly, Cyclerion regularly assesses the outcome of potential examinations in each of the taxing jurisdictions when determining the adequacy of the amount of unrecognized tax benefit recorded. Cyclerion had no unrecognized tax benefits as of December 31, 2025 and 2024. Cyclerion will recognize interest and penalties, if any, related to uncertain tax positions in income tax expense. As of December 31, 2025 and 2024, no interest or penalties have been accrued. There are no current federal or state income tax audits in progress. </w:t>
      </w:r>
    </w:p>
    <w:p>
      <w:pPr>
        <w:pStyle w:val="TextBody"/>
        <w:bidi w:val="0"/>
        <w:spacing w:before="360" w:after="0"/>
        <w:jc w:val="left"/>
        <w:rPr>
          <w:rFonts w:ascii="Times New Roman" w:hAnsi="Times New Roman"/>
          <w:b/>
          <w:sz w:val="20"/>
        </w:rPr>
      </w:pPr>
      <w:r>
        <w:rPr>
          <w:rFonts w:ascii="Times New Roman" w:hAnsi="Times New Roman"/>
          <w:b/>
          <w:sz w:val="20"/>
        </w:rPr>
        <w:t xml:space="preserve">10.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established a defined contribution 401(k) Savings Plan which allows eligible employees to contribute from 1% to 100% of their compensation, subject to certain IRS limits. The Company’s contributions to the plan are at the sole discretion of the board of directors. Currently, the Company provides a matching contribution of 75% of the employee’s contributions, up to $6,000 annually. </w:t>
      </w:r>
    </w:p>
    <w:p>
      <w:pPr>
        <w:pStyle w:val="TextBody"/>
        <w:bidi w:val="0"/>
        <w:spacing w:before="240" w:after="0"/>
        <w:jc w:val="left"/>
        <w:rPr>
          <w:rFonts w:ascii="Times New Roman" w:hAnsi="Times New Roman"/>
          <w:sz w:val="20"/>
        </w:rPr>
      </w:pPr>
      <w:r>
        <w:rPr>
          <w:rFonts w:ascii="Times New Roman" w:hAnsi="Times New Roman"/>
          <w:sz w:val="20"/>
        </w:rPr>
        <w:t xml:space="preserve">Included in compensation expense is de minimis related to the defined contribution 401(k) Savings Plan for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11. License and Option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Patent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research and development expense of $0.1 million for the year ended December 31, 2025, which consisted of upfront fees, patent reimbursement fees and transaction costs related to the license. </w:t>
      </w:r>
    </w:p>
    <w:p>
      <w:pPr>
        <w:pStyle w:val="TextBody"/>
        <w:bidi w:val="0"/>
        <w:spacing w:before="360" w:after="0"/>
        <w:jc w:val="left"/>
        <w:rPr>
          <w:rFonts w:ascii="Times New Roman" w:hAnsi="Times New Roman"/>
          <w:b/>
          <w:sz w:val="20"/>
        </w:rPr>
      </w:pPr>
      <w:r>
        <w:rPr>
          <w:rFonts w:ascii="Times New Roman" w:hAnsi="Times New Roman"/>
          <w:b/>
          <w:sz w:val="20"/>
        </w:rPr>
        <w:t xml:space="preserve">Akebia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up-front 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Akebia Material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The Company recognized revenue of $0.8 million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12.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6, 2026, the Company sold 405,000 shares of common stock under the Sales Agreement for net proceeds of approximately $0.8 million. The Company exhausted all sales under the 2025 Shelf.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bookmarkStart w:id="54" w:name="fin111069_6a"/>
      <w:bookmarkEnd w:id="54"/>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9"/>
        <w:gridCol w:w="489"/>
        <w:gridCol w:w="147"/>
        <w:gridCol w:w="925"/>
        <w:gridCol w:w="155"/>
        <w:gridCol w:w="441"/>
        <w:gridCol w:w="195"/>
        <w:gridCol w:w="1225"/>
        <w:gridCol w:w="159"/>
      </w:tblGrid>
      <w:tr>
        <w:trPr/>
        <w:tc>
          <w:tcPr>
            <w:tcW w:w="6469"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9"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2,823</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3,240</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1,000</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384</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3,089</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4,635</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5,350</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8,505</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9,985</w:t>
            </w:r>
          </w:p>
        </w:tc>
        <w:tc>
          <w:tcPr>
            <w:tcW w:w="159" w:type="dxa"/>
            <w:tcBorders/>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508</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198</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1,109</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194</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1,714</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900</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no par value, 100,000,000 shares authorized and 351,037 shares of Series A convertible preferred stock issued and outstanding at March 31, 2026 and December 31, 2025</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no par value, 400,000,000 shares authorized at March 31, 2026 and December 31, 2025; 4,330,314 and 3,925,314 shares issued at March 31, 2026 and December 31, 2025, respectively; 4,241,260 and 3,821,236 shares outstanding at March 31, 2026 and December 31, 2025, respectively</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280,988</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280,105</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(274,197</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(271,020</w:t>
            </w:r>
          </w:p>
        </w:tc>
        <w:tc>
          <w:tcPr>
            <w:tcW w:w="159" w:type="dxa"/>
            <w:tcBorders/>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6,791</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9,085</w:t>
            </w:r>
          </w:p>
        </w:tc>
        <w:tc>
          <w:tcPr>
            <w:tcW w:w="159" w:type="dxa"/>
            <w:tcBorders/>
            <w:shd w:fill="CCEEFF" w:val="clear"/>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8,505</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9,985</w:t>
            </w:r>
          </w:p>
        </w:tc>
        <w:tc>
          <w:tcPr>
            <w:tcW w:w="159" w:type="dxa"/>
            <w:tcBorders/>
            <w:vAlign w:val="bottom"/>
          </w:tcPr>
          <w:p>
            <w:pPr>
              <w:pStyle w:val="TableContents"/>
              <w:bidi w:val="0"/>
              <w:spacing w:before="0" w:after="283"/>
              <w:jc w:val="left"/>
              <w:rPr/>
            </w:pPr>
            <w:r>
              <w:rPr/>
              <w:t> </w:t>
            </w:r>
          </w:p>
        </w:tc>
      </w:tr>
      <w:tr>
        <w:trPr/>
        <w:tc>
          <w:tcPr>
            <w:tcW w:w="6469"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bookmarkStart w:id="55" w:name="fin111069_6b"/>
      <w:bookmarkEnd w:id="55"/>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78"/>
        <w:gridCol w:w="230"/>
        <w:gridCol w:w="140"/>
        <w:gridCol w:w="647"/>
        <w:gridCol w:w="159"/>
        <w:gridCol w:w="201"/>
        <w:gridCol w:w="140"/>
        <w:gridCol w:w="647"/>
        <w:gridCol w:w="163"/>
      </w:tblGrid>
      <w:tr>
        <w:trPr/>
        <w:tc>
          <w:tcPr>
            <w:tcW w:w="787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87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81</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81</w:t>
            </w:r>
          </w:p>
        </w:tc>
        <w:tc>
          <w:tcPr>
            <w:tcW w:w="163" w:type="dxa"/>
            <w:tcBorders/>
            <w:shd w:fill="CCEEFF" w:val="clear"/>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730</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36</w:t>
            </w:r>
          </w:p>
        </w:tc>
        <w:tc>
          <w:tcPr>
            <w:tcW w:w="163" w:type="dxa"/>
            <w:tcBorders/>
            <w:shd w:fill="CCEEFF" w:val="clear"/>
            <w:vAlign w:val="bottom"/>
          </w:tcPr>
          <w:p>
            <w:pPr>
              <w:pStyle w:val="TableContents"/>
              <w:bidi w:val="0"/>
              <w:spacing w:before="0" w:after="283"/>
              <w:jc w:val="left"/>
              <w:rPr/>
            </w:pPr>
            <w:r>
              <w:rPr/>
              <w:t> </w:t>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2,479</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1,502</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3,209</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1,538</w:t>
            </w:r>
          </w:p>
        </w:tc>
        <w:tc>
          <w:tcPr>
            <w:tcW w:w="163" w:type="dxa"/>
            <w:tcBorders/>
            <w:shd w:fill="CCEEFF" w:val="clear"/>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(3,209</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(1,457</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28</w:t>
            </w:r>
          </w:p>
        </w:tc>
        <w:tc>
          <w:tcPr>
            <w:tcW w:w="163" w:type="dxa"/>
            <w:tcBorders/>
            <w:shd w:fill="CCEEFF" w:val="clear"/>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(3,177</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(1,429</w:t>
            </w:r>
          </w:p>
        </w:tc>
        <w:tc>
          <w:tcPr>
            <w:tcW w:w="1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(0.76</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(0.56</w:t>
            </w:r>
          </w:p>
        </w:tc>
        <w:tc>
          <w:tcPr>
            <w:tcW w:w="163" w:type="dxa"/>
            <w:tcBorders/>
            <w:vAlign w:val="bottom"/>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shares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4,205</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2,556</w:t>
            </w:r>
          </w:p>
        </w:tc>
        <w:tc>
          <w:tcPr>
            <w:tcW w:w="1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bookmarkStart w:id="56" w:name="fin111069_6c"/>
      <w:bookmarkEnd w:id="56"/>
      <w:r>
        <w:rPr>
          <w:rFonts w:ascii="Times New Roman" w:hAnsi="Times New Roman"/>
          <w:b/>
          <w:sz w:val="20"/>
        </w:rPr>
        <w:t xml:space="preserve">Condensed Consolidated Statements of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1"/>
        <w:gridCol w:w="79"/>
        <w:gridCol w:w="60"/>
        <w:gridCol w:w="993"/>
        <w:gridCol w:w="60"/>
        <w:gridCol w:w="79"/>
        <w:gridCol w:w="232"/>
        <w:gridCol w:w="635"/>
        <w:gridCol w:w="60"/>
        <w:gridCol w:w="79"/>
        <w:gridCol w:w="60"/>
        <w:gridCol w:w="809"/>
        <w:gridCol w:w="60"/>
        <w:gridCol w:w="79"/>
        <w:gridCol w:w="231"/>
        <w:gridCol w:w="635"/>
        <w:gridCol w:w="60"/>
        <w:gridCol w:w="79"/>
        <w:gridCol w:w="140"/>
        <w:gridCol w:w="809"/>
        <w:gridCol w:w="60"/>
        <w:gridCol w:w="79"/>
        <w:gridCol w:w="188"/>
        <w:gridCol w:w="1197"/>
        <w:gridCol w:w="155"/>
        <w:gridCol w:w="79"/>
        <w:gridCol w:w="255"/>
        <w:gridCol w:w="1176"/>
        <w:gridCol w:w="166"/>
      </w:tblGrid>
      <w:tr>
        <w:trPr/>
        <w:tc>
          <w:tcPr>
            <w:tcW w:w="1611"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0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9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138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143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6" w:type="dxa"/>
            <w:vMerge w:val="restart"/>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9" w:type="dxa"/>
            <w:vMerge w:val="continue"/>
            <w:tcBorders/>
            <w:vAlign w:val="bottom"/>
          </w:tcPr>
          <w:p>
            <w:pPr>
              <w:pStyle w:val="Normal"/>
              <w:bidi w:val="0"/>
              <w:jc w:val="left"/>
              <w:rPr/>
            </w:pPr>
            <w:r>
              <w:rPr/>
            </w:r>
          </w:p>
        </w:tc>
        <w:tc>
          <w:tcPr>
            <w:tcW w:w="94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79" w:type="dxa"/>
            <w:vMerge w:val="continue"/>
            <w:tcBorders>
              <w:bottom w:val="single" w:sz="8" w:space="0" w:color="000000"/>
            </w:tcBorders>
            <w:tcMar>
              <w:bottom w:w="28" w:type="dxa"/>
            </w:tcMar>
            <w:vAlign w:val="bottom"/>
          </w:tcPr>
          <w:p>
            <w:pPr>
              <w:pStyle w:val="Normal"/>
              <w:bidi w:val="0"/>
              <w:jc w:val="left"/>
              <w:rPr/>
            </w:pPr>
            <w:r>
              <w:rPr/>
            </w:r>
          </w:p>
        </w:tc>
        <w:tc>
          <w:tcPr>
            <w:tcW w:w="138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9" w:type="dxa"/>
            <w:vMerge w:val="continue"/>
            <w:tcBorders/>
            <w:vAlign w:val="bottom"/>
          </w:tcPr>
          <w:p>
            <w:pPr>
              <w:pStyle w:val="Normal"/>
              <w:bidi w:val="0"/>
              <w:jc w:val="left"/>
              <w:rPr/>
            </w:pPr>
            <w:r>
              <w:rPr/>
            </w:r>
          </w:p>
        </w:tc>
        <w:tc>
          <w:tcPr>
            <w:tcW w:w="1431"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6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2,545,922</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276,342</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(267,492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8,850</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(1,429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(1,429</w:t>
            </w:r>
          </w:p>
        </w:tc>
        <w:tc>
          <w:tcPr>
            <w:tcW w:w="166" w:type="dxa"/>
            <w:tcBorders/>
            <w:vAlign w:val="bottom"/>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 private placement, net of issuance cost</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499,998</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1,245</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1,245</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15,024</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 related to issuance of stock options and restricted stock awards</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114</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114</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March 31, 2025</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3,060,944</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351,037</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277,701</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(268,921</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8,780</w:t>
            </w:r>
          </w:p>
        </w:tc>
        <w:tc>
          <w:tcPr>
            <w:tcW w:w="166"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rHeight w:val="240" w:hRule="atLeast"/>
        </w:trPr>
        <w:tc>
          <w:tcPr>
            <w:tcW w:w="1611" w:type="dxa"/>
            <w:tcBorders/>
            <w:vAlign w:val="center"/>
          </w:tcPr>
          <w:p>
            <w:pPr>
              <w:pStyle w:val="TableContents"/>
              <w:bidi w:val="0"/>
              <w:spacing w:before="0" w:after="283"/>
              <w:jc w:val="left"/>
              <w:rPr>
                <w:sz w:val="4"/>
                <w:szCs w:val="4"/>
              </w:rPr>
            </w:pPr>
            <w:r>
              <w:rPr>
                <w:sz w:val="4"/>
                <w:szCs w:val="4"/>
              </w:rPr>
            </w:r>
          </w:p>
        </w:tc>
        <w:tc>
          <w:tcPr>
            <w:tcW w:w="2198" w:type="dxa"/>
            <w:gridSpan w:val="8"/>
            <w:tcBorders/>
            <w:vAlign w:val="center"/>
          </w:tcPr>
          <w:p>
            <w:pPr>
              <w:pStyle w:val="TableContents"/>
              <w:bidi w:val="0"/>
              <w:spacing w:before="0" w:after="283"/>
              <w:jc w:val="left"/>
              <w:rPr>
                <w:sz w:val="4"/>
                <w:szCs w:val="4"/>
              </w:rPr>
            </w:pPr>
            <w:r>
              <w:rPr>
                <w:sz w:val="4"/>
                <w:szCs w:val="4"/>
              </w:rPr>
            </w:r>
          </w:p>
        </w:tc>
        <w:tc>
          <w:tcPr>
            <w:tcW w:w="2013" w:type="dxa"/>
            <w:gridSpan w:val="8"/>
            <w:tcBorders/>
            <w:vAlign w:val="center"/>
          </w:tcPr>
          <w:p>
            <w:pPr>
              <w:pStyle w:val="TableContents"/>
              <w:bidi w:val="0"/>
              <w:spacing w:before="0" w:after="283"/>
              <w:jc w:val="left"/>
              <w:rPr>
                <w:sz w:val="4"/>
                <w:szCs w:val="4"/>
              </w:rPr>
            </w:pPr>
            <w:r>
              <w:rPr>
                <w:sz w:val="4"/>
                <w:szCs w:val="4"/>
              </w:rPr>
            </w:r>
          </w:p>
        </w:tc>
        <w:tc>
          <w:tcPr>
            <w:tcW w:w="1088"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r>
      <w:tr>
        <w:trPr/>
        <w:tc>
          <w:tcPr>
            <w:tcW w:w="16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0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9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138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9" w:type="dxa"/>
            <w:vMerge w:val="restart"/>
            <w:tcBorders/>
            <w:vAlign w:val="bottom"/>
          </w:tcPr>
          <w:p>
            <w:pPr>
              <w:pStyle w:val="TableContents"/>
              <w:bidi w:val="0"/>
              <w:spacing w:before="0" w:after="283"/>
              <w:jc w:val="left"/>
              <w:rPr/>
            </w:pPr>
            <w:r>
              <w:rPr/>
              <w:t> </w:t>
            </w:r>
          </w:p>
        </w:tc>
        <w:tc>
          <w:tcPr>
            <w:tcW w:w="143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6" w:type="dxa"/>
            <w:vMerge w:val="restart"/>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9" w:type="dxa"/>
            <w:vMerge w:val="continue"/>
            <w:tcBorders/>
            <w:vAlign w:val="bottom"/>
          </w:tcPr>
          <w:p>
            <w:pPr>
              <w:pStyle w:val="Normal"/>
              <w:bidi w:val="0"/>
              <w:jc w:val="left"/>
              <w:rPr/>
            </w:pPr>
            <w:r>
              <w:rPr/>
            </w:r>
          </w:p>
        </w:tc>
        <w:tc>
          <w:tcPr>
            <w:tcW w:w="94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79" w:type="dxa"/>
            <w:vMerge w:val="continue"/>
            <w:tcBorders>
              <w:bottom w:val="single" w:sz="8" w:space="0" w:color="000000"/>
            </w:tcBorders>
            <w:tcMar>
              <w:bottom w:w="28" w:type="dxa"/>
            </w:tcMar>
            <w:vAlign w:val="bottom"/>
          </w:tcPr>
          <w:p>
            <w:pPr>
              <w:pStyle w:val="Normal"/>
              <w:bidi w:val="0"/>
              <w:jc w:val="left"/>
              <w:rPr/>
            </w:pPr>
            <w:r>
              <w:rPr/>
            </w:r>
          </w:p>
        </w:tc>
        <w:tc>
          <w:tcPr>
            <w:tcW w:w="138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9" w:type="dxa"/>
            <w:vMerge w:val="continue"/>
            <w:tcBorders/>
            <w:vAlign w:val="bottom"/>
          </w:tcPr>
          <w:p>
            <w:pPr>
              <w:pStyle w:val="Normal"/>
              <w:bidi w:val="0"/>
              <w:jc w:val="left"/>
              <w:rPr/>
            </w:pPr>
            <w:r>
              <w:rPr/>
            </w:r>
          </w:p>
        </w:tc>
        <w:tc>
          <w:tcPr>
            <w:tcW w:w="1431"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6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3,821,236</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280,105</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(271,020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9,085</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 ATM</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405,000</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825</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825</w:t>
            </w:r>
          </w:p>
        </w:tc>
        <w:tc>
          <w:tcPr>
            <w:tcW w:w="166" w:type="dxa"/>
            <w:tcBorders/>
            <w:vAlign w:val="bottom"/>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(3,177</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(3,177</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15,024</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 related to issuance of stock options and restricted stock awards</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58</w:t>
            </w:r>
          </w:p>
        </w:tc>
        <w:tc>
          <w:tcPr>
            <w:tcW w:w="166" w:type="dxa"/>
            <w:tcBorders/>
            <w:shd w:fill="CCEEFF" w:val="clear"/>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4,241,260</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351,037</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280,988</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(274,197</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6,791</w:t>
            </w:r>
          </w:p>
        </w:tc>
        <w:tc>
          <w:tcPr>
            <w:tcW w:w="166"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bookmarkStart w:id="57" w:name="fin111069_6d"/>
      <w:bookmarkEnd w:id="57"/>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9"/>
        <w:gridCol w:w="230"/>
        <w:gridCol w:w="140"/>
        <w:gridCol w:w="640"/>
        <w:gridCol w:w="155"/>
        <w:gridCol w:w="202"/>
        <w:gridCol w:w="140"/>
        <w:gridCol w:w="640"/>
        <w:gridCol w:w="159"/>
      </w:tblGrid>
      <w:tr>
        <w:trPr/>
        <w:tc>
          <w:tcPr>
            <w:tcW w:w="7899"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9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r>
          </w:p>
        </w:tc>
        <w:tc>
          <w:tcPr>
            <w:tcW w:w="159" w:type="dxa"/>
            <w:tcBorders/>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(3,177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(1,429</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114</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(25</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165</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93</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915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121</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(1,176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(968</w:t>
            </w:r>
          </w:p>
        </w:tc>
        <w:tc>
          <w:tcPr>
            <w:tcW w:w="159" w:type="dxa"/>
            <w:tcBorders/>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ATM</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1,375</w:t>
            </w:r>
          </w:p>
        </w:tc>
        <w:tc>
          <w:tcPr>
            <w:tcW w:w="159" w:type="dxa"/>
            <w:tcBorders/>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1,375</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(417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407</w:t>
            </w:r>
          </w:p>
        </w:tc>
        <w:tc>
          <w:tcPr>
            <w:tcW w:w="159" w:type="dxa"/>
            <w:tcBorders/>
            <w:vAlign w:val="bottom"/>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3,240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3,232</w:t>
            </w:r>
          </w:p>
        </w:tc>
        <w:tc>
          <w:tcPr>
            <w:tcW w:w="159" w:type="dxa"/>
            <w:tcBorders/>
            <w:shd w:fill="CCEEFF" w:val="clear"/>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2,823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3,639</w:t>
            </w:r>
          </w:p>
        </w:tc>
        <w:tc>
          <w:tcPr>
            <w:tcW w:w="159" w:type="dxa"/>
            <w:tcBorders/>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bookmarkStart w:id="58" w:name="fin111069_6e"/>
      <w:bookmarkEnd w:id="58"/>
      <w:r>
        <w:rPr>
          <w:rFonts w:ascii="Times New Roman" w:hAnsi="Times New Roman"/>
          <w:b/>
          <w:sz w:val="20"/>
        </w:rPr>
        <w:t xml:space="preserve">Notes to the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tax-free spin-off of their sGC business. Cyclerion has one employee as of March 31, 2026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historically focused on building a pipeline of innovative therapeutics to address serious neuropsychiatric disorders with significant unmet medical need. Prior to the proposed Merger, its strategic focus was centered on the development of a novel therapeutic approach for neuropsychiatric conditions, with the lead indication being treatment-resistant depression (“TRD”), which it believes represents a substantial clinical and commercial opportunity. Over the past year, the Company has refined our strategic direction toward programs that combine established pharmacologic agents with enabling technologies designed to improve precision, reproducibility, and patient outcomes. As part of this strategy, The Company has evaluated multiple opportunities and prioritized CYC-126, an 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Company entered into a license agreement with the Massachusetts Institute of Technology (“MIT”) for intellectual property supporting this TRD program. In January 2026, the Company also entered into a collaboration and option-to-license agreement with Medsteer SAS (“Medsteer”), a developer of anesthesia delivery and monitoring technologies. This agreement provides the Company with access to Medsteer’s technical expertise, data assets, and intellectual property relating to technology-enabled drug delivery and physiological monitoring, and grants the Company the right, but not the obligation, to obtain additional rights under specified conditions. The Company intends to evaluate these capabilities as part of our broader development strategy for our TRD program. Given the substantial unmet medical need in TRD, the stage of clinical development, and the potential commercial opportunity, the Company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the Company continues to evaluate opportunities related to potentially monetizing its legacy soluble guanylate cyclase (“sGC”) stimulator assets, including potential collaborations, monetization opportunities, or other strategic transactions intended to maximize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had re-negotiated a mutually beneficial amendment to their exclusive license agreement for praliciguat, a systemic sGC stimulator. Under this new license amendment, Cyclerion received $1.75 million in amendment payments, of which $1.25 million was paid in December 2024 and the remaining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amendment, upon initiation of a Phase 2 clinical trial in the U.S. for a product, a $1.0 million development milestone payment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mid-single-digits to twenty percent. Payment of these sums are reserved for Cyclerion stockholders under the “Cyclerion CVR Agreement”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360" w:after="0"/>
        <w:jc w:val="left"/>
        <w:rPr>
          <w:rFonts w:ascii="Times New Roman" w:hAnsi="Times New Roman"/>
          <w:b/>
          <w:sz w:val="20"/>
        </w:rPr>
      </w:pPr>
      <w:r>
        <w:rPr>
          <w:rFonts w:ascii="Times New Roman" w:hAnsi="Times New Roman"/>
          <w:b/>
          <w:sz w:val="20"/>
        </w:rPr>
        <w:t xml:space="preserve">2025 Equity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S-3 (the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sold 715,220 shares of its common stock for net proceeds of $2.1 million under the Sales Agreement, after deducting commissions paid to Guggenheim Securities of $0.1 million. During the three months ended March 31, 2026, the Company sold 405,000 shares of common stock under the Sales Agreement for net proceeds of approximately $0.8 million. The Company exhausted all sales under the 2025 Shelf.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a Plan of Merger and Reorganization (as amended, the “Merger Agreement”) with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anticipates that the Merger will close in the third quarter of 2026, subject to certain closing conditions, along with the concurrent Korsana Pre-Closing Financing described below. Following the Merger, the current business of Korsana will become the primary business of Cyclerion.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First Merger (the “First Effective Time”, and the date on which the closing of the Merger occurs, the “Closing Date”), upon the terms and subject to the conditions set forth in the Merger Agreement: (i) each then-outstanding share of common stock, $0.0001 par value per share, of Korsana (the “Korsana Common Stock”) and Series A Preferred Stock, $0.0001 par value per share of Korsana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merger, Cyclerion will enter into a Contingent Value Rights Agreement (the “CVR Agreement”) with a designated rights agent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and the related disclosures are unaudited and have been prepared in accordance with accounting principles generally accepted in the U.S. Additionally,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10-K for the fiscal year ended December 31, 2025, which was filed with the SEC on March 30, 2026.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include the financial statements of the Company and its wholly owned subsidiaries, Cyclerion Securities Corporation, Cyclerion Australia Pty Ltd., Cariboos Merger Sub Corp. and Cariboos Merger Sub II, LLC. All significant intercompany accounts and transactions have been eliminated in the preparation of the accompanying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condensed consolidated financial statements are issued. In performing its analysis, management excluded certain elements of its operating plan that cannot be considered probable. Under ASC 205-40, the future receipt of potential funding from future partnerships, license payments, equity or debt issuances, certain cost reduction measures and the achievement of potential milestone payments from Akebia cannot be considered probable at this time because these plans are not entirely within the Company’s control and/or have not been approved by the Board of Directors as of the date of these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and cash equivalents as of March 31, 2026, will be sufficient to fund operations into the third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future operations are highly dependent on the success of the Merger and there can be no assurances that the Merger will be successfully consummated. If the Merger is not consummated, the Company believes that its cash and cash equivalents as of March 31, 2026 would be adequate to fund its operating expenses into the third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of the Company are set forth in Note 2. </w:t>
      </w:r>
      <w:r>
        <w:rPr>
          <w:rFonts w:ascii="Times New Roman" w:hAnsi="Times New Roman"/>
          <w:i/>
          <w:sz w:val="20"/>
        </w:rPr>
        <w:t>Summary of Significant Accounting Policies</w:t>
      </w:r>
      <w:r>
        <w:rPr>
          <w:rFonts w:ascii="Times New Roman" w:hAnsi="Times New Roman"/>
          <w:sz w:val="20"/>
        </w:rPr>
        <w:t xml:space="preserve"> to the consolidated financial statements contained in the Company’s Annual Report on Form 10-K for the fiscal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interim condensed consolidated financial statements, the Company did not adopt any new accounting pronouncements during the three months ended March 31, 2026 that had a material effect on its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condensed consolidated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March 31, 2026 and December 31,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43"/>
        <w:gridCol w:w="262"/>
        <w:gridCol w:w="253"/>
        <w:gridCol w:w="1014"/>
        <w:gridCol w:w="103"/>
        <w:gridCol w:w="378"/>
        <w:gridCol w:w="253"/>
        <w:gridCol w:w="659"/>
        <w:gridCol w:w="103"/>
        <w:gridCol w:w="378"/>
        <w:gridCol w:w="252"/>
        <w:gridCol w:w="659"/>
        <w:gridCol w:w="103"/>
        <w:gridCol w:w="378"/>
        <w:gridCol w:w="253"/>
        <w:gridCol w:w="1028"/>
        <w:gridCol w:w="69"/>
      </w:tblGrid>
      <w:tr>
        <w:trPr/>
        <w:tc>
          <w:tcPr>
            <w:tcW w:w="3243"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2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81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 March 31, 2026:</w:t>
            </w:r>
          </w:p>
        </w:tc>
        <w:tc>
          <w:tcPr>
            <w:tcW w:w="69" w:type="dxa"/>
            <w:tcBorders/>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3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24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2,610</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2,610</w:t>
            </w:r>
          </w:p>
        </w:tc>
        <w:tc>
          <w:tcPr>
            <w:tcW w:w="69" w:type="dxa"/>
            <w:tcBorders/>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2,610</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2,610</w:t>
            </w:r>
          </w:p>
        </w:tc>
        <w:tc>
          <w:tcPr>
            <w:tcW w:w="69" w:type="dxa"/>
            <w:tcBorders/>
            <w:shd w:fill="CCEEFF" w:val="clear"/>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3243" w:type="dxa"/>
            <w:tcBorders/>
            <w:vAlign w:val="center"/>
          </w:tcPr>
          <w:p>
            <w:pPr>
              <w:pStyle w:val="TableContents"/>
              <w:bidi w:val="0"/>
              <w:spacing w:before="0" w:after="283"/>
              <w:jc w:val="left"/>
              <w:rPr>
                <w:sz w:val="4"/>
                <w:szCs w:val="4"/>
              </w:rPr>
            </w:pPr>
            <w:r>
              <w:rPr>
                <w:sz w:val="4"/>
                <w:szCs w:val="4"/>
              </w:rPr>
            </w:r>
          </w:p>
        </w:tc>
        <w:tc>
          <w:tcPr>
            <w:tcW w:w="6145" w:type="dxa"/>
            <w:gridSpan w:val="16"/>
            <w:tcBorders/>
            <w:vAlign w:val="center"/>
          </w:tcPr>
          <w:p>
            <w:pPr>
              <w:pStyle w:val="TableContents"/>
              <w:bidi w:val="0"/>
              <w:spacing w:before="0" w:after="283"/>
              <w:jc w:val="left"/>
              <w:rPr>
                <w:sz w:val="4"/>
                <w:szCs w:val="4"/>
              </w:rPr>
            </w:pPr>
            <w:r>
              <w:rPr>
                <w:sz w:val="4"/>
                <w:szCs w:val="4"/>
              </w:rPr>
            </w:r>
          </w:p>
        </w:tc>
      </w:tr>
      <w:tr>
        <w:trPr/>
        <w:tc>
          <w:tcPr>
            <w:tcW w:w="32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81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 December 31, 2025:</w:t>
            </w:r>
          </w:p>
        </w:tc>
        <w:tc>
          <w:tcPr>
            <w:tcW w:w="69" w:type="dxa"/>
            <w:tcBorders/>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3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24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3,072</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3,072</w:t>
            </w:r>
          </w:p>
        </w:tc>
        <w:tc>
          <w:tcPr>
            <w:tcW w:w="69" w:type="dxa"/>
            <w:tcBorders/>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3,072</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3,072</w:t>
            </w:r>
          </w:p>
        </w:tc>
        <w:tc>
          <w:tcPr>
            <w:tcW w:w="69" w:type="dxa"/>
            <w:tcBorders/>
            <w:shd w:fill="CCEEFF" w:val="clear"/>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2025, there were no transfers between levels. The fair value of the Company’s cash equivalents, consisting of money market funds, is based on quoted market prices in active markets with no valuation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spacing w:before="360" w:after="0"/>
        <w:jc w:val="left"/>
        <w:rPr>
          <w:rFonts w:ascii="Times New Roman" w:hAnsi="Times New Roman"/>
          <w:b/>
          <w:sz w:val="20"/>
        </w:rPr>
      </w:pPr>
      <w:r>
        <w:rPr>
          <w:rFonts w:ascii="Times New Roman" w:hAnsi="Times New Roman"/>
          <w:b/>
          <w:sz w:val="20"/>
        </w:rPr>
        <w:t xml:space="preserve">4. Other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March 31, 2026, no impairment loss was recognized. The Company considers the cost of the investment to be the maximum exposure to loss as a result of its involvement with the non-affiliated entity. </w:t>
      </w:r>
    </w:p>
    <w:p>
      <w:pPr>
        <w:pStyle w:val="TextBody"/>
        <w:bidi w:val="0"/>
        <w:spacing w:before="360" w:after="0"/>
        <w:jc w:val="left"/>
        <w:rPr>
          <w:rFonts w:ascii="Times New Roman" w:hAnsi="Times New Roman"/>
          <w:b/>
          <w:sz w:val="20"/>
        </w:rPr>
      </w:pPr>
      <w:r>
        <w:rPr>
          <w:rFonts w:ascii="Times New Roman" w:hAnsi="Times New Roman"/>
          <w:b/>
          <w:sz w:val="20"/>
        </w:rPr>
        <w:t xml:space="preserve">5.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4"/>
        <w:gridCol w:w="534"/>
        <w:gridCol w:w="214"/>
        <w:gridCol w:w="892"/>
        <w:gridCol w:w="60"/>
        <w:gridCol w:w="534"/>
        <w:gridCol w:w="382"/>
        <w:gridCol w:w="1052"/>
        <w:gridCol w:w="63"/>
      </w:tblGrid>
      <w:tr>
        <w:trPr/>
        <w:tc>
          <w:tcPr>
            <w:tcW w:w="4024" w:type="dxa"/>
            <w:tcBorders/>
            <w:vAlign w:val="center"/>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24"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53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984</w:t>
            </w:r>
          </w:p>
        </w:tc>
        <w:tc>
          <w:tcPr>
            <w:tcW w:w="6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143</w:t>
            </w:r>
          </w:p>
        </w:tc>
        <w:tc>
          <w:tcPr>
            <w:tcW w:w="63" w:type="dxa"/>
            <w:tcBorders/>
            <w:shd w:fill="CCEEFF" w:val="clear"/>
            <w:vAlign w:val="bottom"/>
          </w:tcPr>
          <w:p>
            <w:pPr>
              <w:pStyle w:val="TableContents"/>
              <w:bidi w:val="0"/>
              <w:spacing w:before="0" w:after="283"/>
              <w:jc w:val="left"/>
              <w:rPr/>
            </w:pPr>
            <w:r>
              <w:rPr/>
              <w:t> </w:t>
            </w:r>
          </w:p>
        </w:tc>
      </w:tr>
      <w:tr>
        <w:trPr/>
        <w:tc>
          <w:tcPr>
            <w:tcW w:w="4024"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5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3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38</w:t>
            </w:r>
          </w:p>
        </w:tc>
        <w:tc>
          <w:tcPr>
            <w:tcW w:w="63" w:type="dxa"/>
            <w:tcBorders/>
            <w:shd w:fill="CCEEFF" w:val="clear"/>
            <w:vAlign w:val="bottom"/>
          </w:tcPr>
          <w:p>
            <w:pPr>
              <w:pStyle w:val="TableContents"/>
              <w:bidi w:val="0"/>
              <w:spacing w:before="0" w:after="283"/>
              <w:jc w:val="left"/>
              <w:rPr/>
            </w:pPr>
            <w:r>
              <w:rPr/>
              <w:t> </w:t>
            </w:r>
          </w:p>
        </w:tc>
      </w:tr>
      <w:tr>
        <w:trPr/>
        <w:tc>
          <w:tcPr>
            <w:tcW w:w="4024" w:type="dxa"/>
            <w:tcBorders/>
            <w:vAlign w:val="bottom"/>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2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1,109</w:t>
            </w:r>
          </w:p>
        </w:tc>
        <w:tc>
          <w:tcPr>
            <w:tcW w:w="6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4024" w:type="dxa"/>
            <w:tcBorders/>
            <w:vAlign w:val="bottom"/>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Other Funding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enters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Obligations </w:t>
      </w:r>
    </w:p>
    <w:p>
      <w:pPr>
        <w:pStyle w:val="TextBody"/>
        <w:bidi w:val="0"/>
        <w:spacing w:before="120" w:after="0"/>
        <w:jc w:val="left"/>
        <w:rPr>
          <w:rFonts w:ascii="Times New Roman" w:hAnsi="Times New Roman"/>
          <w:sz w:val="20"/>
        </w:rPr>
      </w:pPr>
      <w:r>
        <w:rPr>
          <w:rFonts w:ascii="Times New Roman" w:hAnsi="Times New Roman"/>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certain agreements with other parties in the ordinary course of business that contain indemnification provisions. These typically include agreements with directors and officers,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March 31, 2026 and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7. Share-based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share-based compensation reflected in the Company’s condensed consolidated statements of operations and comprehensive loss for the three months ended March 31, 2026 and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09"/>
        <w:gridCol w:w="342"/>
        <w:gridCol w:w="230"/>
        <w:gridCol w:w="629"/>
        <w:gridCol w:w="98"/>
        <w:gridCol w:w="720"/>
        <w:gridCol w:w="230"/>
        <w:gridCol w:w="633"/>
        <w:gridCol w:w="64"/>
      </w:tblGrid>
      <w:tr>
        <w:trPr/>
        <w:tc>
          <w:tcPr>
            <w:tcW w:w="4809"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0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5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480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4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4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12</w:t>
            </w:r>
          </w:p>
        </w:tc>
        <w:tc>
          <w:tcPr>
            <w:tcW w:w="64" w:type="dxa"/>
            <w:tcBorders/>
            <w:shd w:fill="CCEEFF" w:val="clear"/>
            <w:vAlign w:val="bottom"/>
          </w:tcPr>
          <w:p>
            <w:pPr>
              <w:pStyle w:val="TableContents"/>
              <w:bidi w:val="0"/>
              <w:spacing w:before="0" w:after="283"/>
              <w:jc w:val="left"/>
              <w:rPr/>
            </w:pPr>
            <w:r>
              <w:rPr/>
              <w:t> </w:t>
            </w:r>
          </w:p>
        </w:tc>
      </w:tr>
      <w:tr>
        <w:trPr/>
        <w:tc>
          <w:tcPr>
            <w:tcW w:w="480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4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58</w:t>
            </w:r>
          </w:p>
        </w:tc>
        <w:tc>
          <w:tcPr>
            <w:tcW w:w="9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4809"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63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09" w:type="dxa"/>
            <w:tcBorders/>
            <w:shd w:fill="CCEEFF" w:val="clear"/>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58</w:t>
            </w:r>
          </w:p>
        </w:tc>
        <w:tc>
          <w:tcPr>
            <w:tcW w:w="98"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114</w:t>
            </w:r>
          </w:p>
        </w:tc>
        <w:tc>
          <w:tcPr>
            <w:tcW w:w="64" w:type="dxa"/>
            <w:tcBorders/>
            <w:shd w:fill="CCEEFF" w:val="clear"/>
            <w:vAlign w:val="bottom"/>
          </w:tcPr>
          <w:p>
            <w:pPr>
              <w:pStyle w:val="TableContents"/>
              <w:bidi w:val="0"/>
              <w:spacing w:before="0" w:after="283"/>
              <w:jc w:val="left"/>
              <w:rPr/>
            </w:pPr>
            <w:r>
              <w:rPr/>
              <w:t> </w:t>
            </w:r>
          </w:p>
        </w:tc>
      </w:tr>
      <w:tr>
        <w:trPr/>
        <w:tc>
          <w:tcPr>
            <w:tcW w:w="4809"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63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stock option activity for the three months ended March 31, 2026,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92"/>
        <w:gridCol w:w="341"/>
        <w:gridCol w:w="74"/>
        <w:gridCol w:w="1018"/>
        <w:gridCol w:w="155"/>
        <w:gridCol w:w="341"/>
        <w:gridCol w:w="169"/>
        <w:gridCol w:w="832"/>
        <w:gridCol w:w="60"/>
        <w:gridCol w:w="341"/>
        <w:gridCol w:w="209"/>
        <w:gridCol w:w="1122"/>
        <w:gridCol w:w="59"/>
        <w:gridCol w:w="341"/>
        <w:gridCol w:w="284"/>
        <w:gridCol w:w="784"/>
        <w:gridCol w:w="66"/>
      </w:tblGrid>
      <w:tr>
        <w:trPr/>
        <w:tc>
          <w:tcPr>
            <w:tcW w:w="3192"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9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Options</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Intrinsic</w:t>
              <w:br/>
              <w:t>Value (in</w:t>
              <w:br/>
              <w:t>thousands)</w:t>
            </w:r>
          </w:p>
        </w:tc>
        <w:tc>
          <w:tcPr>
            <w:tcW w:w="66" w:type="dxa"/>
            <w:tcBorders/>
            <w:vAlign w:val="bottom"/>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2025</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297,762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149.73</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4.9</w:t>
            </w:r>
          </w:p>
        </w:tc>
        <w:tc>
          <w:tcPr>
            <w:tcW w:w="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(17,355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203.65</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2026</w:t>
            </w:r>
          </w:p>
        </w:tc>
        <w:tc>
          <w:tcPr>
            <w:tcW w:w="341"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280,407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146.39</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4.9</w:t>
            </w:r>
          </w:p>
        </w:tc>
        <w:tc>
          <w:tcPr>
            <w:tcW w:w="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March 31, 2026</w:t>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220,760</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181.20</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4.2</w:t>
            </w:r>
          </w:p>
        </w:tc>
        <w:tc>
          <w:tcPr>
            <w:tcW w:w="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19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options exercised during the three months ended March 31, 2026 and 2025. As of March 31, 2026, the unrecognized share-based compensation expense, net of estimated forfeitures, related to all unvested time-based stock options is $0.1 million and the weighted average period over which that expense is expected to be recognized is 2.86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granted certain former employees performance-based options to purchase shares of common stock. These options are subject to performance-based milestone vesting. During the three months ended March 31, 2026 and 2025, there were no shares that vested as a result of performance milestone achievements. No share-based compensation expense related to these performance-based options was recognized during the three months ended March 31,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No RSA was granted during the three months ended March 31, 2026 and 2025.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z w:val="20"/>
        </w:rPr>
      </w:pPr>
      <w:r>
        <w:rPr>
          <w:rFonts w:ascii="Times New Roman" w:hAnsi="Times New Roman"/>
          <w:sz w:val="20"/>
        </w:rPr>
        <w:t>A summary of RSA activity for the three months ended March 31, 2026 is as follows:</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1"/>
        <w:gridCol w:w="509"/>
        <w:gridCol w:w="67"/>
        <w:gridCol w:w="905"/>
        <w:gridCol w:w="155"/>
        <w:gridCol w:w="509"/>
        <w:gridCol w:w="462"/>
        <w:gridCol w:w="1482"/>
        <w:gridCol w:w="65"/>
      </w:tblGrid>
      <w:tr>
        <w:trPr/>
        <w:tc>
          <w:tcPr>
            <w:tcW w:w="3601"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w:t>
              <w:br/>
              <w:t>Fair Value</w:t>
            </w:r>
          </w:p>
        </w:tc>
        <w:tc>
          <w:tcPr>
            <w:tcW w:w="65" w:type="dxa"/>
            <w:tcBorders/>
            <w:vAlign w:val="bottom"/>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as of December 31, 2025</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104,078</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2.57</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(15,024</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2.52</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0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as of March 31, 2026</w:t>
            </w:r>
          </w:p>
        </w:tc>
        <w:tc>
          <w:tcPr>
            <w:tcW w:w="50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89,054</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2.59</w:t>
            </w:r>
          </w:p>
        </w:tc>
        <w:tc>
          <w:tcPr>
            <w:tcW w:w="65" w:type="dxa"/>
            <w:tcBorders/>
            <w:shd w:fill="CCEEFF" w:val="clear"/>
            <w:vAlign w:val="bottom"/>
          </w:tcPr>
          <w:p>
            <w:pPr>
              <w:pStyle w:val="TableContents"/>
              <w:bidi w:val="0"/>
              <w:spacing w:before="0" w:after="283"/>
              <w:jc w:val="left"/>
              <w:rPr/>
            </w:pPr>
            <w:r>
              <w:rPr/>
              <w:t> </w:t>
            </w:r>
          </w:p>
        </w:tc>
      </w:tr>
      <w:tr>
        <w:trPr/>
        <w:tc>
          <w:tcPr>
            <w:tcW w:w="360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unrecognized share-based compensation expense, net of estimated forfeitures, related to all unvested RSAs is $0.2 million and the weighted average period over which that expense is expected to be recognized is 1.45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9"/>
        <w:gridCol w:w="368"/>
        <w:gridCol w:w="146"/>
        <w:gridCol w:w="635"/>
        <w:gridCol w:w="156"/>
        <w:gridCol w:w="368"/>
        <w:gridCol w:w="146"/>
        <w:gridCol w:w="635"/>
        <w:gridCol w:w="162"/>
      </w:tblGrid>
      <w:tr>
        <w:trPr/>
        <w:tc>
          <w:tcPr>
            <w:tcW w:w="5139"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39"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2" w:type="dxa"/>
            <w:tcBorders/>
            <w:vAlign w:val="bottom"/>
          </w:tcPr>
          <w:p>
            <w:pPr>
              <w:pStyle w:val="TableContents"/>
              <w:bidi w:val="0"/>
              <w:spacing w:before="0" w:after="283"/>
              <w:jc w:val="left"/>
              <w:rPr/>
            </w:pPr>
            <w:r>
              <w:rPr/>
              <w:t> </w:t>
            </w:r>
          </w:p>
        </w:tc>
      </w:tr>
      <w:tr>
        <w:trPr/>
        <w:tc>
          <w:tcPr>
            <w:tcW w:w="5139"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 thousands)</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(3,177</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(1,429</w:t>
            </w:r>
          </w:p>
        </w:tc>
        <w:tc>
          <w:tcPr>
            <w:tcW w:w="162" w:type="dxa"/>
            <w:tcBorders/>
            <w:vAlign w:val="bottom"/>
          </w:tcPr>
          <w:p>
            <w:pPr>
              <w:pStyle w:val="TableContents"/>
              <w:bidi w:val="0"/>
              <w:spacing w:before="0" w:after="283"/>
              <w:jc w:val="left"/>
              <w:rPr/>
            </w:pPr>
            <w:r>
              <w:rPr/>
              <w:t>) </w:t>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net loss per share — basic and diluted (in thousands)</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4,205</w:t>
            </w:r>
          </w:p>
        </w:tc>
        <w:tc>
          <w:tcPr>
            <w:tcW w:w="15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2,556</w:t>
            </w:r>
          </w:p>
        </w:tc>
        <w:tc>
          <w:tcPr>
            <w:tcW w:w="162" w:type="dxa"/>
            <w:tcBorders/>
            <w:vAlign w:val="bottom"/>
          </w:tcPr>
          <w:p>
            <w:pPr>
              <w:pStyle w:val="TableContents"/>
              <w:bidi w:val="0"/>
              <w:spacing w:before="0" w:after="283"/>
              <w:jc w:val="left"/>
              <w:rPr/>
            </w:pPr>
            <w:r>
              <w:rPr/>
              <w:t> </w:t>
            </w:r>
          </w:p>
        </w:tc>
      </w:tr>
      <w:tr>
        <w:trPr/>
        <w:tc>
          <w:tcPr>
            <w:tcW w:w="5139"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(0.76</w:t>
            </w:r>
          </w:p>
        </w:tc>
        <w:tc>
          <w:tcPr>
            <w:tcW w:w="156"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(0.56</w:t>
            </w:r>
          </w:p>
        </w:tc>
        <w:tc>
          <w:tcPr>
            <w:tcW w:w="162" w:type="dxa"/>
            <w:tcBorders/>
            <w:shd w:fill="CCEEFF" w:val="clear"/>
            <w:vAlign w:val="bottom"/>
          </w:tcPr>
          <w:p>
            <w:pPr>
              <w:pStyle w:val="TableContents"/>
              <w:bidi w:val="0"/>
              <w:spacing w:before="0" w:after="283"/>
              <w:jc w:val="left"/>
              <w:rPr/>
            </w:pPr>
            <w:r>
              <w:rPr/>
              <w:t>) </w:t>
            </w:r>
          </w:p>
        </w:tc>
      </w:tr>
      <w:tr>
        <w:trPr/>
        <w:tc>
          <w:tcPr>
            <w:tcW w:w="5139"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excludes shares of common stock related to Preferred Stock, stock options and RSAs from the calculation of diluted net loss per share since the inclusion of such shares would be anti-dilutive. The following table sets forth potential shares that were considered anti-dilutive for the three months ended March 31,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13"/>
        <w:gridCol w:w="246"/>
        <w:gridCol w:w="60"/>
        <w:gridCol w:w="803"/>
        <w:gridCol w:w="60"/>
        <w:gridCol w:w="246"/>
        <w:gridCol w:w="60"/>
        <w:gridCol w:w="803"/>
        <w:gridCol w:w="64"/>
      </w:tblGrid>
      <w:tr>
        <w:trPr/>
        <w:tc>
          <w:tcPr>
            <w:tcW w:w="541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1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351,037</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351,037</w:t>
            </w:r>
          </w:p>
        </w:tc>
        <w:tc>
          <w:tcPr>
            <w:tcW w:w="64" w:type="dxa"/>
            <w:tcBorders/>
            <w:shd w:fill="CCEEFF" w:val="clear"/>
            <w:vAlign w:val="bottom"/>
          </w:tcPr>
          <w:p>
            <w:pPr>
              <w:pStyle w:val="TableContents"/>
              <w:bidi w:val="0"/>
              <w:spacing w:before="0" w:after="283"/>
              <w:jc w:val="left"/>
              <w:rPr/>
            </w:pPr>
            <w:r>
              <w:rPr/>
              <w:t> </w:t>
            </w:r>
          </w:p>
        </w:tc>
      </w:tr>
      <w:tr>
        <w:trPr/>
        <w:tc>
          <w:tcPr>
            <w:tcW w:w="541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280,407</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329,458</w:t>
            </w:r>
          </w:p>
        </w:tc>
        <w:tc>
          <w:tcPr>
            <w:tcW w:w="64" w:type="dxa"/>
            <w:tcBorders/>
            <w:vAlign w:val="bottom"/>
          </w:tcPr>
          <w:p>
            <w:pPr>
              <w:pStyle w:val="TableContents"/>
              <w:bidi w:val="0"/>
              <w:spacing w:before="0" w:after="283"/>
              <w:jc w:val="left"/>
              <w:rPr/>
            </w:pPr>
            <w:r>
              <w:rPr/>
              <w:t> </w:t>
            </w:r>
          </w:p>
        </w:tc>
      </w:tr>
      <w:tr>
        <w:trPr/>
        <w:tc>
          <w:tcPr>
            <w:tcW w:w="5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RSAs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89,054</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149,150</w:t>
            </w:r>
          </w:p>
        </w:tc>
        <w:tc>
          <w:tcPr>
            <w:tcW w:w="64" w:type="dxa"/>
            <w:tcBorders/>
            <w:shd w:fill="CCEEFF" w:val="clear"/>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13" w:type="dxa"/>
            <w:tcBorders/>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720,498</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829,645</w:t>
            </w:r>
          </w:p>
        </w:tc>
        <w:tc>
          <w:tcPr>
            <w:tcW w:w="64" w:type="dxa"/>
            <w:tcBorders/>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Option/License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Patent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No expense was recognized for the three months ended March 31, 2026 and 2025 related to the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Akebia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up-front 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Akebia Material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No revenue was recognized under the Purchase Agreement during three months ended March 31, 2026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Option Agreement </w:t>
      </w:r>
    </w:p>
    <w:p>
      <w:pPr>
        <w:pStyle w:val="TextBody"/>
        <w:bidi w:val="0"/>
        <w:spacing w:before="120" w:after="0"/>
        <w:jc w:val="left"/>
        <w:rPr>
          <w:rFonts w:ascii="Times New Roman" w:hAnsi="Times New Roman"/>
          <w:sz w:val="20"/>
        </w:rPr>
      </w:pPr>
      <w:r>
        <w:rPr>
          <w:rFonts w:ascii="Times New Roman" w:hAnsi="Times New Roman"/>
          <w:sz w:val="20"/>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recognized revenue of $0.1 million related to the extension fee payment and expense reimbursement for the three months ended March 31, 2025.</w:t>
      </w:r>
    </w:p>
    <w:p>
      <w:pPr>
        <w:pStyle w:val="TextBody"/>
        <w:bidi w:val="0"/>
        <w:spacing w:before="360" w:after="0"/>
        <w:jc w:val="left"/>
        <w:rPr>
          <w:rFonts w:ascii="Times New Roman" w:hAnsi="Times New Roman"/>
          <w:b/>
          <w:sz w:val="20"/>
        </w:rPr>
      </w:pPr>
      <w:r>
        <w:rPr>
          <w:rFonts w:ascii="Times New Roman" w:hAnsi="Times New Roman"/>
          <w:b/>
          <w:sz w:val="20"/>
        </w:rPr>
        <w:t xml:space="preserve">Medsteer Collaboration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Under the terms of the Collaboration Agreement, the Company recognized $0.1 million research and development expense during the three months ended March 31, 2026, which is related to the upfront payment paid to Medsteer and other transaction costs.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on April 1, 2026, the Company entered into the Merger Agreement (which was subsequently amended on April 17, 2026) with Korsana, a privately held biotechnology company discovering and developing novel therapies to reduce the burden of neurodegenerative diseases, pursuant to which Korsana will become a wholly owned subsidiary of the Company and the Company will operate under the name Korsana Biosciences, Inc. following the merger. The Company anticipates that the merger will close in the third quarter of 2026, subject to certain closing conditions, along with the concurrent Korsana pre-closing financing. Following the merger, the current business of Korsana will become the primary business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TO KORSANA BIOSCIENCES, INC.’S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11069_7">
              <w:r>
                <w:rPr>
                  <w:rStyle w:val="InternetLink"/>
                  <w:rFonts w:ascii="Times New Roman" w:hAnsi="Times New Roman"/>
                  <w:sz w:val="20"/>
                </w:rPr>
                <w:t>Report of Independent Registered Public Accounting Firm (PCAOB ID# 00042)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8">
              <w:r>
                <w:rPr>
                  <w:rStyle w:val="InternetLink"/>
                  <w:rFonts w:ascii="Times New Roman" w:hAnsi="Times New Roman"/>
                  <w:sz w:val="20"/>
                </w:rPr>
                <w:t>Consolidated Balance Sheets as of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9">
              <w:r>
                <w:rPr>
                  <w:rStyle w:val="InternetLink"/>
                  <w:rFonts w:ascii="Times New Roman" w:hAnsi="Times New Roman"/>
                  <w:sz w:val="20"/>
                </w:rPr>
                <w:t>Consolidated Statements of Operations and Comprehensive Loss for the Year Ended December 31, 2025 and for the period from November 8, 2024 (Inception)</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0">
              <w:r>
                <w:rPr>
                  <w:rStyle w:val="InternetLink"/>
                  <w:rFonts w:ascii="Times New Roman" w:hAnsi="Times New Roman"/>
                  <w:sz w:val="20"/>
                </w:rPr>
                <w:t>Consolidated Statements of Convertible Preferred Stock and Stockholders’ (Deficit) Equity for the Year Ended December 31, 2025 and for the period from November 8, 2024 (Inception) to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1">
              <w:r>
                <w:rPr>
                  <w:rStyle w:val="InternetLink"/>
                  <w:rFonts w:ascii="Times New Roman" w:hAnsi="Times New Roman"/>
                  <w:sz w:val="20"/>
                </w:rPr>
                <w:t>Consolidated Statements of Cash Flows for the Year Ended December  31, 2025 and for the period from November 8, 2024 (Inception) to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11069_12">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fin111069_7"/>
      <w:bookmarkEnd w:id="5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Korsana Biosciences,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Korsana Biosciences, Inc. (the Company) as of December 31, 2025 and 2024, the related consolidated statements of operations and comprehensive loss, convertible preferred stock and stockholders’ (deficit) equity and cash flows for the year ended December 31, 2025 and for the period from November 8, 2024 (inception) to December 31, 2024,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 ended December 31, 2025 and for the period from November 8, 2024 (inception) to December 31, 2024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0"/>
        <w:jc w:val="left"/>
        <w:rPr>
          <w:rFonts w:ascii="Times New Roman" w:hAnsi="Times New Roman"/>
          <w:sz w:val="20"/>
        </w:rPr>
      </w:pPr>
      <w:r>
        <w:rPr>
          <w:rFonts w:ascii="Times New Roman" w:hAnsi="Times New Roman"/>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for the Antibody Discovery and Option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203"/>
        <w:gridCol w:w="8574"/>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i/>
              </w:rPr>
            </w:pPr>
            <w:r>
              <w:rPr>
                <w:i/>
              </w:rPr>
              <w:t>Description of the Matter</w:t>
            </w:r>
          </w:p>
        </w:tc>
        <w:tc>
          <w:tcPr>
            <w:tcW w:w="203"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As described in Note 9 to the consolidated financial statements, during September 2025, the Company entered into an Antibody Discovery and Option Agreement (the “Paragon ADOA”) with Paragon and Parasa, both related parties, for certain research programs being developed by Paragon. The Company recorded expense of $31.3 million during the year ended December 31, 2025 for amounts incurred under the Paragon ADOA. The Company concluded that the arrangement represented the acquisition of in-process research and development assets with no alternative future use, resulting in the upfront consideration being expensed 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28"/>
        <w:gridCol w:w="203"/>
        <w:gridCol w:w="8574"/>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costs upon execution of the agreement. All amounts paid as reimbursements to Paragon for ongoing development activities are recognized as research and development expenses as incurred. The Company also evaluated the classification of the warrants issued to Parasa and concluded that the warrants were equity classified.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management’s evaluation of the recognition of acquired in-process research and development and the classification of warrants issued was especially challenging and required significant audit effort and judgment due to the complex assessment of provisions within the Paragon ADOA under authoritative guidance and the related party nature of the transaction.</w:t>
            </w:r>
          </w:p>
        </w:tc>
      </w:tr>
      <w:tr>
        <w:trPr>
          <w:trHeight w:val="120"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i/>
              </w:rPr>
            </w:pPr>
            <w:r>
              <w:rPr>
                <w:i/>
              </w:rPr>
              <w:t>How We Addressed the Matter in Our Audit</w:t>
            </w:r>
          </w:p>
        </w:tc>
        <w:tc>
          <w:tcPr>
            <w:tcW w:w="203"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To evaluate the Company’s accounting for the Paragon ADOA and warrants, our audit procedures included, among others, reading the agreements, discussing the contractual terms with management, and evaluating management’s technical accounting analysis for consistency with the agreement and applicable accounting guidance.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240" w:after="0"/>
        <w:jc w:val="left"/>
        <w:rPr>
          <w:rFonts w:ascii="Times New Roman" w:hAnsi="Times New Roman"/>
          <w:sz w:val="20"/>
        </w:rPr>
      </w:pPr>
      <w:r>
        <w:rPr>
          <w:rFonts w:ascii="Times New Roman" w:hAnsi="Times New Roman"/>
          <w:sz w:val="20"/>
        </w:rPr>
        <w:t xml:space="preserve">April 17,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fin111069_8"/>
      <w:bookmarkEnd w:id="60"/>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8"/>
        <w:gridCol w:w="444"/>
        <w:gridCol w:w="201"/>
        <w:gridCol w:w="1156"/>
        <w:gridCol w:w="155"/>
        <w:gridCol w:w="398"/>
        <w:gridCol w:w="231"/>
        <w:gridCol w:w="1134"/>
        <w:gridCol w:w="158"/>
      </w:tblGrid>
      <w:tr>
        <w:trPr/>
        <w:tc>
          <w:tcPr>
            <w:tcW w:w="6328"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8"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154,135</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461</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154,596</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154,596</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10,108</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 Equity</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68</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liabilities(1)</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12,313</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12,489</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78</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Long term liabilities: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538</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13,027</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78</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(formerly known as Series A) convertible preferred stock, $0.0001 par value; 20,000,000 shares authorized as of December 31, 2025 and 2024; 20,000,000 and 8,000,000 shares issued and outstanding as of December 31, 2025 and 2024, respectively; liquidation preference of $25,000 and $10,000 as of December 31, 2025 and 2024, respectively</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24,964</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9,964</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$0.0001 par value; 75,500,000 and no shares authorized as of December 31, 2025 and 2024, respectively; 75,500,000 and no shares issued and outstanding as of December 31, 2025 and December 31, 2024, respectively; liquidation preference of $151,000 and $0 as of December 31, 2025 and 2024, respectively</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150,573</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122,363,552 and 35,000,000 shares authorized as of December 31, 2025 and 2024, respectively; 6,000,000 and 5,000,000 shares issued and outstanding as of December 31, 2025 and 2024, respectively</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1,761</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153</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(35,730</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(88</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4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(33,968</w:t>
            </w:r>
          </w:p>
        </w:tc>
        <w:tc>
          <w:tcPr>
            <w:tcW w:w="15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66</w:t>
            </w:r>
          </w:p>
        </w:tc>
        <w:tc>
          <w:tcPr>
            <w:tcW w:w="158"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154,596</w:t>
            </w:r>
          </w:p>
        </w:tc>
        <w:tc>
          <w:tcPr>
            <w:tcW w:w="15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10,108</w:t>
            </w:r>
          </w:p>
        </w:tc>
        <w:tc>
          <w:tcPr>
            <w:tcW w:w="158"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$10,565 as of December 31, 2025 and $0 as of December 31, 2024 (see Note 12).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12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fin111069_9"/>
      <w:bookmarkEnd w:id="61"/>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3"/>
        <w:gridCol w:w="610"/>
        <w:gridCol w:w="244"/>
        <w:gridCol w:w="1716"/>
        <w:gridCol w:w="155"/>
        <w:gridCol w:w="555"/>
        <w:gridCol w:w="326"/>
        <w:gridCol w:w="2337"/>
        <w:gridCol w:w="159"/>
      </w:tblGrid>
      <w:tr>
        <w:trPr/>
        <w:tc>
          <w:tcPr>
            <w:tcW w:w="4103" w:type="dxa"/>
            <w:tcBorders/>
            <w:vAlign w:val="center"/>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2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 November 8,</w:t>
              <w:br/>
              <w:t>2024 (Inception) to</w:t>
              <w:br/>
              <w:t>December 31, 2024</w:t>
            </w:r>
          </w:p>
        </w:tc>
        <w:tc>
          <w:tcPr>
            <w:tcW w:w="159"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33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6" w:type="dxa"/>
            <w:tcBorders/>
            <w:vAlign w:val="bottom"/>
          </w:tcPr>
          <w:p>
            <w:pPr>
              <w:pStyle w:val="TableContents"/>
              <w:bidi w:val="0"/>
              <w:spacing w:before="0" w:after="283"/>
              <w:jc w:val="right"/>
              <w:rPr/>
            </w:pPr>
            <w:r>
              <w:rPr/>
              <w:t>32,785</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2337" w:type="dxa"/>
            <w:tcBorders/>
            <w:vAlign w:val="bottom"/>
          </w:tcPr>
          <w:p>
            <w:pPr>
              <w:pStyle w:val="TableContents"/>
              <w:bidi w:val="0"/>
              <w:spacing w:before="0" w:after="283"/>
              <w:jc w:val="right"/>
              <w:rPr/>
            </w:pPr>
            <w:r>
              <w:rPr/>
              <w:t>56</w:t>
            </w:r>
          </w:p>
        </w:tc>
        <w:tc>
          <w:tcPr>
            <w:tcW w:w="159"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4,506</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right"/>
              <w:rPr/>
            </w:pPr>
            <w:r>
              <w:rPr/>
              <w:t>53</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pPr>
            <w:r>
              <w:rPr/>
              <w:t>37,291</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37" w:type="dxa"/>
            <w:tcBorders/>
            <w:vAlign w:val="bottom"/>
          </w:tcPr>
          <w:p>
            <w:pPr>
              <w:pStyle w:val="TableContents"/>
              <w:bidi w:val="0"/>
              <w:spacing w:before="0" w:after="283"/>
              <w:jc w:val="right"/>
              <w:rPr/>
            </w:pPr>
            <w:r>
              <w:rPr/>
              <w:t>109</w:t>
            </w:r>
          </w:p>
        </w:tc>
        <w:tc>
          <w:tcPr>
            <w:tcW w:w="159"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(37,291</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right"/>
              <w:rPr/>
            </w:pPr>
            <w:r>
              <w:rPr/>
              <w:t>(109</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233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1,649</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37"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right"/>
              <w:rPr/>
            </w:pPr>
            <w:r>
              <w:rPr/>
              <w:t>(88</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23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6"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2337" w:type="dxa"/>
            <w:tcBorders/>
            <w:vAlign w:val="bottom"/>
          </w:tcPr>
          <w:p>
            <w:pPr>
              <w:pStyle w:val="TableContents"/>
              <w:bidi w:val="0"/>
              <w:spacing w:before="0" w:after="283"/>
              <w:jc w:val="right"/>
              <w:rPr/>
            </w:pPr>
            <w:r>
              <w:rPr/>
              <w:t>(0.06</w:t>
            </w:r>
          </w:p>
        </w:tc>
        <w:tc>
          <w:tcPr>
            <w:tcW w:w="159"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23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61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2,920,548</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right"/>
              <w:rPr/>
            </w:pPr>
            <w:r>
              <w:rPr/>
              <w:t>1,509,434</w:t>
            </w:r>
          </w:p>
        </w:tc>
        <w:tc>
          <w:tcPr>
            <w:tcW w:w="159"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23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$31,248 for the year ended December 31, 2025 and $0 for the period from November 8, 2024 (inception) to December 31, 2024 (see Note 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$1,203 for the year ended December 31, 2025 and $0 for the period from November 8, 2024 (inception) to December 31, 2024 (see Note 12).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12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2" w:name="fin111069_10"/>
      <w:bookmarkEnd w:id="62"/>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CONVERTIBLE PREFERRED STOCK AND STOCKHOLDERS’ (DEFICIT)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1215" w:type="dxa"/>
        <w:jc w:val="center"/>
        <w:tblInd w:w="0" w:type="dxa"/>
        <w:tblLayout w:type="fixed"/>
        <w:tblCellMar>
          <w:top w:w="0" w:type="dxa"/>
          <w:left w:w="0" w:type="dxa"/>
          <w:bottom w:w="0" w:type="dxa"/>
          <w:right w:w="0" w:type="dxa"/>
        </w:tblCellMar>
      </w:tblPr>
      <w:tblGrid>
        <w:gridCol w:w="995"/>
        <w:gridCol w:w="60"/>
        <w:gridCol w:w="60"/>
        <w:gridCol w:w="1100"/>
        <w:gridCol w:w="60"/>
        <w:gridCol w:w="60"/>
        <w:gridCol w:w="140"/>
        <w:gridCol w:w="800"/>
        <w:gridCol w:w="60"/>
        <w:gridCol w:w="60"/>
        <w:gridCol w:w="60"/>
        <w:gridCol w:w="60"/>
        <w:gridCol w:w="60"/>
        <w:gridCol w:w="60"/>
        <w:gridCol w:w="60"/>
        <w:gridCol w:w="980"/>
        <w:gridCol w:w="60"/>
        <w:gridCol w:w="60"/>
        <w:gridCol w:w="231"/>
        <w:gridCol w:w="629"/>
        <w:gridCol w:w="60"/>
        <w:gridCol w:w="60"/>
        <w:gridCol w:w="313"/>
        <w:gridCol w:w="1252"/>
        <w:gridCol w:w="60"/>
        <w:gridCol w:w="60"/>
        <w:gridCol w:w="214"/>
        <w:gridCol w:w="1156"/>
        <w:gridCol w:w="155"/>
        <w:gridCol w:w="60"/>
        <w:gridCol w:w="315"/>
        <w:gridCol w:w="1700"/>
        <w:gridCol w:w="15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 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 Equity</w:t>
            </w:r>
          </w:p>
        </w:tc>
        <w:tc>
          <w:tcPr>
            <w:tcW w:w="155" w:type="dxa"/>
            <w:vMerge w:val="restart"/>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5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99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November 8, 2024 (inception)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Series Seed (formerly known as Series A) convertible preferred stock. net of issuance costs of $35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Series Seed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150,573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restricted stock awards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792</w:t>
            </w:r>
          </w:p>
        </w:tc>
        <w:tc>
          <w:tcPr>
            <w:tcW w:w="15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Grant of the Parasa warrant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816</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(35,642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(35,642</w:t>
            </w:r>
          </w:p>
        </w:tc>
        <w:tc>
          <w:tcPr>
            <w:tcW w:w="155"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175,537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(35,730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(33,968</w:t>
            </w:r>
          </w:p>
        </w:tc>
        <w:tc>
          <w:tcPr>
            <w:tcW w:w="155"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12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fin111069_11"/>
      <w:bookmarkEnd w:id="63"/>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4"/>
        <w:gridCol w:w="594"/>
        <w:gridCol w:w="291"/>
        <w:gridCol w:w="1724"/>
        <w:gridCol w:w="155"/>
        <w:gridCol w:w="541"/>
        <w:gridCol w:w="344"/>
        <w:gridCol w:w="1633"/>
        <w:gridCol w:w="159"/>
      </w:tblGrid>
      <w:tr>
        <w:trPr/>
        <w:tc>
          <w:tcPr>
            <w:tcW w:w="4764"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6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2014</w:t>
              <w:br/>
              <w:t>(Inception) to</w:t>
              <w:br/>
              <w:t>December 31, 2024</w:t>
            </w:r>
          </w:p>
        </w:tc>
        <w:tc>
          <w:tcPr>
            <w:tcW w:w="159" w:type="dxa"/>
            <w:tcBorders/>
            <w:vAlign w:val="bottom"/>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724" w:type="dxa"/>
            <w:tcBorders/>
            <w:vAlign w:val="bottom"/>
          </w:tcPr>
          <w:p>
            <w:pPr>
              <w:pStyle w:val="TableContents"/>
              <w:bidi w:val="0"/>
              <w:spacing w:before="0" w:after="283"/>
              <w:jc w:val="right"/>
              <w:rPr/>
            </w:pPr>
            <w:r>
              <w:rPr/>
              <w:t>(35,642</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633"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provided by operating activities: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1,608</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54</w:t>
            </w:r>
          </w:p>
        </w:tc>
        <w:tc>
          <w:tcPr>
            <w:tcW w:w="159" w:type="dxa"/>
            <w:tcBorders/>
            <w:vAlign w:val="bottom"/>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(461</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108</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68</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liabilities(1)</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11,981</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(22,406</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44</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6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issuance of restricted stock awards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860</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100</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Seed convertible preferred stock, net of issuance costs</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15,000</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9,964</w:t>
            </w:r>
          </w:p>
        </w:tc>
        <w:tc>
          <w:tcPr>
            <w:tcW w:w="159" w:type="dxa"/>
            <w:tcBorders/>
            <w:vAlign w:val="bottom"/>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 convertible preferred stock, net of issuance costs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150,573</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166,433</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10,064</w:t>
            </w:r>
          </w:p>
        </w:tc>
        <w:tc>
          <w:tcPr>
            <w:tcW w:w="159" w:type="dxa"/>
            <w:tcBorders/>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144,027</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10,108</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59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24" w:type="dxa"/>
            <w:tcBorders/>
            <w:shd w:fill="CCEEFF" w:val="clear"/>
            <w:vAlign w:val="bottom"/>
          </w:tcPr>
          <w:p>
            <w:pPr>
              <w:pStyle w:val="TableContents"/>
              <w:bidi w:val="0"/>
              <w:spacing w:before="0" w:after="283"/>
              <w:jc w:val="right"/>
              <w:rPr/>
            </w:pPr>
            <w:r>
              <w:rPr/>
              <w:t>154,135</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10,108</w:t>
            </w:r>
          </w:p>
        </w:tc>
        <w:tc>
          <w:tcPr>
            <w:tcW w:w="159" w:type="dxa"/>
            <w:tcBorders/>
            <w:shd w:fill="CCEEFF" w:val="clear"/>
            <w:vAlign w:val="bottom"/>
          </w:tcPr>
          <w:p>
            <w:pPr>
              <w:pStyle w:val="TableContents"/>
              <w:bidi w:val="0"/>
              <w:spacing w:before="0" w:after="283"/>
              <w:jc w:val="left"/>
              <w:rPr/>
            </w:pPr>
            <w:r>
              <w:rPr/>
              <w:t> </w:t>
            </w:r>
          </w:p>
        </w:tc>
      </w:tr>
      <w:tr>
        <w:trPr/>
        <w:tc>
          <w:tcPr>
            <w:tcW w:w="4764" w:type="dxa"/>
            <w:tcBorders/>
            <w:vAlign w:val="bottom"/>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16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$10,565 for the year ended December 31, 2025 and $0 for the period from November 8, 2024 (inception) to December 31, 2024 (see Note 12).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12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4" w:name="fin111069_12"/>
      <w:bookmarkEnd w:id="64"/>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the Business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As of December 31, 2025, the Company operated as a virtual company and did not maintain a corporate headquarters or other significant facilities. Korsana was formed to develop therapies built on Therapeutic Targeting (THETATM), a next generation blood-brain barrier (BBB) platform, with an initial focus on neurodegenerative disorders, including its lead product candidate, KRSA-028,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Pre-Closing Financing described below) will be automatically converted solely into the right to receive a number of shares of Cyclerion common stock equal to the Exchange Ratio as defined in the Merger Agreement, (ii) each then-outstanding share of Korsana Series Seed preferred stock will be converted into the right to receive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number of shares of Cyclerion Series B non-voting 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pre-funded warrants at an estimated purchase price of $2.3534 per share and $2.3533 per warrant, for an aggregate purchase price of $380.0 million in a private placement (the “Korsana Pre-Closing Financing”). Shares of the Company’s common stock and pre-funded warrants to purchase shares of the Company’s common stock issued pursuant to the Korsana Pre-Closing Financing will be converted into shares of Cyclerion common stock and pre-funded 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accompanying notes have been prepared in accordance with accounting principles generally accepted in the United States of America (“U.S.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twelve months of the date that the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generated any revenue from product sales or other sources and has incurred significant operating losses and negative cash flows from operations since inception. The Company has incurred net losses of $35.6 million and $0.1 million during the year ended December 31, 2025 and for the period from November 8, 2024 (inception) to December 31, 2024, respectively. As of December 31, 2025 and 2024, the Company had an accumulated deficit of $35.7 million and $0.1 million, respectively. As of December 31, 2025, the Company had $154.1 million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consolidated financial statements are available to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the Company formed Korsana Securities Corporation, which is a wholly owned subsidiary based in the United States, to hold the Company’s marketable securities.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Company’s consolidated financial statements in conformity with U.S. GAAP requires management to make estimates, assumptions, and judgements that affect the reported amounts of assets and liabilities and the disclosure of contingent assets and liabilities at the date of the consolidated financial statements and the reported amounts of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operating and reporting segment for the purposes of assessing performance and making operating decisions. The Company’s chief executive officer, who is the chief operating decision maker (the “CODM”), reviews the Company’s financial information for purposes of evaluating financial performance and allocating resources (see Note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primarily consist of cash and cash equivalents. The Company maintains its cash balances at an accredited financial institution in amounts that, at times, may exceed federally insured limits. However, the Company has not experienced any losses on its deposits of cash.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9).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purchased with an original maturity of three months or less at the time of initial purchase to be cash equivalents. The cash equivalents were comprised of an investment in a money market fund. Interest income associated with the cash equivalents is recorded as other income in the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that are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cash equivalents are carried at fair value, determined according to the fair value hierarchy described above (see Note 3). The carrying values of the Company’s prepaid expenses and other current assets, accounts payable and accrued expenses approximate their fair values due to their relatively short maturity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of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the Series Seed convertible preferred stock and Series A convertible preferred stock (together the “Convertible Preferred Stock”) outside of stockholders’ deficit on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contract manufacturing organizations (“CMOs”), and the Company’s related party Paragon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Antibody Discovery and Option Agreement (the “Paragon ADOA”) and Platform Option Agreement (the “Paragon POA”) by and among the Company, Paragon and Parasa Holding LLC (“Parasa”), an entity formed by Paragon as a vehicle to hold equity in the Company, and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2025 and 2024, the Company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costs include amounts reimbursed to Paragon under the Paragon ADOA (see Note 9), salaries and bonuses, stock-based compensation, employee benefits, and external costs of vendors and consultants engaged to conduct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Nonrefundable advance payments for goods or services to be received in the future for use in research and development activities are expensed as the related goods are delivered or the services are performed, or when it is no longer expected that the goods will be delivered, or the services 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bonuses, stock-based compensation, employee benefits, finance and administration costs, and professional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10).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stock-based compensation expense in its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grants stock options and restricted stock awards (“RSAs”)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Forfeitures are accounted for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RSAs that are subject to performance-based vesting conditions relating to the achievement of a specified amount of Series A convertible preferred stock financing. Accruals of compensation cost for an award with a performance condition shall be based on the probable outcome of that performance condition.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measures all stock-based awards granted to employees, directors, and non-employees based on the fair value of the awards on the date of grant using the Black-Scholes option-pricing model.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restricted stock awards and options are based on the fair value of the Company’s common stock on the date of grant. The Company’s common stock valuations were prepared using a recent transactions method, including an option pricing method (“OPM”). Under this method, the Company used the observed transaction price from a recent preferred stock financing and solved for the total equity value that results in that preferred stock price, using an OPM that allocates value across the Company’s capital structure based on the rights and preferences of each equity class. The resulting total equity value was then allocated to the common stock and preferred stock based on their respective economic rights, resulting in an estimated fair value of the Company’s common stock as of the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the Company had used significantly different assumptions or estimates, the fair value of common stock and stock-based compensation expense could have been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two-class method when computing net loss per share attributable to the Company’s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w:t>
      </w:r>
    </w:p>
    <w:p>
      <w:pPr>
        <w:pStyle w:val="TextBody"/>
        <w:bidi w:val="0"/>
        <w:spacing w:before="240" w:after="0"/>
        <w:jc w:val="left"/>
        <w:rPr>
          <w:rFonts w:ascii="Times New Roman" w:hAnsi="Times New Roman"/>
          <w:sz w:val="20"/>
        </w:rPr>
      </w:pPr>
      <w:r>
        <w:rPr>
          <w:rFonts w:ascii="Times New Roman" w:hAnsi="Times New Roman"/>
          <w:sz w:val="20"/>
        </w:rPr>
        <w:t xml:space="preserve">The two-class 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two-class method during periods of loss since the participating securities do not have a contractual obligation to share in the losses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warrants, outstanding Convertible Preferred Stock, stock options to purchase common stock, and unvested RSAs are considered potentially dilutive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and/or penalties related to unrecorded tax benefits in income tax expense as they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Company’s fair value hierarchy for financial assets and liabilities measured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6"/>
        <w:gridCol w:w="336"/>
        <w:gridCol w:w="140"/>
        <w:gridCol w:w="806"/>
        <w:gridCol w:w="60"/>
        <w:gridCol w:w="336"/>
        <w:gridCol w:w="203"/>
        <w:gridCol w:w="571"/>
        <w:gridCol w:w="60"/>
        <w:gridCol w:w="336"/>
        <w:gridCol w:w="202"/>
        <w:gridCol w:w="571"/>
        <w:gridCol w:w="60"/>
        <w:gridCol w:w="336"/>
        <w:gridCol w:w="140"/>
        <w:gridCol w:w="806"/>
        <w:gridCol w:w="69"/>
      </w:tblGrid>
      <w:tr>
        <w:trPr/>
        <w:tc>
          <w:tcPr>
            <w:tcW w:w="435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46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9" w:type="dxa"/>
            <w:tcBorders/>
            <w:shd w:fill="CCEEFF" w:val="clear"/>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equivalents consist of money market funds, which were valued by the Company based on quoted market prices, which represent a Level 1 measurement within the fair value hierarchy. There were no transfers between Level 1, Level 2, or Level 3 during the year ended December 31, 2025. The Company did not have any financial assets or liabilities that were determined to be Level 1, Level 2, or Level 3 measurements within the fair value hierarchy as of December 31,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9"/>
        <w:gridCol w:w="578"/>
        <w:gridCol w:w="241"/>
        <w:gridCol w:w="1175"/>
        <w:gridCol w:w="60"/>
        <w:gridCol w:w="578"/>
        <w:gridCol w:w="381"/>
        <w:gridCol w:w="1049"/>
        <w:gridCol w:w="64"/>
      </w:tblGrid>
      <w:tr>
        <w:trPr/>
        <w:tc>
          <w:tcPr>
            <w:tcW w:w="3629"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(1)</w:t>
            </w:r>
          </w:p>
        </w:tc>
        <w:tc>
          <w:tcPr>
            <w:tcW w:w="57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10,784</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and consulting (2)</w:t>
            </w:r>
          </w:p>
        </w:tc>
        <w:tc>
          <w:tcPr>
            <w:tcW w:w="57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827</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employee compensation and benefits</w:t>
            </w:r>
          </w:p>
        </w:tc>
        <w:tc>
          <w:tcPr>
            <w:tcW w:w="57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371</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57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12,313</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10</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04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$10,333 as of December 31, 2025 and $0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$232 as of December 31, 2025 and $0 as of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Co-Investment 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12).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as-converted to Common Stock basis, shall be entitled to elect four directors of the Company. The holders of record of the shares of Series A Preferred Stock, voting together exclusively and as a separate class on an as-converted 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December 31, 2025 and 2024, each outstanding share of Convertible Preferred Stock was convertible into common stock on a one-for-one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non-cumulative. For the year ended December 31, 2025 and for the period November 8, 2024 (inception) through December 31, 2024, no dividends had been declared or paid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for the contingent redemption upon the occurrence of a Deemed Liquidation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 Company has the authority to issue a total of 122,363,552 and 35,000,000 shares of common stock, respectively, at a par value of $0.0001 per share. As of December 31, 2025 and 2024, the Company had 6,000,000 and 5,000,000 shares of common stock, respectively, issued and outstanding in connection with RSAs.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there are 105,358,748 and 8,000,000 shares of common stock reserved for issuance for the potential conversion of shares of Convertible Preferred Stock into common stock and the exercise of outstanding stock options and warrants 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and 2024, the Company had common stock reserved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4"/>
        <w:gridCol w:w="287"/>
        <w:gridCol w:w="66"/>
        <w:gridCol w:w="1357"/>
        <w:gridCol w:w="60"/>
        <w:gridCol w:w="287"/>
        <w:gridCol w:w="81"/>
        <w:gridCol w:w="1350"/>
        <w:gridCol w:w="63"/>
      </w:tblGrid>
      <w:tr>
        <w:trPr/>
        <w:tc>
          <w:tcPr>
            <w:tcW w:w="4204"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04"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Seed Preferred Stock</w:t>
            </w:r>
          </w:p>
        </w:tc>
        <w:tc>
          <w:tcPr>
            <w:tcW w:w="28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8,000,000</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A Preferred Stock</w:t>
            </w:r>
          </w:p>
        </w:tc>
        <w:tc>
          <w:tcPr>
            <w:tcW w:w="28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75,500,000</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exercise of warrants under the Parasa Warrant Obligation</w:t>
            </w:r>
          </w:p>
        </w:tc>
        <w:tc>
          <w:tcPr>
            <w:tcW w:w="28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1,102,561</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stock options</w:t>
            </w:r>
          </w:p>
        </w:tc>
        <w:tc>
          <w:tcPr>
            <w:tcW w:w="287"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8,756,187</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287"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105,358,748</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8,000,000</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December 31, 2025, the total number of shares of common stock reserved for issuance under the 2025 Plan was 20,584,336 shares, with 10,828,149 shares of common stock available for future grants.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each stock option grant is estimated on the grant date using the Black-Scholes option- 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weighted-average assumptions used in calculating the fair value of the awards for the year ended December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254"/>
        <w:gridCol w:w="1046"/>
        <w:gridCol w:w="283"/>
        <w:gridCol w:w="2079"/>
        <w:gridCol w:w="277"/>
      </w:tblGrid>
      <w:tr>
        <w:trPr/>
        <w:tc>
          <w:tcPr>
            <w:tcW w:w="3254" w:type="dxa"/>
            <w:tcBorders/>
            <w:vAlign w:val="center"/>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25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left"/>
              <w:rPr/>
            </w:pPr>
            <w:r>
              <w:rPr/>
              <w:t>  </w:t>
            </w:r>
          </w:p>
        </w:tc>
        <w:tc>
          <w:tcPr>
            <w:tcW w:w="2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 December</w:t>
              <w:br/>
              <w:t>31, 2025</w:t>
            </w:r>
          </w:p>
        </w:tc>
        <w:tc>
          <w:tcPr>
            <w:tcW w:w="277" w:type="dxa"/>
            <w:tcBorders/>
            <w:vAlign w:val="bottom"/>
          </w:tcPr>
          <w:p>
            <w:pPr>
              <w:pStyle w:val="TableContents"/>
              <w:bidi w:val="0"/>
              <w:spacing w:before="0" w:after="283"/>
              <w:jc w:val="left"/>
              <w:rPr/>
            </w:pPr>
            <w:r>
              <w:rPr/>
              <w:t> </w:t>
            </w:r>
          </w:p>
        </w:tc>
      </w:tr>
      <w:tr>
        <w:trPr/>
        <w:tc>
          <w:tcPr>
            <w:tcW w:w="3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0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6.0</w:t>
            </w:r>
          </w:p>
        </w:tc>
        <w:tc>
          <w:tcPr>
            <w:tcW w:w="277" w:type="dxa"/>
            <w:tcBorders/>
            <w:shd w:fill="CCEEFF" w:val="clear"/>
            <w:vAlign w:val="bottom"/>
          </w:tcPr>
          <w:p>
            <w:pPr>
              <w:pStyle w:val="TableContents"/>
              <w:bidi w:val="0"/>
              <w:spacing w:before="0" w:after="283"/>
              <w:jc w:val="left"/>
              <w:rPr/>
            </w:pPr>
            <w:r>
              <w:rPr/>
              <w:t> </w:t>
            </w:r>
          </w:p>
        </w:tc>
      </w:tr>
      <w:tr>
        <w:trPr/>
        <w:tc>
          <w:tcPr>
            <w:tcW w:w="325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04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87.1</w:t>
            </w:r>
          </w:p>
        </w:tc>
        <w:tc>
          <w:tcPr>
            <w:tcW w:w="277" w:type="dxa"/>
            <w:tcBorders/>
            <w:vAlign w:val="bottom"/>
          </w:tcPr>
          <w:p>
            <w:pPr>
              <w:pStyle w:val="TableContents"/>
              <w:bidi w:val="0"/>
              <w:spacing w:before="0" w:after="283"/>
              <w:jc w:val="left"/>
              <w:rPr/>
            </w:pPr>
            <w:r>
              <w:rPr/>
              <w:t>% </w:t>
            </w:r>
          </w:p>
        </w:tc>
      </w:tr>
      <w:tr>
        <w:trPr/>
        <w:tc>
          <w:tcPr>
            <w:tcW w:w="3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0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3.7</w:t>
            </w:r>
          </w:p>
        </w:tc>
        <w:tc>
          <w:tcPr>
            <w:tcW w:w="277" w:type="dxa"/>
            <w:tcBorders/>
            <w:shd w:fill="CCEEFF" w:val="clear"/>
            <w:vAlign w:val="bottom"/>
          </w:tcPr>
          <w:p>
            <w:pPr>
              <w:pStyle w:val="TableContents"/>
              <w:bidi w:val="0"/>
              <w:spacing w:before="0" w:after="283"/>
              <w:jc w:val="left"/>
              <w:rPr/>
            </w:pPr>
            <w:r>
              <w:rPr/>
              <w:t>% </w:t>
            </w:r>
          </w:p>
        </w:tc>
      </w:tr>
      <w:tr>
        <w:trPr/>
        <w:tc>
          <w:tcPr>
            <w:tcW w:w="3254"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04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0.0</w:t>
            </w:r>
          </w:p>
        </w:tc>
        <w:tc>
          <w:tcPr>
            <w:tcW w:w="27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for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03"/>
        <w:gridCol w:w="210"/>
        <w:gridCol w:w="114"/>
        <w:gridCol w:w="1880"/>
        <w:gridCol w:w="60"/>
        <w:gridCol w:w="210"/>
        <w:gridCol w:w="461"/>
        <w:gridCol w:w="1457"/>
        <w:gridCol w:w="60"/>
        <w:gridCol w:w="210"/>
        <w:gridCol w:w="260"/>
        <w:gridCol w:w="1654"/>
        <w:gridCol w:w="60"/>
        <w:gridCol w:w="210"/>
        <w:gridCol w:w="287"/>
        <w:gridCol w:w="785"/>
        <w:gridCol w:w="67"/>
      </w:tblGrid>
      <w:tr>
        <w:trPr/>
        <w:tc>
          <w:tcPr>
            <w:tcW w:w="140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40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w:t>
              <w:br/>
              <w:t>Price</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1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December 31, 2024</w:t>
            </w:r>
          </w:p>
        </w:tc>
        <w:tc>
          <w:tcPr>
            <w:tcW w:w="21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right"/>
              <w:rPr/>
            </w:pPr>
            <w:r>
              <w:rPr/>
              <w:t>8,756,187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1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0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December 31, 2025</w:t>
            </w:r>
          </w:p>
        </w:tc>
        <w:tc>
          <w:tcPr>
            <w:tcW w:w="21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right"/>
              <w:rPr/>
            </w:pPr>
            <w:r>
              <w:rPr/>
              <w:t>8,756,187</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40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December 31, 2025</w:t>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80" w:type="dxa"/>
            <w:tcBorders/>
            <w:vAlign w:val="bottom"/>
          </w:tcPr>
          <w:p>
            <w:pPr>
              <w:pStyle w:val="TableContents"/>
              <w:bidi w:val="0"/>
              <w:spacing w:before="0" w:after="283"/>
              <w:jc w:val="right"/>
              <w:rPr/>
            </w:pPr>
            <w:r>
              <w:rPr/>
              <w:t>8,756,187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57"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78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40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2025</w:t>
            </w:r>
          </w:p>
        </w:tc>
        <w:tc>
          <w:tcPr>
            <w:tcW w:w="21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80" w:type="dxa"/>
            <w:tcBorders/>
            <w:shd w:fill="CCEEFF" w:val="clear"/>
            <w:vAlign w:val="bottom"/>
          </w:tcPr>
          <w:p>
            <w:pPr>
              <w:pStyle w:val="TableContents"/>
              <w:bidi w:val="0"/>
              <w:spacing w:before="0" w:after="283"/>
              <w:jc w:val="right"/>
              <w:rPr/>
            </w:pPr>
            <w:r>
              <w:rPr/>
              <w:t>67,886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40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grant-date fair value of stock options granted for the year ended December 31, 2025 was $0.64. For the year ended December 31, 2025, there was no intrinsic value related to outstanding options.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period from November 8, 2024 (inception) to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Company issued and sold 1,000,000 RSAs to the Company’s chief executive officer, a venture partner at Fairmount during the year ended December 31, 2025, in exchange for executive services and such issuance was determined to be a related party transaction (see Note 12).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December 31, 2025, $0.3 million and $0.5 million, respectively, was recorded in accrued expenses and other current liabilities and accrued other liabilities, noncurrent on the Company’s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RSA activity for the year ended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35"/>
        <w:gridCol w:w="474"/>
        <w:gridCol w:w="95"/>
        <w:gridCol w:w="1708"/>
        <w:gridCol w:w="155"/>
        <w:gridCol w:w="474"/>
        <w:gridCol w:w="562"/>
        <w:gridCol w:w="1788"/>
        <w:gridCol w:w="64"/>
      </w:tblGrid>
      <w:tr>
        <w:trPr/>
        <w:tc>
          <w:tcPr>
            <w:tcW w:w="2435"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8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RSAs</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 Value</w:t>
            </w:r>
          </w:p>
        </w:tc>
        <w:tc>
          <w:tcPr>
            <w:tcW w:w="64" w:type="dxa"/>
            <w:tcBorders/>
            <w:vAlign w:val="bottom"/>
          </w:tcPr>
          <w:p>
            <w:pPr>
              <w:pStyle w:val="TableContents"/>
              <w:bidi w:val="0"/>
              <w:spacing w:before="0" w:after="283"/>
              <w:jc w:val="left"/>
              <w:rPr/>
            </w:pPr>
            <w:r>
              <w:rPr/>
              <w:t> </w:t>
            </w:r>
          </w:p>
        </w:tc>
      </w:tr>
      <w:tr>
        <w:trPr/>
        <w:tc>
          <w:tcPr>
            <w:tcW w:w="2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December 31, 2024</w:t>
            </w:r>
          </w:p>
        </w:tc>
        <w:tc>
          <w:tcPr>
            <w:tcW w:w="47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3,000,000</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w:t>
            </w:r>
          </w:p>
        </w:tc>
        <w:tc>
          <w:tcPr>
            <w:tcW w:w="1788" w:type="dxa"/>
            <w:tcBorders/>
            <w:shd w:fill="CCEEFF" w:val="clear"/>
            <w:vAlign w:val="bottom"/>
          </w:tcPr>
          <w:p>
            <w:pPr>
              <w:pStyle w:val="TableContents"/>
              <w:bidi w:val="0"/>
              <w:spacing w:before="0" w:after="283"/>
              <w:jc w:val="right"/>
              <w:rPr/>
            </w:pPr>
            <w:r>
              <w:rPr/>
              <w:t>0.02</w:t>
            </w:r>
          </w:p>
        </w:tc>
        <w:tc>
          <w:tcPr>
            <w:tcW w:w="64" w:type="dxa"/>
            <w:tcBorders/>
            <w:shd w:fill="CCEEFF" w:val="clear"/>
            <w:vAlign w:val="bottom"/>
          </w:tcPr>
          <w:p>
            <w:pPr>
              <w:pStyle w:val="TableContents"/>
              <w:bidi w:val="0"/>
              <w:spacing w:before="0" w:after="283"/>
              <w:jc w:val="left"/>
              <w:rPr/>
            </w:pPr>
            <w:r>
              <w:rPr/>
              <w:t> </w:t>
            </w:r>
          </w:p>
        </w:tc>
      </w:tr>
      <w:tr>
        <w:trPr/>
        <w:tc>
          <w:tcPr>
            <w:tcW w:w="243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7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1,000,000</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0.57</w:t>
            </w:r>
          </w:p>
        </w:tc>
        <w:tc>
          <w:tcPr>
            <w:tcW w:w="64" w:type="dxa"/>
            <w:tcBorders/>
            <w:vAlign w:val="bottom"/>
          </w:tcPr>
          <w:p>
            <w:pPr>
              <w:pStyle w:val="TableContents"/>
              <w:bidi w:val="0"/>
              <w:spacing w:before="0" w:after="283"/>
              <w:jc w:val="left"/>
              <w:rPr/>
            </w:pPr>
            <w:r>
              <w:rPr/>
              <w:t> </w:t>
            </w:r>
          </w:p>
        </w:tc>
      </w:tr>
      <w:tr>
        <w:trPr/>
        <w:tc>
          <w:tcPr>
            <w:tcW w:w="2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7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(3,000,000</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0.02</w:t>
            </w:r>
          </w:p>
        </w:tc>
        <w:tc>
          <w:tcPr>
            <w:tcW w:w="64" w:type="dxa"/>
            <w:tcBorders/>
            <w:shd w:fill="CCEEFF" w:val="clear"/>
            <w:vAlign w:val="bottom"/>
          </w:tcPr>
          <w:p>
            <w:pPr>
              <w:pStyle w:val="TableContents"/>
              <w:bidi w:val="0"/>
              <w:spacing w:before="0" w:after="283"/>
              <w:jc w:val="left"/>
              <w:rPr/>
            </w:pPr>
            <w:r>
              <w:rPr/>
              <w:t> </w:t>
            </w:r>
          </w:p>
        </w:tc>
      </w:tr>
      <w:tr>
        <w:trPr/>
        <w:tc>
          <w:tcPr>
            <w:tcW w:w="243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7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December 31, 2025</w:t>
            </w:r>
          </w:p>
        </w:tc>
        <w:tc>
          <w:tcPr>
            <w:tcW w:w="47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1,000,000</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w:t>
            </w:r>
          </w:p>
        </w:tc>
        <w:tc>
          <w:tcPr>
            <w:tcW w:w="1788" w:type="dxa"/>
            <w:tcBorders/>
            <w:shd w:fill="CCEEFF" w:val="clear"/>
            <w:vAlign w:val="bottom"/>
          </w:tcPr>
          <w:p>
            <w:pPr>
              <w:pStyle w:val="TableContents"/>
              <w:bidi w:val="0"/>
              <w:spacing w:before="0" w:after="283"/>
              <w:jc w:val="right"/>
              <w:rPr/>
            </w:pPr>
            <w:r>
              <w:rPr/>
              <w:t>0.57</w:t>
            </w:r>
          </w:p>
        </w:tc>
        <w:tc>
          <w:tcPr>
            <w:tcW w:w="64"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78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and for the period from November 8, 2024 (inception) to December 31, 2024, the Company recorded stock-based compensation expense of $0.2 million and $0.1 million, respectively, related to the RSAs in the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Parasa Warrant Obligation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Company entered into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grant date as determined by the Board of Directors (the “Parasa Warrant Obligation”). If the term with respect to all research programs ends prior to the end of a calendar year, the warrant for such calendar year shall be pro-rated 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year ended December 31, 2025, $0.8 million was recognized as stock-based compensation expense related to the 2025 Parasa Warrant Obligation within research and development expense in the Company’s consolidated statement of operations and comprehensive loss. On December 31, 2025, the fair value of the warrant obligation of $0.8 million was reclassified from accrued expenses to stockholders’ equity on the consolidated balance sheet when the Company settled the 2025 Parasa Warrant Obligation by issuing Parasa a warrant to purchase 1,102,561 shares of Company Common Stock at an exercise price of $0.86 per share. The warrant has a term of 10 years, is fully vested, and is exercisable in part or full at any time during the term of the warrant. As of December 31, 2025, the warrant issued under the 2025 Parasa Warrant Obligation is outstanding and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assumptions used in calculating the fair value of the warrant: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02"/>
        <w:gridCol w:w="994"/>
        <w:gridCol w:w="234"/>
        <w:gridCol w:w="1731"/>
        <w:gridCol w:w="278"/>
      </w:tblGrid>
      <w:tr>
        <w:trPr/>
        <w:tc>
          <w:tcPr>
            <w:tcW w:w="3702" w:type="dxa"/>
            <w:tcBorders/>
            <w:vAlign w:val="center"/>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8"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99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10.0</w:t>
            </w:r>
          </w:p>
        </w:tc>
        <w:tc>
          <w:tcPr>
            <w:tcW w:w="278"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99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t>87.1</w:t>
            </w:r>
          </w:p>
        </w:tc>
        <w:tc>
          <w:tcPr>
            <w:tcW w:w="278"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99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31" w:type="dxa"/>
            <w:tcBorders/>
            <w:shd w:fill="CCEEFF" w:val="clear"/>
            <w:vAlign w:val="bottom"/>
          </w:tcPr>
          <w:p>
            <w:pPr>
              <w:pStyle w:val="TableContents"/>
              <w:bidi w:val="0"/>
              <w:spacing w:before="0" w:after="283"/>
              <w:jc w:val="right"/>
              <w:rPr/>
            </w:pPr>
            <w:r>
              <w:rPr/>
              <w:t>4.2</w:t>
            </w:r>
          </w:p>
        </w:tc>
        <w:tc>
          <w:tcPr>
            <w:tcW w:w="278"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99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classification of the Company’s stock-based compensation expense in the consolidated statements of operations and comprehensive loss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83"/>
        <w:gridCol w:w="546"/>
        <w:gridCol w:w="391"/>
        <w:gridCol w:w="1566"/>
        <w:gridCol w:w="60"/>
        <w:gridCol w:w="546"/>
        <w:gridCol w:w="643"/>
        <w:gridCol w:w="1755"/>
        <w:gridCol w:w="65"/>
      </w:tblGrid>
      <w:tr>
        <w:trPr/>
        <w:tc>
          <w:tcPr>
            <w:tcW w:w="2183" w:type="dxa"/>
            <w:tcBorders/>
            <w:vAlign w:val="center"/>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2398"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 November</w:t>
            </w:r>
            <w:r>
              <w:rPr/>
              <w:br/>
            </w:r>
            <w:r>
              <w:rPr>
                <w:b/>
              </w:rPr>
              <w:t>8, 2024 (Inception) to</w:t>
              <w:br/>
              <w:t>December 31, 2024</w:t>
            </w:r>
          </w:p>
        </w:tc>
        <w:tc>
          <w:tcPr>
            <w:tcW w:w="65"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6" w:type="dxa"/>
            <w:tcBorders/>
            <w:shd w:fill="CCEEFF" w:val="clear"/>
            <w:vAlign w:val="bottom"/>
          </w:tcPr>
          <w:p>
            <w:pPr>
              <w:pStyle w:val="TableContents"/>
              <w:bidi w:val="0"/>
              <w:spacing w:before="0" w:after="283"/>
              <w:jc w:val="right"/>
              <w:rPr/>
            </w:pPr>
            <w:r>
              <w:rPr/>
              <w:t>928</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54</w:t>
            </w:r>
          </w:p>
        </w:tc>
        <w:tc>
          <w:tcPr>
            <w:tcW w:w="65"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680</w:t>
            </w:r>
          </w:p>
        </w:tc>
        <w:tc>
          <w:tcPr>
            <w:tcW w:w="6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283"/>
              <w:jc w:val="left"/>
              <w:rPr>
                <w:sz w:val="4"/>
                <w:szCs w:val="4"/>
              </w:rPr>
            </w:pPr>
            <w:r>
              <w:rPr>
                <w:sz w:val="4"/>
                <w:szCs w:val="4"/>
              </w:rPr>
            </w:r>
          </w:p>
        </w:tc>
        <w:tc>
          <w:tcPr>
            <w:tcW w:w="5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6" w:type="dxa"/>
            <w:tcBorders/>
            <w:shd w:fill="CCEEFF" w:val="clear"/>
            <w:vAlign w:val="bottom"/>
          </w:tcPr>
          <w:p>
            <w:pPr>
              <w:pStyle w:val="TableContents"/>
              <w:bidi w:val="0"/>
              <w:spacing w:before="0" w:after="283"/>
              <w:jc w:val="right"/>
              <w:rPr/>
            </w:pPr>
            <w:r>
              <w:rPr/>
              <w:t>1,608</w:t>
            </w:r>
          </w:p>
        </w:tc>
        <w:tc>
          <w:tcPr>
            <w:tcW w:w="6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54</w:t>
            </w:r>
          </w:p>
        </w:tc>
        <w:tc>
          <w:tcPr>
            <w:tcW w:w="65" w:type="dxa"/>
            <w:tcBorders/>
            <w:shd w:fill="CCEEFF" w:val="clear"/>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total unrecognized compensation cost related to the unvested stock options was $4.9 million, which is expected to be recognized over a weighted average period of approximately 3.5 years. As of December 31, 2025, total unrecognized compensation cost related to the unvested RSAs was $0.5 million to be recognized over a weighted average period of approximately 3.4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award types of the Company’s stock-based compensation expense in the consolidated statements of operations and comprehensive loss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055"/>
        <w:gridCol w:w="611"/>
        <w:gridCol w:w="391"/>
        <w:gridCol w:w="1565"/>
        <w:gridCol w:w="60"/>
        <w:gridCol w:w="611"/>
        <w:gridCol w:w="643"/>
        <w:gridCol w:w="1755"/>
        <w:gridCol w:w="64"/>
      </w:tblGrid>
      <w:tr>
        <w:trPr/>
        <w:tc>
          <w:tcPr>
            <w:tcW w:w="2055"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5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2398"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 November</w:t>
            </w:r>
            <w:r>
              <w:rPr/>
              <w:br/>
            </w:r>
            <w:r>
              <w:rPr>
                <w:b/>
              </w:rPr>
              <w:t>8, 2024 (Inception) to</w:t>
              <w:br/>
              <w:t>December 31, 2024</w:t>
            </w:r>
          </w:p>
        </w:tc>
        <w:tc>
          <w:tcPr>
            <w:tcW w:w="64" w:type="dxa"/>
            <w:tcBorders/>
            <w:vAlign w:val="bottom"/>
          </w:tcPr>
          <w:p>
            <w:pPr>
              <w:pStyle w:val="TableContents"/>
              <w:bidi w:val="0"/>
              <w:spacing w:before="0" w:after="283"/>
              <w:jc w:val="left"/>
              <w:rPr/>
            </w:pPr>
            <w:r>
              <w:rPr/>
              <w:t> </w:t>
            </w:r>
          </w:p>
        </w:tc>
      </w:tr>
      <w:tr>
        <w:trPr/>
        <w:tc>
          <w:tcPr>
            <w:tcW w:w="2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RSAs</w:t>
            </w:r>
          </w:p>
        </w:tc>
        <w:tc>
          <w:tcPr>
            <w:tcW w:w="61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54</w:t>
            </w:r>
          </w:p>
        </w:tc>
        <w:tc>
          <w:tcPr>
            <w:tcW w:w="64" w:type="dxa"/>
            <w:tcBorders/>
            <w:shd w:fill="CCEEFF" w:val="clear"/>
            <w:vAlign w:val="bottom"/>
          </w:tcPr>
          <w:p>
            <w:pPr>
              <w:pStyle w:val="TableContents"/>
              <w:bidi w:val="0"/>
              <w:spacing w:before="0" w:after="283"/>
              <w:jc w:val="left"/>
              <w:rPr/>
            </w:pPr>
            <w:r>
              <w:rPr/>
              <w:t> </w:t>
            </w:r>
          </w:p>
        </w:tc>
      </w:tr>
      <w:tr>
        <w:trPr/>
        <w:tc>
          <w:tcPr>
            <w:tcW w:w="2055"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611"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663</w:t>
            </w:r>
          </w:p>
        </w:tc>
        <w:tc>
          <w:tcPr>
            <w:tcW w:w="60"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Parasa Warrant Obligation</w:t>
            </w:r>
          </w:p>
        </w:tc>
        <w:tc>
          <w:tcPr>
            <w:tcW w:w="61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816</w:t>
            </w:r>
          </w:p>
        </w:tc>
        <w:tc>
          <w:tcPr>
            <w:tcW w:w="60"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055" w:type="dxa"/>
            <w:tcBorders/>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565" w:type="dxa"/>
            <w:tcBorders/>
            <w:vAlign w:val="bottom"/>
          </w:tcPr>
          <w:p>
            <w:pPr>
              <w:pStyle w:val="TableContents"/>
              <w:bidi w:val="0"/>
              <w:spacing w:before="0" w:after="283"/>
              <w:jc w:val="right"/>
              <w:rPr/>
            </w:pPr>
            <w:r>
              <w:rPr/>
              <w:t>1,608</w:t>
            </w:r>
          </w:p>
        </w:tc>
        <w:tc>
          <w:tcPr>
            <w:tcW w:w="60"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w:t>
            </w:r>
          </w:p>
        </w:tc>
        <w:tc>
          <w:tcPr>
            <w:tcW w:w="1755"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2055"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domestic and foreign components of the Company’s loss before income taxes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64"/>
        <w:gridCol w:w="614"/>
        <w:gridCol w:w="305"/>
        <w:gridCol w:w="1672"/>
        <w:gridCol w:w="155"/>
        <w:gridCol w:w="614"/>
        <w:gridCol w:w="502"/>
        <w:gridCol w:w="1371"/>
        <w:gridCol w:w="158"/>
      </w:tblGrid>
      <w:tr>
        <w:trPr/>
        <w:tc>
          <w:tcPr>
            <w:tcW w:w="2364"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4"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w:t>
              <w:br/>
              <w:t>2024</w:t>
            </w:r>
          </w:p>
        </w:tc>
        <w:tc>
          <w:tcPr>
            <w:tcW w:w="158" w:type="dxa"/>
            <w:tcBorders/>
            <w:vAlign w:val="bottom"/>
          </w:tcPr>
          <w:p>
            <w:pPr>
              <w:pStyle w:val="TableContents"/>
              <w:bidi w:val="0"/>
              <w:spacing w:before="0" w:after="283"/>
              <w:jc w:val="left"/>
              <w:rPr/>
            </w:pPr>
            <w:r>
              <w:rPr/>
              <w:t> </w:t>
            </w:r>
          </w:p>
        </w:tc>
      </w:tr>
      <w:tr>
        <w:trPr/>
        <w:tc>
          <w:tcPr>
            <w:tcW w:w="2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61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72"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(88</w:t>
            </w:r>
          </w:p>
        </w:tc>
        <w:tc>
          <w:tcPr>
            <w:tcW w:w="158" w:type="dxa"/>
            <w:tcBorders/>
            <w:shd w:fill="CCEEFF" w:val="clear"/>
            <w:vAlign w:val="bottom"/>
          </w:tcPr>
          <w:p>
            <w:pPr>
              <w:pStyle w:val="TableContents"/>
              <w:bidi w:val="0"/>
              <w:spacing w:before="0" w:after="283"/>
              <w:jc w:val="left"/>
              <w:rPr/>
            </w:pPr>
            <w:r>
              <w:rPr/>
              <w:t>) </w:t>
            </w:r>
          </w:p>
        </w:tc>
      </w:tr>
      <w:tr>
        <w:trPr/>
        <w:tc>
          <w:tcPr>
            <w:tcW w:w="236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61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2364"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1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72"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(88</w:t>
            </w:r>
          </w:p>
        </w:tc>
        <w:tc>
          <w:tcPr>
            <w:tcW w:w="158" w:type="dxa"/>
            <w:tcBorders/>
            <w:shd w:fill="CCEEFF" w:val="clear"/>
            <w:vAlign w:val="bottom"/>
          </w:tcPr>
          <w:p>
            <w:pPr>
              <w:pStyle w:val="TableContents"/>
              <w:bidi w:val="0"/>
              <w:spacing w:before="0" w:after="283"/>
              <w:jc w:val="left"/>
              <w:rPr/>
            </w:pPr>
            <w:r>
              <w:rPr/>
              <w:t>) </w:t>
            </w:r>
          </w:p>
        </w:tc>
      </w:tr>
      <w:tr>
        <w:trPr/>
        <w:tc>
          <w:tcPr>
            <w:tcW w:w="2364"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6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the U.S. federal statutory rate of 21% to the Company’s effective rate for the year ended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63"/>
        <w:gridCol w:w="278"/>
        <w:gridCol w:w="286"/>
        <w:gridCol w:w="1285"/>
        <w:gridCol w:w="313"/>
        <w:gridCol w:w="386"/>
        <w:gridCol w:w="120"/>
        <w:gridCol w:w="1037"/>
        <w:gridCol w:w="287"/>
      </w:tblGrid>
      <w:tr>
        <w:trPr/>
        <w:tc>
          <w:tcPr>
            <w:tcW w:w="3763"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76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34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2025</w:t>
            </w:r>
          </w:p>
        </w:tc>
        <w:tc>
          <w:tcPr>
            <w:tcW w:w="287"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(7,485</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21</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 Net of Federal (National) Income Tax Effect</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w:t>
            </w:r>
          </w:p>
        </w:tc>
        <w:tc>
          <w:tcPr>
            <w:tcW w:w="31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287"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Effect of Changes in Tax Laws or Rates Enacted in the Current Period</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287"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Cross-Border Tax Laws</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(463</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1.3</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7,901</w:t>
            </w:r>
          </w:p>
        </w:tc>
        <w:tc>
          <w:tcPr>
            <w:tcW w:w="31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(22.2</w:t>
            </w:r>
          </w:p>
        </w:tc>
        <w:tc>
          <w:tcPr>
            <w:tcW w:w="287"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Permanent Adjustments</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47</w:t>
            </w:r>
          </w:p>
        </w:tc>
        <w:tc>
          <w:tcPr>
            <w:tcW w:w="31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(0.1</w:t>
            </w:r>
          </w:p>
        </w:tc>
        <w:tc>
          <w:tcPr>
            <w:tcW w:w="287"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w:t>
            </w:r>
          </w:p>
        </w:tc>
        <w:tc>
          <w:tcPr>
            <w:tcW w:w="31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287" w:type="dxa"/>
            <w:tcBorders/>
            <w:vAlign w:val="bottom"/>
          </w:tcPr>
          <w:p>
            <w:pPr>
              <w:pStyle w:val="TableContents"/>
              <w:bidi w:val="0"/>
              <w:spacing w:before="0" w:after="283"/>
              <w:jc w:val="left"/>
              <w:rPr/>
            </w:pPr>
            <w:r>
              <w:rPr/>
              <w:t> </w:t>
            </w:r>
          </w:p>
        </w:tc>
      </w:tr>
      <w:tr>
        <w:trPr/>
        <w:tc>
          <w:tcPr>
            <w:tcW w:w="376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0</w:t>
            </w:r>
          </w:p>
        </w:tc>
        <w:tc>
          <w:tcPr>
            <w:tcW w:w="287" w:type="dxa"/>
            <w:tcBorders/>
            <w:shd w:fill="CCEEFF" w:val="clear"/>
            <w:vAlign w:val="bottom"/>
          </w:tcPr>
          <w:p>
            <w:pPr>
              <w:pStyle w:val="TableContents"/>
              <w:bidi w:val="0"/>
              <w:spacing w:before="0" w:after="283"/>
              <w:jc w:val="left"/>
              <w:rPr/>
            </w:pPr>
            <w:r>
              <w:rPr/>
              <w:t>% </w:t>
            </w:r>
          </w:p>
        </w:tc>
      </w:tr>
      <w:tr>
        <w:trPr/>
        <w:tc>
          <w:tcPr>
            <w:tcW w:w="3763"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period from November 8, 2024 (Inception) to December 31, 2024, the effective income tax rate differs from the statutory federal income tax rate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65"/>
        <w:gridCol w:w="917"/>
        <w:gridCol w:w="194"/>
        <w:gridCol w:w="1685"/>
        <w:gridCol w:w="278"/>
      </w:tblGrid>
      <w:tr>
        <w:trPr/>
        <w:tc>
          <w:tcPr>
            <w:tcW w:w="3865" w:type="dxa"/>
            <w:tcBorders/>
            <w:vAlign w:val="center"/>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865"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w:t>
              <w:br/>
              <w:t>2024</w:t>
            </w:r>
          </w:p>
        </w:tc>
        <w:tc>
          <w:tcPr>
            <w:tcW w:w="278"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statutory income tax rate</w:t>
            </w:r>
          </w:p>
        </w:tc>
        <w:tc>
          <w:tcPr>
            <w:tcW w:w="91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21.0</w:t>
            </w:r>
          </w:p>
        </w:tc>
        <w:tc>
          <w:tcPr>
            <w:tcW w:w="278"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benefits</w:t>
            </w:r>
          </w:p>
        </w:tc>
        <w:tc>
          <w:tcPr>
            <w:tcW w:w="91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(10.2</w:t>
            </w:r>
          </w:p>
        </w:tc>
        <w:tc>
          <w:tcPr>
            <w:tcW w:w="278"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91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2.1</w:t>
            </w:r>
          </w:p>
        </w:tc>
        <w:tc>
          <w:tcPr>
            <w:tcW w:w="278"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91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(12.9</w:t>
            </w:r>
          </w:p>
        </w:tc>
        <w:tc>
          <w:tcPr>
            <w:tcW w:w="278" w:type="dxa"/>
            <w:tcBorders/>
            <w:vAlign w:val="bottom"/>
          </w:tcPr>
          <w:p>
            <w:pPr>
              <w:pStyle w:val="TableContents"/>
              <w:bidi w:val="0"/>
              <w:spacing w:before="0" w:after="283"/>
              <w:jc w:val="left"/>
              <w:rPr/>
            </w:pPr>
            <w:r>
              <w:rPr/>
              <w:t>) </w:t>
            </w:r>
          </w:p>
        </w:tc>
      </w:tr>
      <w:tr>
        <w:trPr/>
        <w:tc>
          <w:tcPr>
            <w:tcW w:w="3865"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68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91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0.0</w:t>
            </w:r>
          </w:p>
        </w:tc>
        <w:tc>
          <w:tcPr>
            <w:tcW w:w="278" w:type="dxa"/>
            <w:tcBorders/>
            <w:shd w:fill="CCEEFF" w:val="clear"/>
            <w:vAlign w:val="bottom"/>
          </w:tcPr>
          <w:p>
            <w:pPr>
              <w:pStyle w:val="TableContents"/>
              <w:bidi w:val="0"/>
              <w:spacing w:before="0" w:after="283"/>
              <w:jc w:val="left"/>
              <w:rPr/>
            </w:pPr>
            <w:r>
              <w:rPr/>
              <w:t>% </w:t>
            </w:r>
          </w:p>
        </w:tc>
      </w:tr>
      <w:tr>
        <w:trPr/>
        <w:tc>
          <w:tcPr>
            <w:tcW w:w="3865"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68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recorded no income tax benefits for the net operating losses incurred or for the research and development tax credits generated in each year, due to its uncertainty of realizing a benefit from those items. All of the Company’s operating losses since inception have been generated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Components of the Company’s deferred tax assets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15"/>
        <w:gridCol w:w="352"/>
        <w:gridCol w:w="305"/>
        <w:gridCol w:w="1653"/>
        <w:gridCol w:w="155"/>
        <w:gridCol w:w="352"/>
        <w:gridCol w:w="527"/>
        <w:gridCol w:w="1437"/>
        <w:gridCol w:w="159"/>
      </w:tblGrid>
      <w:tr>
        <w:trPr/>
        <w:tc>
          <w:tcPr>
            <w:tcW w:w="281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1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2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5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6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81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8,277</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2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937</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2815" w:type="dxa"/>
            <w:tcBorders/>
          </w:tcPr>
          <w:p>
            <w:pPr>
              <w:pStyle w:val="TableContents"/>
              <w:bidi w:val="0"/>
              <w:spacing w:before="0" w:after="0"/>
              <w:jc w:val="left"/>
              <w:rPr>
                <w:rFonts w:ascii="Times New Roman" w:hAnsi="Times New Roman"/>
                <w:sz w:val="20"/>
              </w:rPr>
            </w:pPr>
            <w:r>
              <w:rPr>
                <w:rFonts w:ascii="Times New Roman" w:hAnsi="Times New Roman"/>
                <w:sz w:val="20"/>
              </w:rPr>
              <w:t>Accruals and Reserves</w:t>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98</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&amp; Experimental Expenditures</w:t>
            </w:r>
          </w:p>
        </w:tc>
        <w:tc>
          <w:tcPr>
            <w:tcW w:w="35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2815"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368</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License Fees</w:t>
            </w:r>
          </w:p>
        </w:tc>
        <w:tc>
          <w:tcPr>
            <w:tcW w:w="35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526</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281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81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10,252</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9</w:t>
            </w:r>
          </w:p>
        </w:tc>
        <w:tc>
          <w:tcPr>
            <w:tcW w:w="159" w:type="dxa"/>
            <w:tcBorders/>
            <w:vAlign w:val="bottom"/>
          </w:tcPr>
          <w:p>
            <w:pPr>
              <w:pStyle w:val="TableContents"/>
              <w:bidi w:val="0"/>
              <w:spacing w:before="0" w:after="283"/>
              <w:jc w:val="left"/>
              <w:rPr/>
            </w:pPr>
            <w:r>
              <w:rPr/>
              <w:t> </w:t>
            </w:r>
          </w:p>
        </w:tc>
      </w:tr>
      <w:tr>
        <w:trPr/>
        <w:tc>
          <w:tcPr>
            <w:tcW w:w="2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5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(10,252</w:t>
            </w:r>
          </w:p>
        </w:tc>
        <w:tc>
          <w:tcPr>
            <w:tcW w:w="15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(9</w:t>
            </w:r>
          </w:p>
        </w:tc>
        <w:tc>
          <w:tcPr>
            <w:tcW w:w="159" w:type="dxa"/>
            <w:tcBorders/>
            <w:shd w:fill="CCEEFF" w:val="clear"/>
            <w:vAlign w:val="bottom"/>
          </w:tcPr>
          <w:p>
            <w:pPr>
              <w:pStyle w:val="TableContents"/>
              <w:bidi w:val="0"/>
              <w:spacing w:before="0" w:after="283"/>
              <w:jc w:val="left"/>
              <w:rPr/>
            </w:pPr>
            <w:r>
              <w:rPr/>
              <w:t>) </w:t>
            </w:r>
          </w:p>
        </w:tc>
      </w:tr>
      <w:tr>
        <w:trPr/>
        <w:tc>
          <w:tcPr>
            <w:tcW w:w="281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815"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815"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federal net operating loss carryforwards of $31.5 million and less than $0.1 million, respectively, which may be available to offset future taxable income. The federal net operating losses carryforward indefinitely, but may only be used to offset 80% of annual taxable income. As of December 31, 2025 and 2024, the Company had state net operating loss carryforwards of $26.2 million and less than $0.1 million, respectively. The state net operating losses expire beginning in 2044.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also had federal research and development tax credit carryforwards of $0.5 million and $0, respectively, which may be available to offset future tax liabilities. As of December 31, 2025 and 2024, the Company had state research and development tax credit carryforwards of $0.6 million and $0, respectively. The federal tax credit carryforwards expire beginning in 2045 while the state tax credits carryforwards expire beginning in 2040.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Utilization of the U.S. federal and state net operating loss carryforwards and research and development tax credit carryforwards may be subject to a substantial annual limitation under Sections 382 and 383 of the Internal Revenue Code of 1986 (“IRC”),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If the Company has experienced a change of control, as defined by Section 382, at any time since inception, utilization of the net operating loss carryforwards, research and development tax credit carryforwards, or the federal orphan drug credits would be subject to an annual limitation under Section 382. Any limitation may result in expiration of a portion of the net operating loss carryforwards, research and development tax credit carryforwards, or the federal orphan drug credits before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the realizability of the deferred tax assets. As of December 31, 2025 and 2024,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2025 and 2024. The valuation allowance for deferred tax assets as of December 31, 2025 and 2024 was $10.3 million and less than $0.1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valuation allowance increased by $10.3 million and less than $0.1 million during the years ended December 31, 2025 and 2024, respectively. The change during the year ended December 31, 2025 was primarily due to the increase in the capitalized research and experimental expenditures, research and development tax credit and net operating loss carryforwards.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no accrued interest or penalties related to unrecorded tax benefits. The Company did not have any uncertain tax positions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as prescribed by the tax laws of the jurisdictions in which it operates. In the normal course of business, the Company is subject to examination by federal and state jurisdictions, where applicable. The federal and state income tax returns are generally subject to tax examinations for the tax years ended December 31, 2024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Paragon Antibody Discovery and Option Agreement</w:t>
            </w:r>
            <w:r>
              <w:rPr>
                <w:rFonts w:ascii="Times New Roman" w:hAnsi="Times New Roman"/>
                <w:sz w:val="20"/>
              </w:rPr>
              <w:t xml:space="preserv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(together the “A</w:t>
      </w:r>
      <w:r>
        <w:rPr>
          <w:rFonts w:ascii="SYMBOL" w:hAnsi="SYMBOL"/>
          <w:sz w:val="20"/>
        </w:rPr>
        <w:t>b</w:t>
      </w:r>
      <w:r>
        <w:rPr>
          <w:rFonts w:ascii="Times New Roman" w:hAnsi="Times New Roman"/>
          <w:sz w:val="20"/>
        </w:rPr>
        <w:t xml:space="preserve"> program”), and one undisclosed research program 003, with the ability to add additional programs by mutual agreement. The Company’s lead product candidate, KRSA-028, was developed from program 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has the exclusive option (each, an “ADOA Option”), on a Program-by-Program basis, to enter into a separate agreement with Paragon consistent with a set of pre-negotiated 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non-refundable 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low-to-mid single-digits beginning on the first commercial sale of each developed product. From time to time, the Company can choose to add additional targets by mutual agreement with Paragon.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design, modeling, synthesis, evaluation, and other mutually agreed activities (each, a “Research Plan”), which activities may include performing preclinical studies. Korsana is required to pay a one-time nonrefundable, non-creditable 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by-Research Program basis until the later of: (i) the end of the Option Period for such Research Program, as applicable, if such ADOA Option is not exercised by the Company; (ii) if the Company exercises its ADOA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30-day period and (ii)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Any License Agreement entered into with respect to a given Research Program shall contain the same milestone payment obligations as the Paragon ADOA, provided that any milestone set in the Paragon ADOA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product-by-product and country- by-country basis upon the later of the expiration of the last-to-expire 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the Company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the Company’s consolidated statements of operations and comprehensive loss during the year ended December 31, 2025. An amount of $10.6 million was unpaid by Korsana at December 31, 2025 and is included in related party accrued expenses and other current liabilities within the Company’s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one-time non-refundable payment to Paragon of $5.0 million for the license option exercise fee. Under any POA 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These payments are intended to fund the research to be performed by Paragon and Parasa under either an Antibody Discovery and Option Agreement or License Agreement. As of December 31, 2025, the Company has not exercised its option and no amounts were expensed related to the Paragon POA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one-time non-refundable 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 the 401(k) Plan may be made at the discretion of management. For the year ended December 31, 2025 and for the period from November 8, 2024 (inception) to December 31, 2024, the Company has not recorded any expense related to 401(k) Plan match contributions.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and 2024, the Company was not a party to any material legal proceedings or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21"/>
        <w:gridCol w:w="435"/>
        <w:gridCol w:w="244"/>
        <w:gridCol w:w="1735"/>
        <w:gridCol w:w="155"/>
        <w:gridCol w:w="435"/>
        <w:gridCol w:w="233"/>
        <w:gridCol w:w="1638"/>
        <w:gridCol w:w="159"/>
      </w:tblGrid>
      <w:tr>
        <w:trPr/>
        <w:tc>
          <w:tcPr>
            <w:tcW w:w="2721"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21"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w:t>
              <w:br/>
              <w:t>2024</w:t>
            </w:r>
          </w:p>
        </w:tc>
        <w:tc>
          <w:tcPr>
            <w:tcW w:w="159" w:type="dxa"/>
            <w:tcBorders/>
            <w:vAlign w:val="bottom"/>
          </w:tcPr>
          <w:p>
            <w:pPr>
              <w:pStyle w:val="TableContents"/>
              <w:bidi w:val="0"/>
              <w:spacing w:before="0" w:after="283"/>
              <w:jc w:val="left"/>
              <w:rPr/>
            </w:pPr>
            <w:r>
              <w:rPr/>
              <w:t> </w:t>
            </w:r>
          </w:p>
        </w:tc>
      </w:tr>
      <w:tr>
        <w:trPr/>
        <w:tc>
          <w:tcPr>
            <w:tcW w:w="2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35" w:type="dxa"/>
            <w:tcBorders/>
            <w:vAlign w:val="bottom"/>
          </w:tcPr>
          <w:p>
            <w:pPr>
              <w:pStyle w:val="TableContents"/>
              <w:bidi w:val="0"/>
              <w:spacing w:before="0" w:after="283"/>
              <w:jc w:val="right"/>
              <w:rPr/>
            </w:pPr>
            <w:r>
              <w:rPr/>
              <w:t>(35,642</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638"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27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2,920,548</w:t>
            </w:r>
          </w:p>
        </w:tc>
        <w:tc>
          <w:tcPr>
            <w:tcW w:w="15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1,509,434</w:t>
            </w:r>
          </w:p>
        </w:tc>
        <w:tc>
          <w:tcPr>
            <w:tcW w:w="159" w:type="dxa"/>
            <w:tcBorders/>
            <w:vAlign w:val="bottom"/>
          </w:tcPr>
          <w:p>
            <w:pPr>
              <w:pStyle w:val="TableContents"/>
              <w:bidi w:val="0"/>
              <w:spacing w:before="0" w:after="283"/>
              <w:jc w:val="left"/>
              <w:rPr/>
            </w:pPr>
            <w:r>
              <w:rPr/>
              <w:t> </w:t>
            </w:r>
          </w:p>
        </w:tc>
      </w:tr>
      <w:tr>
        <w:trPr/>
        <w:tc>
          <w:tcPr>
            <w:tcW w:w="27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35" w:type="dxa"/>
            <w:tcBorders/>
            <w:shd w:fill="CCEEFF" w:val="clear"/>
            <w:vAlign w:val="bottom"/>
          </w:tcPr>
          <w:p>
            <w:pPr>
              <w:pStyle w:val="TableContents"/>
              <w:bidi w:val="0"/>
              <w:spacing w:before="0" w:after="283"/>
              <w:jc w:val="right"/>
              <w:rPr/>
            </w:pPr>
            <w:r>
              <w:rPr/>
              <w:t>(12.20</w:t>
            </w:r>
          </w:p>
        </w:tc>
        <w:tc>
          <w:tcPr>
            <w:tcW w:w="15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638" w:type="dxa"/>
            <w:tcBorders/>
            <w:shd w:fill="CCEEFF" w:val="clear"/>
            <w:vAlign w:val="bottom"/>
          </w:tcPr>
          <w:p>
            <w:pPr>
              <w:pStyle w:val="TableContents"/>
              <w:bidi w:val="0"/>
              <w:spacing w:before="0" w:after="283"/>
              <w:jc w:val="right"/>
              <w:rPr/>
            </w:pPr>
            <w:r>
              <w:rPr/>
              <w:t>(0.06</w:t>
            </w:r>
          </w:p>
        </w:tc>
        <w:tc>
          <w:tcPr>
            <w:tcW w:w="159" w:type="dxa"/>
            <w:tcBorders/>
            <w:shd w:fill="CCEEFF" w:val="clear"/>
            <w:vAlign w:val="bottom"/>
          </w:tcPr>
          <w:p>
            <w:pPr>
              <w:pStyle w:val="TableContents"/>
              <w:bidi w:val="0"/>
              <w:spacing w:before="0" w:after="283"/>
              <w:jc w:val="left"/>
              <w:rPr/>
            </w:pPr>
            <w:r>
              <w:rPr/>
              <w:t>) </w:t>
            </w:r>
          </w:p>
        </w:tc>
      </w:tr>
      <w:tr>
        <w:trPr/>
        <w:tc>
          <w:tcPr>
            <w:tcW w:w="27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79"/>
        <w:gridCol w:w="406"/>
        <w:gridCol w:w="91"/>
        <w:gridCol w:w="1882"/>
        <w:gridCol w:w="60"/>
        <w:gridCol w:w="406"/>
        <w:gridCol w:w="96"/>
        <w:gridCol w:w="1773"/>
        <w:gridCol w:w="62"/>
      </w:tblGrid>
      <w:tr>
        <w:trPr/>
        <w:tc>
          <w:tcPr>
            <w:tcW w:w="297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97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November 8, 2024</w:t>
              <w:br/>
              <w:t>(Inception) to</w:t>
              <w:br/>
              <w:t>December 31,</w:t>
              <w:br/>
              <w:t>2024</w:t>
            </w:r>
          </w:p>
        </w:tc>
        <w:tc>
          <w:tcPr>
            <w:tcW w:w="62"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40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82"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8,000,000</w:t>
            </w:r>
          </w:p>
        </w:tc>
        <w:tc>
          <w:tcPr>
            <w:tcW w:w="62" w:type="dxa"/>
            <w:tcBorders/>
            <w:shd w:fill="CCEEFF" w:val="clear"/>
            <w:vAlign w:val="bottom"/>
          </w:tcPr>
          <w:p>
            <w:pPr>
              <w:pStyle w:val="TableContents"/>
              <w:bidi w:val="0"/>
              <w:spacing w:before="0" w:after="283"/>
              <w:jc w:val="left"/>
              <w:rPr/>
            </w:pPr>
            <w:r>
              <w:rPr/>
              <w:t> </w:t>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40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right"/>
              <w:rPr/>
            </w:pPr>
            <w:r>
              <w:rPr/>
              <w:t>8,756,187</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awards</w:t>
            </w:r>
          </w:p>
        </w:tc>
        <w:tc>
          <w:tcPr>
            <w:tcW w:w="40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82"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3,000,000</w:t>
            </w:r>
          </w:p>
        </w:tc>
        <w:tc>
          <w:tcPr>
            <w:tcW w:w="62" w:type="dxa"/>
            <w:tcBorders/>
            <w:shd w:fill="CCEEFF" w:val="clear"/>
            <w:vAlign w:val="bottom"/>
          </w:tcPr>
          <w:p>
            <w:pPr>
              <w:pStyle w:val="TableContents"/>
              <w:bidi w:val="0"/>
              <w:spacing w:before="0" w:after="283"/>
              <w:jc w:val="left"/>
              <w:rPr/>
            </w:pPr>
            <w:r>
              <w:rPr/>
              <w:t> </w:t>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warrant to Parasa</w:t>
            </w:r>
          </w:p>
        </w:tc>
        <w:tc>
          <w:tcPr>
            <w:tcW w:w="40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right"/>
              <w:rPr/>
            </w:pPr>
            <w:r>
              <w:rPr/>
              <w:t>1,102,561</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82" w:type="dxa"/>
            <w:tcBorders/>
            <w:shd w:fill="CCEEFF" w:val="clear"/>
            <w:vAlign w:val="bottom"/>
          </w:tcPr>
          <w:p>
            <w:pPr>
              <w:pStyle w:val="TableContents"/>
              <w:bidi w:val="0"/>
              <w:spacing w:before="0" w:after="283"/>
              <w:jc w:val="right"/>
              <w:rPr/>
            </w:pPr>
            <w:r>
              <w:rPr/>
              <w:t>106,358,748</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11,000,000</w:t>
            </w:r>
          </w:p>
        </w:tc>
        <w:tc>
          <w:tcPr>
            <w:tcW w:w="62"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8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77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Fairmount, Venrock, Paragon, and Parasa have been identified as related parties of Korsana and have engaged in material transactions with the Company. The ownership of outstanding shares of stock of Korsana, assuming the conversion of preferred stock into common stock,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849"/>
        <w:gridCol w:w="738"/>
        <w:gridCol w:w="366"/>
        <w:gridCol w:w="1589"/>
        <w:gridCol w:w="275"/>
        <w:gridCol w:w="707"/>
        <w:gridCol w:w="366"/>
        <w:gridCol w:w="1589"/>
        <w:gridCol w:w="276"/>
      </w:tblGrid>
      <w:tr>
        <w:trPr/>
        <w:tc>
          <w:tcPr>
            <w:tcW w:w="1849" w:type="dxa"/>
            <w:tcBorders/>
            <w:vAlign w:val="center"/>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4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6" w:type="dxa"/>
            <w:tcBorders/>
            <w:vAlign w:val="bottom"/>
          </w:tcPr>
          <w:p>
            <w:pPr>
              <w:pStyle w:val="TableContents"/>
              <w:bidi w:val="0"/>
              <w:spacing w:before="0" w:after="283"/>
              <w:jc w:val="left"/>
              <w:rPr/>
            </w:pPr>
            <w:r>
              <w:rPr/>
              <w:t> </w:t>
            </w:r>
          </w:p>
        </w:tc>
      </w:tr>
      <w:tr>
        <w:trPr/>
        <w:tc>
          <w:tcPr>
            <w:tcW w:w="1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Fairmount</w:t>
            </w:r>
          </w:p>
        </w:tc>
        <w:tc>
          <w:tcPr>
            <w:tcW w:w="738"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31</w:t>
            </w:r>
          </w:p>
        </w:tc>
        <w:tc>
          <w:tcPr>
            <w:tcW w:w="276" w:type="dxa"/>
            <w:tcBorders/>
            <w:shd w:fill="CCEEFF" w:val="clear"/>
            <w:vAlign w:val="bottom"/>
          </w:tcPr>
          <w:p>
            <w:pPr>
              <w:pStyle w:val="TableContents"/>
              <w:bidi w:val="0"/>
              <w:spacing w:before="0" w:after="283"/>
              <w:jc w:val="left"/>
              <w:rPr/>
            </w:pPr>
            <w:r>
              <w:rPr/>
              <w:t>% </w:t>
            </w:r>
          </w:p>
        </w:tc>
      </w:tr>
      <w:tr>
        <w:trPr/>
        <w:tc>
          <w:tcPr>
            <w:tcW w:w="1849" w:type="dxa"/>
            <w:tcBorders/>
          </w:tcPr>
          <w:p>
            <w:pPr>
              <w:pStyle w:val="TableContents"/>
              <w:bidi w:val="0"/>
              <w:spacing w:before="0" w:after="0"/>
              <w:jc w:val="left"/>
              <w:rPr>
                <w:rFonts w:ascii="Times New Roman" w:hAnsi="Times New Roman"/>
                <w:sz w:val="20"/>
              </w:rPr>
            </w:pPr>
            <w:r>
              <w:rPr>
                <w:rFonts w:ascii="Times New Roman" w:hAnsi="Times New Roman"/>
                <w:sz w:val="20"/>
              </w:rPr>
              <w:t>Venrock</w:t>
            </w:r>
          </w:p>
        </w:tc>
        <w:tc>
          <w:tcPr>
            <w:tcW w:w="738"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31</w:t>
            </w:r>
          </w:p>
        </w:tc>
        <w:tc>
          <w:tcPr>
            <w:tcW w:w="276" w:type="dxa"/>
            <w:tcBorders/>
            <w:vAlign w:val="bottom"/>
          </w:tcPr>
          <w:p>
            <w:pPr>
              <w:pStyle w:val="TableContents"/>
              <w:bidi w:val="0"/>
              <w:spacing w:before="0" w:after="283"/>
              <w:jc w:val="left"/>
              <w:rPr/>
            </w:pPr>
            <w:r>
              <w:rPr/>
              <w:t>% </w:t>
            </w:r>
          </w:p>
        </w:tc>
      </w:tr>
      <w:tr>
        <w:trPr/>
        <w:tc>
          <w:tcPr>
            <w:tcW w:w="1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Paragon</w:t>
            </w:r>
          </w:p>
        </w:tc>
        <w:tc>
          <w:tcPr>
            <w:tcW w:w="738"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19</w:t>
            </w:r>
          </w:p>
        </w:tc>
        <w:tc>
          <w:tcPr>
            <w:tcW w:w="276" w:type="dxa"/>
            <w:tcBorders/>
            <w:shd w:fill="CCEEFF" w:val="clear"/>
            <w:vAlign w:val="bottom"/>
          </w:tcPr>
          <w:p>
            <w:pPr>
              <w:pStyle w:val="TableContents"/>
              <w:bidi w:val="0"/>
              <w:spacing w:before="0" w:after="283"/>
              <w:jc w:val="left"/>
              <w:rPr/>
            </w:pPr>
            <w:r>
              <w:rPr/>
              <w:t>% </w:t>
            </w:r>
          </w:p>
        </w:tc>
      </w:tr>
      <w:tr>
        <w:trPr/>
        <w:tc>
          <w:tcPr>
            <w:tcW w:w="1849" w:type="dxa"/>
            <w:tcBorders/>
          </w:tcPr>
          <w:p>
            <w:pPr>
              <w:pStyle w:val="TableContents"/>
              <w:bidi w:val="0"/>
              <w:spacing w:before="0" w:after="0"/>
              <w:jc w:val="left"/>
              <w:rPr>
                <w:rFonts w:ascii="Times New Roman" w:hAnsi="Times New Roman"/>
                <w:sz w:val="20"/>
              </w:rPr>
            </w:pPr>
            <w:r>
              <w:rPr>
                <w:rFonts w:ascii="Times New Roman" w:hAnsi="Times New Roman"/>
                <w:sz w:val="20"/>
              </w:rPr>
              <w:t>Parasa</w:t>
            </w:r>
          </w:p>
        </w:tc>
        <w:tc>
          <w:tcPr>
            <w:tcW w:w="738"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19</w:t>
            </w:r>
          </w:p>
        </w:tc>
        <w:tc>
          <w:tcPr>
            <w:tcW w:w="27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Fairmount currently has two representatives appointed to Korsana’s Board of Directors. Fairmount appointed Paragon’s board of directors and has the contractual right to approve the appointment of any executive officers of Paragon. Parasa is an entity formed by Paragon as a vehicle to hold equity in Korsana in order to share profits with certain employees of Paragon. Additionally, Venrock has two representatives appointed to Korsana’s Board of Directors. The Company entered into significant related party transactions with Fairmount, Paragon and Parasa during 2024 and 2025 related to the issuance of Convertible Preferred Stock to Fairmount (see Note 5), the issuance of RSAs and warrants to Paragon and Parasa (see Note 7), the issuance of RSAs to the Company’s chief executive officer who was a venture partner at Fairmount as of December 31, 2025 (see Note 7), and the Paragon ADOA and Paragon POA (see Note 9) transactions. Other than the issuance of Convertible Preferred Stock in 2024 and 2025 (see Note 5), the Company did not have any other significant related party transactions with Venrock.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of December 31, 2025, there were five investors who participated in the Series A convertible preferred stock raise in September 2025 – an investor who owns 9.9%, an investor with two separate funds who collectively owns 9.6%, an investor with two separate funds who collectively owns 7.9%, and two investors who each own 7.4% of outstanding shares of common stock in the Company, assuming the conversion of preferred stock into common stock. Other than the issuance of Convertible Preferred Stock in 2025, the Company did not have any other significant related party transactions with these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is a summary of the segment loss, including significant segment expenses that are reviewed by the CODM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836"/>
        <w:gridCol w:w="331"/>
        <w:gridCol w:w="395"/>
        <w:gridCol w:w="1978"/>
        <w:gridCol w:w="155"/>
        <w:gridCol w:w="331"/>
        <w:gridCol w:w="704"/>
        <w:gridCol w:w="1925"/>
        <w:gridCol w:w="100"/>
      </w:tblGrid>
      <w:tr>
        <w:trPr/>
        <w:tc>
          <w:tcPr>
            <w:tcW w:w="183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 December</w:t>
              <w:br/>
              <w:t>31, 2025</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 November 8,</w:t>
              <w:br/>
              <w:t>2024 (Inception) to</w:t>
              <w:br/>
              <w:t>December 31, 2024</w:t>
            </w:r>
          </w:p>
        </w:tc>
        <w:tc>
          <w:tcPr>
            <w:tcW w:w="100" w:type="dxa"/>
            <w:tcBorders/>
            <w:vAlign w:val="bottom"/>
          </w:tcPr>
          <w:p>
            <w:pPr>
              <w:pStyle w:val="TableContents"/>
              <w:bidi w:val="0"/>
              <w:spacing w:before="0" w:after="283"/>
              <w:jc w:val="left"/>
              <w:rPr/>
            </w:pPr>
            <w:r>
              <w:rPr/>
              <w:t> </w:t>
            </w:r>
          </w:p>
        </w:tc>
      </w:tr>
      <w:tr>
        <w:trPr/>
        <w:tc>
          <w:tcPr>
            <w:tcW w:w="1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31"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1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92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research and development costs (1)</w:t>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27,003</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w:t>
            </w:r>
          </w:p>
        </w:tc>
        <w:tc>
          <w:tcPr>
            <w:tcW w:w="1925"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1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undisclosed program 003 research and development costs (2)</w:t>
            </w:r>
          </w:p>
        </w:tc>
        <w:tc>
          <w:tcPr>
            <w:tcW w:w="331"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4,062</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183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personnel costs (including stock-based compensation)</w:t>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1,274</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1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personnel costs (including stock-based compensation) (3)</w:t>
            </w:r>
          </w:p>
        </w:tc>
        <w:tc>
          <w:tcPr>
            <w:tcW w:w="331"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1,557</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56</w:t>
            </w:r>
          </w:p>
        </w:tc>
        <w:tc>
          <w:tcPr>
            <w:tcW w:w="100" w:type="dxa"/>
            <w:tcBorders/>
            <w:shd w:fill="CCEEFF" w:val="clear"/>
            <w:vAlign w:val="bottom"/>
          </w:tcPr>
          <w:p>
            <w:pPr>
              <w:pStyle w:val="TableContents"/>
              <w:bidi w:val="0"/>
              <w:spacing w:before="0" w:after="283"/>
              <w:jc w:val="left"/>
              <w:rPr/>
            </w:pPr>
            <w:r>
              <w:rPr/>
              <w:t> </w:t>
            </w:r>
          </w:p>
        </w:tc>
      </w:tr>
      <w:tr>
        <w:trPr/>
        <w:tc>
          <w:tcPr>
            <w:tcW w:w="1836"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costs (4)</w:t>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3,232</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53</w:t>
            </w:r>
          </w:p>
        </w:tc>
        <w:tc>
          <w:tcPr>
            <w:tcW w:w="100" w:type="dxa"/>
            <w:tcBorders/>
            <w:vAlign w:val="bottom"/>
          </w:tcPr>
          <w:p>
            <w:pPr>
              <w:pStyle w:val="TableContents"/>
              <w:bidi w:val="0"/>
              <w:spacing w:before="0" w:after="283"/>
              <w:jc w:val="left"/>
              <w:rPr/>
            </w:pPr>
            <w:r>
              <w:rPr/>
              <w:t> </w:t>
            </w:r>
          </w:p>
        </w:tc>
      </w:tr>
      <w:tr>
        <w:trPr/>
        <w:tc>
          <w:tcPr>
            <w:tcW w:w="1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 (5)</w:t>
            </w:r>
          </w:p>
        </w:tc>
        <w:tc>
          <w:tcPr>
            <w:tcW w:w="331"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183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( 1,649</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(21</w:t>
            </w:r>
          </w:p>
        </w:tc>
        <w:tc>
          <w:tcPr>
            <w:tcW w:w="100" w:type="dxa"/>
            <w:tcBorders/>
            <w:vAlign w:val="bottom"/>
          </w:tcPr>
          <w:p>
            <w:pPr>
              <w:pStyle w:val="TableContents"/>
              <w:bidi w:val="0"/>
              <w:spacing w:before="0" w:after="283"/>
              <w:jc w:val="left"/>
              <w:rPr/>
            </w:pPr>
            <w:r>
              <w:rPr/>
              <w:t>)</w:t>
            </w:r>
          </w:p>
        </w:tc>
      </w:tr>
      <w:tr>
        <w:trPr/>
        <w:tc>
          <w:tcPr>
            <w:tcW w:w="1836"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925"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1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31"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1978" w:type="dxa"/>
            <w:tcBorders/>
            <w:shd w:fill="CCEEFF" w:val="clear"/>
            <w:vAlign w:val="bottom"/>
          </w:tcPr>
          <w:p>
            <w:pPr>
              <w:pStyle w:val="TableContents"/>
              <w:bidi w:val="0"/>
              <w:spacing w:before="0" w:after="283"/>
              <w:jc w:val="right"/>
              <w:rPr/>
            </w:pPr>
            <w:r>
              <w:rPr/>
              <w:t>35,642</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pPr>
            <w:r>
              <w:rPr/>
              <w:t>$</w:t>
            </w:r>
          </w:p>
        </w:tc>
        <w:tc>
          <w:tcPr>
            <w:tcW w:w="1925" w:type="dxa"/>
            <w:tcBorders/>
            <w:shd w:fill="CCEEFF" w:val="clear"/>
            <w:vAlign w:val="bottom"/>
          </w:tcPr>
          <w:p>
            <w:pPr>
              <w:pStyle w:val="TableContents"/>
              <w:bidi w:val="0"/>
              <w:spacing w:before="0" w:after="283"/>
              <w:jc w:val="right"/>
              <w:rPr/>
            </w:pPr>
            <w:r>
              <w:rPr/>
              <w:t>88</w:t>
            </w:r>
          </w:p>
        </w:tc>
        <w:tc>
          <w:tcPr>
            <w:tcW w:w="100" w:type="dxa"/>
            <w:tcBorders/>
            <w:shd w:fill="CCEEFF" w:val="clear"/>
            <w:vAlign w:val="bottom"/>
          </w:tcPr>
          <w:p>
            <w:pPr>
              <w:pStyle w:val="TableContents"/>
              <w:bidi w:val="0"/>
              <w:spacing w:before="0" w:after="283"/>
              <w:jc w:val="left"/>
              <w:rPr/>
            </w:pPr>
            <w:r>
              <w:rPr/>
              <w:t> </w:t>
            </w:r>
          </w:p>
        </w:tc>
      </w:tr>
      <w:tr>
        <w:trPr/>
        <w:tc>
          <w:tcPr>
            <w:tcW w:w="1836"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925"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$26,411 for the year ended December 31, 2025 and $0 for the period from November 8, 2024 (inception)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$3,936 for the year ended December 31, 2025 and $0 for the period from November 8, 2024 (inception)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$862 for the year ended December 31, 2025 and $0 for the period from November 8, 2024 (inception)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$1,203 for the year ended December 31, 2025 and $0 for the period from November 8, 2024 (inception)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$39 for the year ended December 31, 2025 and $0 for the period from November 8, 2024 (inception)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events and transactions occurring subsequent to December 31, 2025 through April 17, 2026, the date at which the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Company exercised its ADOA Option with respect to Research Program 002, and is currently negotiating the related License Agreement. The Company made a $5.0 million milestone payment to Paragon in March 2026 related to the nomination of KRSA-028 as the development candidate for Research Program 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April 3, 2026, the Company entered into an Antibody Oligo Conjugate Research Letter Agreement with Paragon Laboratories, Inc. to initiate a Research Program focused on the development of antibody oligonucleotide conjugates directed to a selected target. The Paragon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At this time, the Company has not exercised either Option related to the Paragon Research Letter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bookmarkStart w:id="65" w:name="fin111069_13"/>
      <w:bookmarkEnd w:id="65"/>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0"/>
        <w:gridCol w:w="192"/>
        <w:gridCol w:w="150"/>
        <w:gridCol w:w="867"/>
        <w:gridCol w:w="155"/>
        <w:gridCol w:w="192"/>
        <w:gridCol w:w="207"/>
        <w:gridCol w:w="1212"/>
        <w:gridCol w:w="160"/>
      </w:tblGrid>
      <w:tr>
        <w:trPr/>
        <w:tc>
          <w:tcPr>
            <w:tcW w:w="707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134,162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154,135</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947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461</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135,109</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154,596</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1,097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137,698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154,596</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176</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(1)</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7,398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12,313</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7,766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12,489</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Long term liabilities:</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484</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538</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937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9,187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13,027</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(formerly known as Series A) convertible preferred stock, $0.0001 par value; 20,000,000 shares authorized as of March 31, 2026 and December 31, 2025; 20,000,000 shares issued and outstanding as of March 31, 2026 and December 31, 2025; liquidation preference of $25,000 as of March 31, 2026 and December 31, 2025</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24,964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24,964</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$0.0001 par value; 75,500,000 shares authorized as of March 31, 2026 and December 31, 2025; 75,500,000 shares issued and outstanding as of March 31, 2026 and December 31, 2025; liquidation preference of $151,000 as of March 31, 2026 and December 31, 2025</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150,573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150,573</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122,363,552 shares authorized as of March 31, 2026 and December 31, 2025; 6,000,000 shares issued and outstanding as of March 31, 2026 and December 31, 2025</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2,213</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1,761</w:t>
            </w:r>
          </w:p>
        </w:tc>
        <w:tc>
          <w:tcPr>
            <w:tcW w:w="160" w:type="dxa"/>
            <w:tcBorders/>
            <w:vAlign w:val="bottom"/>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(49,240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(35,730</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(47,026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(33,968</w:t>
            </w:r>
          </w:p>
        </w:tc>
        <w:tc>
          <w:tcPr>
            <w:tcW w:w="16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137,698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154,596</w:t>
            </w:r>
          </w:p>
        </w:tc>
        <w:tc>
          <w:tcPr>
            <w:tcW w:w="16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$3,582 as of March 31, 2026 and $10,565 as of December 31, 2025 (see Note 13).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bookmarkStart w:id="66" w:name="fin111069_14"/>
      <w:bookmarkEnd w:id="66"/>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64"/>
        <w:gridCol w:w="517"/>
        <w:gridCol w:w="201"/>
        <w:gridCol w:w="1421"/>
        <w:gridCol w:w="155"/>
        <w:gridCol w:w="466"/>
        <w:gridCol w:w="201"/>
        <w:gridCol w:w="1421"/>
        <w:gridCol w:w="159"/>
      </w:tblGrid>
      <w:tr>
        <w:trPr/>
        <w:tc>
          <w:tcPr>
            <w:tcW w:w="5664"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155"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2025</w:t>
            </w:r>
          </w:p>
        </w:tc>
        <w:tc>
          <w:tcPr>
            <w:tcW w:w="159" w:type="dxa"/>
            <w:tcBorders/>
            <w:vAlign w:val="bottom"/>
          </w:tcPr>
          <w:p>
            <w:pPr>
              <w:pStyle w:val="TableContents"/>
              <w:bidi w:val="0"/>
              <w:spacing w:before="0" w:after="283"/>
              <w:jc w:val="left"/>
              <w:rPr/>
            </w:pPr>
            <w:r>
              <w:rPr/>
              <w:t> </w:t>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4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4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6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11,477</w:t>
            </w:r>
          </w:p>
        </w:tc>
        <w:tc>
          <w:tcPr>
            <w:tcW w:w="155"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3,283</w:t>
            </w:r>
          </w:p>
        </w:tc>
        <w:tc>
          <w:tcPr>
            <w:tcW w:w="155"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44</w:t>
            </w:r>
          </w:p>
        </w:tc>
        <w:tc>
          <w:tcPr>
            <w:tcW w:w="159"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right"/>
              <w:rPr/>
            </w:pPr>
            <w:r>
              <w:rPr/>
              <w:t>14,760</w:t>
            </w:r>
          </w:p>
        </w:tc>
        <w:tc>
          <w:tcPr>
            <w:tcW w:w="155"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right"/>
              <w:rPr/>
            </w:pPr>
            <w:r>
              <w:rPr/>
              <w:t>143</w:t>
            </w:r>
          </w:p>
        </w:tc>
        <w:tc>
          <w:tcPr>
            <w:tcW w:w="159" w:type="dxa"/>
            <w:tcBorders/>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(14,760</w:t>
            </w:r>
          </w:p>
        </w:tc>
        <w:tc>
          <w:tcPr>
            <w:tcW w:w="155"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(143</w:t>
            </w:r>
          </w:p>
        </w:tc>
        <w:tc>
          <w:tcPr>
            <w:tcW w:w="159"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70</w:t>
            </w:r>
          </w:p>
        </w:tc>
        <w:tc>
          <w:tcPr>
            <w:tcW w:w="159"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right"/>
              <w:rPr/>
            </w:pPr>
            <w:r>
              <w:rPr/>
              <w:t>1,250</w:t>
            </w:r>
          </w:p>
        </w:tc>
        <w:tc>
          <w:tcPr>
            <w:tcW w:w="155"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(73</w:t>
            </w:r>
          </w:p>
        </w:tc>
        <w:tc>
          <w:tcPr>
            <w:tcW w:w="159"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(0.04</w:t>
            </w:r>
          </w:p>
        </w:tc>
        <w:tc>
          <w:tcPr>
            <w:tcW w:w="159" w:type="dxa"/>
            <w:tcBorders/>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5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5,000,000</w:t>
            </w:r>
          </w:p>
        </w:tc>
        <w:tc>
          <w:tcPr>
            <w:tcW w:w="155"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right"/>
              <w:rPr/>
            </w:pPr>
            <w:r>
              <w:rPr/>
              <w:t>2,000,000</w:t>
            </w:r>
          </w:p>
        </w:tc>
        <w:tc>
          <w:tcPr>
            <w:tcW w:w="159"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$8,790 and $23 for the three months ended March 31, 2026 and March 31, 2025, respectively (see Note 13).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6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bookmarkStart w:id="67" w:name="fin111069_15"/>
      <w:bookmarkEnd w:id="67"/>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1155" w:type="dxa"/>
        <w:jc w:val="center"/>
        <w:tblInd w:w="0" w:type="dxa"/>
        <w:tblLayout w:type="fixed"/>
        <w:tblCellMar>
          <w:top w:w="0" w:type="dxa"/>
          <w:left w:w="0" w:type="dxa"/>
          <w:bottom w:w="0" w:type="dxa"/>
          <w:right w:w="0" w:type="dxa"/>
        </w:tblCellMar>
      </w:tblPr>
      <w:tblGrid>
        <w:gridCol w:w="1175"/>
        <w:gridCol w:w="60"/>
        <w:gridCol w:w="60"/>
        <w:gridCol w:w="1100"/>
        <w:gridCol w:w="60"/>
        <w:gridCol w:w="60"/>
        <w:gridCol w:w="140"/>
        <w:gridCol w:w="800"/>
        <w:gridCol w:w="60"/>
        <w:gridCol w:w="60"/>
        <w:gridCol w:w="60"/>
        <w:gridCol w:w="980"/>
        <w:gridCol w:w="60"/>
        <w:gridCol w:w="60"/>
        <w:gridCol w:w="231"/>
        <w:gridCol w:w="629"/>
        <w:gridCol w:w="60"/>
        <w:gridCol w:w="60"/>
        <w:gridCol w:w="313"/>
        <w:gridCol w:w="1252"/>
        <w:gridCol w:w="60"/>
        <w:gridCol w:w="60"/>
        <w:gridCol w:w="214"/>
        <w:gridCol w:w="1156"/>
        <w:gridCol w:w="155"/>
        <w:gridCol w:w="60"/>
        <w:gridCol w:w="315"/>
        <w:gridCol w:w="1700"/>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 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 Equity</w:t>
            </w:r>
          </w:p>
        </w:tc>
        <w:tc>
          <w:tcPr>
            <w:tcW w:w="155" w:type="dxa"/>
            <w:vMerge w:val="restart"/>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5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9,964</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9,964</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Balances as of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175,537</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(35,730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(33,968</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452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452</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175,537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(49,240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(47,026</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bookmarkStart w:id="68" w:name="fin111069_16"/>
      <w:bookmarkEnd w:id="68"/>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4"/>
        <w:gridCol w:w="538"/>
        <w:gridCol w:w="239"/>
        <w:gridCol w:w="1438"/>
        <w:gridCol w:w="155"/>
        <w:gridCol w:w="489"/>
        <w:gridCol w:w="287"/>
        <w:gridCol w:w="1346"/>
        <w:gridCol w:w="159"/>
      </w:tblGrid>
      <w:tr>
        <w:trPr/>
        <w:tc>
          <w:tcPr>
            <w:tcW w:w="5554"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6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br/>
              <w:t>March 31, 2025</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(13,510</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(73</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660</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(216</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194</w:t>
            </w:r>
          </w:p>
        </w:tc>
        <w:tc>
          <w:tcPr>
            <w:tcW w:w="159" w:type="dxa"/>
            <w:tcBorders/>
            <w:shd w:fill="CCEEFF" w:val="clear"/>
            <w:vAlign w:val="bottom"/>
          </w:tcPr>
          <w:p>
            <w:pPr>
              <w:pStyle w:val="TableContents"/>
              <w:bidi w:val="0"/>
              <w:spacing w:before="0" w:after="283"/>
              <w:jc w:val="left"/>
              <w:rPr/>
            </w:pPr>
            <w:r>
              <w:rPr/>
              <w:t> </w:t>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(1)</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(5,965</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(19,477</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(41</w:t>
            </w:r>
          </w:p>
        </w:tc>
        <w:tc>
          <w:tcPr>
            <w:tcW w:w="159" w:type="dxa"/>
            <w:tcBorders/>
            <w:shd w:fill="CCEEFF" w:val="clear"/>
            <w:vAlign w:val="bottom"/>
          </w:tcPr>
          <w:p>
            <w:pPr>
              <w:pStyle w:val="TableContents"/>
              <w:bidi w:val="0"/>
              <w:spacing w:before="0" w:after="283"/>
              <w:jc w:val="left"/>
              <w:rPr/>
            </w:pPr>
            <w:r>
              <w:rPr/>
              <w:t>) </w:t>
            </w:r>
          </w:p>
        </w:tc>
      </w:tr>
      <w:tr>
        <w:trPr/>
        <w:tc>
          <w:tcPr>
            <w:tcW w:w="555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(19,877</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(41</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154,135</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10,108</w:t>
            </w:r>
          </w:p>
        </w:tc>
        <w:tc>
          <w:tcPr>
            <w:tcW w:w="159" w:type="dxa"/>
            <w:tcBorders/>
            <w:shd w:fill="CCEEFF" w:val="clear"/>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134,258</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10,067</w:t>
            </w:r>
          </w:p>
        </w:tc>
        <w:tc>
          <w:tcPr>
            <w:tcW w:w="159" w:type="dxa"/>
            <w:tcBorders/>
            <w:vAlign w:val="bottom"/>
          </w:tcPr>
          <w:p>
            <w:pPr>
              <w:pStyle w:val="TableContents"/>
              <w:bidi w:val="0"/>
              <w:spacing w:before="0" w:after="283"/>
              <w:jc w:val="left"/>
              <w:rPr/>
            </w:pPr>
            <w:r>
              <w:rPr/>
              <w:t> </w:t>
            </w:r>
          </w:p>
        </w:tc>
      </w:tr>
      <w:tr>
        <w:trPr/>
        <w:tc>
          <w:tcPr>
            <w:tcW w:w="555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4"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w:t>
            </w:r>
          </w:p>
        </w:tc>
        <w:tc>
          <w:tcPr>
            <w:tcW w:w="53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996</w:t>
            </w:r>
          </w:p>
        </w:tc>
        <w:tc>
          <w:tcPr>
            <w:tcW w:w="15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arising from obtaining right-of-use asset</w:t>
            </w:r>
          </w:p>
        </w:tc>
        <w:tc>
          <w:tcPr>
            <w:tcW w:w="53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1,097</w:t>
            </w:r>
          </w:p>
        </w:tc>
        <w:tc>
          <w:tcPr>
            <w:tcW w:w="15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change in related party amount of $(6,983) and $0 for the three months ended March 31, 2026 and March 31, 2025, respectively (see Note 13).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bookmarkStart w:id="69" w:name="fin111069_17"/>
      <w:bookmarkEnd w:id="69"/>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The Company historically operated as a virtual company and did not maintain a corporate headquarters or other significant facilities. As of March 31, 2026, the Company entered into an operating lease agreement for office space located in Waltham, Massachusetts. Korsana was formed to develop therapies built on Therapeutic Targeting (THETATM), a next generation blood-brain barrier (BBB) platform, with an initial focus on neurodegenerative disorders, including its lead product candidate, KRSA-028, an anti-amyloid beta (“A</w:t>
      </w:r>
      <w:r>
        <w:rPr>
          <w:rFonts w:ascii="SYMBOL" w:hAnsi="SYMBOL"/>
          <w:sz w:val="20"/>
        </w:rPr>
        <w:t>b</w:t>
      </w:r>
      <w:r>
        <w:rPr>
          <w:rFonts w:ascii="Times New Roman" w:hAnsi="Times New Roman"/>
          <w:sz w:val="20"/>
        </w:rPr>
        <w:t>”) antibody that combines the proprietary Therapeutic Targeting (“THETA”) platform with well-validated aspects from other anti-A</w:t>
      </w:r>
      <w:r>
        <w:rPr>
          <w:rFonts w:ascii="SYMBOL" w:hAnsi="SYMBOL"/>
          <w:sz w:val="20"/>
        </w:rPr>
        <w:t>b</w:t>
      </w:r>
      <w:r>
        <w:rPr>
          <w:rFonts w:ascii="Times New Roman" w:hAnsi="Times New Roman"/>
          <w:sz w:val="20"/>
        </w:rPr>
        <w:t xml:space="preserve"> products that have achieved regulatory approval or are in late-stage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Pre-Closing Financing described below) will be automatically converted solely into the right to receive a number of shares of Cyclerion common stock equal to the Exchange Ratio as defined in the Merger Agreement, (ii)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then-outstanding share of Korsana Series Seed preferred stock will be converted into the right to receive a number of shares of Cyclerion Series B non-voting 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 outstanding warrant to purchase Korsana common stock will be assumed by Cylcerion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pre-funded warrants at an estimated purchase price of $2.3534 per share and $2.3533 per warrant, for an aggregate purchase price of $380.0 million in a private placement (the “Korsana Pre-Closing Financing”). Shares of the Company’s common stock and pre-funded warrants to purchase shares of the Company’s common stock issued pursuant to the Korsana Pre-Closing Financing will be converted into shares of Cyclerion common stock and pre-funded 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and accompanying notes have been prepared in accordance with accounting principles generally accepted in the United States of America (“U.S. GAAP”).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audited financial statements. 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The condensed consolidated financial statements include the financial statements of the Company and its wholly owned subsidiary, Korsana Securities Corporation. All significant intercompany accounts and transactions have been eliminated in the preparation of the accompanying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twelve months of the date that the condensed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generated any revenue from product sales or other sources and has incurred significant operating losses and negative cash flows from operations since inception. The Company has incurred net losses of $13.5 million and $0.1 million during the three months ended March 31, 2026 and March 31, 2025, respectively. As of March 31, 2026, the Company had an accumulated deficit of $49.2 million. As of March 31, 2026, the Company had $134.2 million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condensed consolidated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its audited financial statements as of and for the year ended December 31, 2025 and as of December 31, 2024 and for the period from November 8, 2024 (inception) to December 31, 2024 and the related notes disclosed elsewhere in this definitive proxy statement/prospectus on Form S-4. Since the date of those financial statements, there have been no changes to the Company’s significant accounting policies except as noted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cash, cash equivalents, and restricted cash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43"/>
        <w:gridCol w:w="531"/>
        <w:gridCol w:w="245"/>
        <w:gridCol w:w="1418"/>
        <w:gridCol w:w="60"/>
        <w:gridCol w:w="531"/>
        <w:gridCol w:w="275"/>
        <w:gridCol w:w="1388"/>
        <w:gridCol w:w="64"/>
      </w:tblGrid>
      <w:tr>
        <w:trPr/>
        <w:tc>
          <w:tcPr>
            <w:tcW w:w="3243"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4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4" w:type="dxa"/>
            <w:tcBorders/>
            <w:vAlign w:val="bottom"/>
          </w:tcPr>
          <w:p>
            <w:pPr>
              <w:pStyle w:val="TableContents"/>
              <w:bidi w:val="0"/>
              <w:spacing w:before="0" w:after="283"/>
              <w:jc w:val="left"/>
              <w:rPr/>
            </w:pPr>
            <w:r>
              <w:rPr/>
              <w:t> </w:t>
            </w:r>
          </w:p>
        </w:tc>
      </w:tr>
      <w:tr>
        <w:trPr/>
        <w:tc>
          <w:tcPr>
            <w:tcW w:w="3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3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8" w:type="dxa"/>
            <w:tcBorders/>
            <w:shd w:fill="CCEEFF" w:val="clear"/>
            <w:vAlign w:val="bottom"/>
          </w:tcPr>
          <w:p>
            <w:pPr>
              <w:pStyle w:val="TableContents"/>
              <w:bidi w:val="0"/>
              <w:spacing w:before="0" w:after="283"/>
              <w:jc w:val="right"/>
              <w:rPr/>
            </w:pPr>
            <w:r>
              <w:rPr/>
              <w:t>134,162</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10,067</w:t>
            </w:r>
          </w:p>
        </w:tc>
        <w:tc>
          <w:tcPr>
            <w:tcW w:w="64" w:type="dxa"/>
            <w:tcBorders/>
            <w:shd w:fill="CCEEFF" w:val="clear"/>
            <w:vAlign w:val="bottom"/>
          </w:tcPr>
          <w:p>
            <w:pPr>
              <w:pStyle w:val="TableContents"/>
              <w:bidi w:val="0"/>
              <w:spacing w:before="0" w:after="283"/>
              <w:jc w:val="left"/>
              <w:rPr/>
            </w:pPr>
            <w:r>
              <w:rPr/>
              <w:t> </w:t>
            </w:r>
          </w:p>
        </w:tc>
      </w:tr>
      <w:tr>
        <w:trPr/>
        <w:tc>
          <w:tcPr>
            <w:tcW w:w="324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3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53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8" w:type="dxa"/>
            <w:tcBorders/>
            <w:shd w:fill="CCEEFF" w:val="clear"/>
            <w:vAlign w:val="bottom"/>
          </w:tcPr>
          <w:p>
            <w:pPr>
              <w:pStyle w:val="TableContents"/>
              <w:bidi w:val="0"/>
              <w:spacing w:before="0" w:after="283"/>
              <w:jc w:val="right"/>
              <w:rPr/>
            </w:pPr>
            <w:r>
              <w:rPr/>
              <w:t>134,258</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10,067</w:t>
            </w:r>
          </w:p>
        </w:tc>
        <w:tc>
          <w:tcPr>
            <w:tcW w:w="64" w:type="dxa"/>
            <w:tcBorders/>
            <w:shd w:fill="CCEEFF" w:val="clear"/>
            <w:vAlign w:val="bottom"/>
          </w:tcPr>
          <w:p>
            <w:pPr>
              <w:pStyle w:val="TableContents"/>
              <w:bidi w:val="0"/>
              <w:spacing w:before="0" w:after="283"/>
              <w:jc w:val="left"/>
              <w:rPr/>
            </w:pPr>
            <w:r>
              <w:rPr/>
              <w:t> </w:t>
            </w:r>
          </w:p>
        </w:tc>
      </w:tr>
      <w:tr>
        <w:trPr/>
        <w:tc>
          <w:tcPr>
            <w:tcW w:w="324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considers all short-term, highly liquid investments purchased with an original maturity of three months or less at the date of purchase to be cash equivalents. As of March 31, 2026, the Company’s restricted cash relates to a letter of credit for its office lease in Waltham, Massachusetts and is included in other assets in the Company’s condensed consolidated balance sheet. The carrying value of the restricted cash approximates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expense is recognized using the straight-line method over the estimated useful life of each asset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53"/>
        <w:gridCol w:w="247"/>
        <w:gridCol w:w="4972"/>
      </w:tblGrid>
      <w:tr>
        <w:trPr/>
        <w:tc>
          <w:tcPr>
            <w:tcW w:w="3353"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4972"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4972"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 (Years)</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47" w:type="dxa"/>
            <w:tcBorders/>
            <w:shd w:fill="CCEEFF" w:val="clear"/>
            <w:vAlign w:val="bottom"/>
          </w:tcPr>
          <w:p>
            <w:pPr>
              <w:pStyle w:val="TableContents"/>
              <w:bidi w:val="0"/>
              <w:spacing w:before="0" w:after="283"/>
              <w:jc w:val="left"/>
              <w:rPr/>
            </w:pPr>
            <w:r>
              <w:rPr/>
              <w:t>  </w:t>
            </w:r>
          </w:p>
        </w:tc>
        <w:tc>
          <w:tcPr>
            <w:tcW w:w="4972" w:type="dxa"/>
            <w:tcBorders/>
            <w:shd w:fill="CCEEFF" w:val="clear"/>
            <w:vAlign w:val="bottom"/>
          </w:tcPr>
          <w:p>
            <w:pPr>
              <w:pStyle w:val="TableContents"/>
              <w:bidi w:val="0"/>
              <w:spacing w:before="0" w:after="283"/>
              <w:jc w:val="center"/>
              <w:rPr/>
            </w:pPr>
            <w:r>
              <w:rPr/>
              <w:t>Lesser of the life of the asset or remaining lease term</w:t>
            </w:r>
          </w:p>
        </w:tc>
      </w:tr>
      <w:tr>
        <w:trPr/>
        <w:tc>
          <w:tcPr>
            <w:tcW w:w="3353"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47" w:type="dxa"/>
            <w:tcBorders/>
            <w:vAlign w:val="bottom"/>
          </w:tcPr>
          <w:p>
            <w:pPr>
              <w:pStyle w:val="TableContents"/>
              <w:bidi w:val="0"/>
              <w:spacing w:before="0" w:after="283"/>
              <w:jc w:val="left"/>
              <w:rPr/>
            </w:pPr>
            <w:r>
              <w:rPr/>
              <w:t>  </w:t>
            </w:r>
          </w:p>
        </w:tc>
        <w:tc>
          <w:tcPr>
            <w:tcW w:w="4972" w:type="dxa"/>
            <w:tcBorders/>
            <w:vAlign w:val="bottom"/>
          </w:tcPr>
          <w:p>
            <w:pPr>
              <w:pStyle w:val="TableContents"/>
              <w:bidi w:val="0"/>
              <w:spacing w:before="0" w:after="283"/>
              <w:jc w:val="center"/>
              <w:rPr/>
            </w:pPr>
            <w:r>
              <w:rPr/>
              <w:t>5 years</w:t>
            </w:r>
          </w:p>
        </w:tc>
      </w:tr>
      <w:tr>
        <w:trPr/>
        <w:tc>
          <w:tcPr>
            <w:tcW w:w="3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247" w:type="dxa"/>
            <w:tcBorders/>
            <w:shd w:fill="CCEEFF" w:val="clear"/>
            <w:vAlign w:val="bottom"/>
          </w:tcPr>
          <w:p>
            <w:pPr>
              <w:pStyle w:val="TableContents"/>
              <w:bidi w:val="0"/>
              <w:spacing w:before="0" w:after="283"/>
              <w:jc w:val="left"/>
              <w:rPr/>
            </w:pPr>
            <w:r>
              <w:rPr/>
              <w:t>  </w:t>
            </w:r>
          </w:p>
        </w:tc>
        <w:tc>
          <w:tcPr>
            <w:tcW w:w="4972" w:type="dxa"/>
            <w:tcBorders/>
            <w:shd w:fill="CCEEFF" w:val="clear"/>
            <w:vAlign w:val="bottom"/>
          </w:tcPr>
          <w:p>
            <w:pPr>
              <w:pStyle w:val="TableContents"/>
              <w:bidi w:val="0"/>
              <w:spacing w:before="0" w:after="283"/>
              <w:jc w:val="center"/>
              <w:rPr/>
            </w:pPr>
            <w:r>
              <w:rPr/>
              <w:t>3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in-process equity financings as deferred offering costs until such financings are consummated. After the consummation of an equity financing, these costs are recorded as a reduction of the proceeds from the offering, either as a reduction of the carrying value of the common or preferred stock or in stockholders’ deficit as a reduction of additional paid-in capital generated as a result of the offering. Should the in-process equity financing be abandoned, the deferred offering costs would be expensed immediately as a charge to operating expenses in the statement of operations and comprehensive loss. As of March 31, 2026, deferred offering costs of $1.2 million were recorded as other assets in the condensed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arrangements entered into to determine whether or not it includes a lease. 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 </w:t>
      </w:r>
    </w:p>
    <w:p>
      <w:pPr>
        <w:pStyle w:val="TextBody"/>
        <w:bidi w:val="0"/>
        <w:spacing w:before="240" w:after="0"/>
        <w:jc w:val="left"/>
        <w:rPr>
          <w:rFonts w:ascii="Times New Roman" w:hAnsi="Times New Roman"/>
          <w:sz w:val="20"/>
        </w:rPr>
      </w:pPr>
      <w:r>
        <w:rPr>
          <w:rFonts w:ascii="Times New Roman" w:hAnsi="Times New Roman"/>
          <w:sz w:val="20"/>
        </w:rPr>
        <w:t xml:space="preserve">At the lease commencement date, operating lease liabilities and their corresponding ROU assets are recorded at the present value of future minimum lease payments over the expected remaining lease term.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determines the present value of lease payments using the implicit rate, if it is readily determinable, or the incremental borrowing rate for the lease term. As the Company’s leases do not provide an implicit rate, the Company uses its incremental borrowing rate to discount lease payments. The incremental borrowing rate represents an estimated rate of interest that the Company would have to pay to borrow equivalent funds on a collateralized basis at the lease commencement date.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March 31, 2026, the Company has one operating lease and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lease and non-lease components related to operating leases for office space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real estate taxes, utilities, and other office space related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Company’s fair value hierarchy for financial assets and liabilities measured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6"/>
        <w:gridCol w:w="336"/>
        <w:gridCol w:w="140"/>
        <w:gridCol w:w="806"/>
        <w:gridCol w:w="60"/>
        <w:gridCol w:w="336"/>
        <w:gridCol w:w="203"/>
        <w:gridCol w:w="571"/>
        <w:gridCol w:w="60"/>
        <w:gridCol w:w="336"/>
        <w:gridCol w:w="202"/>
        <w:gridCol w:w="571"/>
        <w:gridCol w:w="60"/>
        <w:gridCol w:w="336"/>
        <w:gridCol w:w="140"/>
        <w:gridCol w:w="806"/>
        <w:gridCol w:w="69"/>
      </w:tblGrid>
      <w:tr>
        <w:trPr/>
        <w:tc>
          <w:tcPr>
            <w:tcW w:w="435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46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130,293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130,293</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130,293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130,293</w:t>
            </w:r>
          </w:p>
        </w:tc>
        <w:tc>
          <w:tcPr>
            <w:tcW w:w="69" w:type="dxa"/>
            <w:tcBorders/>
            <w:shd w:fill="CCEEFF" w:val="clear"/>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6"/>
        <w:gridCol w:w="336"/>
        <w:gridCol w:w="140"/>
        <w:gridCol w:w="806"/>
        <w:gridCol w:w="60"/>
        <w:gridCol w:w="336"/>
        <w:gridCol w:w="203"/>
        <w:gridCol w:w="571"/>
        <w:gridCol w:w="60"/>
        <w:gridCol w:w="336"/>
        <w:gridCol w:w="202"/>
        <w:gridCol w:w="571"/>
        <w:gridCol w:w="60"/>
        <w:gridCol w:w="336"/>
        <w:gridCol w:w="140"/>
        <w:gridCol w:w="806"/>
        <w:gridCol w:w="69"/>
      </w:tblGrid>
      <w:tr>
        <w:trPr/>
        <w:tc>
          <w:tcPr>
            <w:tcW w:w="435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46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149,096</w:t>
            </w:r>
          </w:p>
        </w:tc>
        <w:tc>
          <w:tcPr>
            <w:tcW w:w="69" w:type="dxa"/>
            <w:tcBorders/>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149,096</w:t>
            </w:r>
          </w:p>
        </w:tc>
        <w:tc>
          <w:tcPr>
            <w:tcW w:w="69" w:type="dxa"/>
            <w:tcBorders/>
            <w:shd w:fill="CCEEFF" w:val="clear"/>
            <w:vAlign w:val="bottom"/>
          </w:tcPr>
          <w:p>
            <w:pPr>
              <w:pStyle w:val="TableContents"/>
              <w:bidi w:val="0"/>
              <w:spacing w:before="0" w:after="283"/>
              <w:jc w:val="left"/>
              <w:rPr/>
            </w:pPr>
            <w:r>
              <w:rPr/>
              <w:t> </w:t>
            </w:r>
          </w:p>
        </w:tc>
      </w:tr>
      <w:tr>
        <w:trPr/>
        <w:tc>
          <w:tcPr>
            <w:tcW w:w="435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equivalents consist of money market funds, which were valued by the Company based on quoted market prices, which represent a Level 1 measurement within the fair value hierarchy. There were no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between Level 1, Level 2, or Level 3 during the three months ended March 31, 2026 and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1"/>
        <w:gridCol w:w="461"/>
        <w:gridCol w:w="220"/>
        <w:gridCol w:w="882"/>
        <w:gridCol w:w="60"/>
        <w:gridCol w:w="461"/>
        <w:gridCol w:w="242"/>
        <w:gridCol w:w="1233"/>
        <w:gridCol w:w="65"/>
      </w:tblGrid>
      <w:tr>
        <w:trPr/>
        <w:tc>
          <w:tcPr>
            <w:tcW w:w="4131"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(1)</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5,082</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10,784</w:t>
            </w:r>
          </w:p>
        </w:tc>
        <w:tc>
          <w:tcPr>
            <w:tcW w:w="65"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and consulting (2)</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1,532</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827</w:t>
            </w:r>
          </w:p>
        </w:tc>
        <w:tc>
          <w:tcPr>
            <w:tcW w:w="65"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employee compensation and benefits</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371</w:t>
            </w:r>
          </w:p>
        </w:tc>
        <w:tc>
          <w:tcPr>
            <w:tcW w:w="65"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7,398</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12,313</w:t>
            </w:r>
          </w:p>
        </w:tc>
        <w:tc>
          <w:tcPr>
            <w:tcW w:w="65"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$3,582 as of March 31, 2026 and $10,333 as of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 as of March 31, 2026 and $232 as of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Co-Investment 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13).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as-converted to Common Stock basis, shall be entitled to elect four directors of the Company. The holders of record of the shares of Series A Preferred Stock, voting together exclusively and as a separate class on an as-converted 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March 31, 2026, each outstanding share of Convertible Preferred Stock was convertible into common stock on a one-for-one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non-cumulative. For the three months ended March 31, 2026 and March 31, 2025, no dividends had been declared or paid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rateably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6.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and December 31, 2025, the Company has the authority to issue a total of 122,363,552 shares of common stock, respectively, at a par value of $0.0001 per share. As of March 31, 2026 and December 31, 2025, the Company had 6,000,000 shares of common stock issued and outstanding in connection with restricted stock awards (“RSAs”), respectively.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2026 and December 31, 2025, the Company had common stock reserved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9"/>
        <w:gridCol w:w="232"/>
        <w:gridCol w:w="60"/>
        <w:gridCol w:w="1247"/>
        <w:gridCol w:w="60"/>
        <w:gridCol w:w="232"/>
        <w:gridCol w:w="66"/>
        <w:gridCol w:w="1356"/>
        <w:gridCol w:w="63"/>
      </w:tblGrid>
      <w:tr>
        <w:trPr/>
        <w:tc>
          <w:tcPr>
            <w:tcW w:w="443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Seed Preferred Stock</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20,000,000</w:t>
            </w:r>
          </w:p>
        </w:tc>
        <w:tc>
          <w:tcPr>
            <w:tcW w:w="63" w:type="dxa"/>
            <w:tcBorders/>
            <w:shd w:fill="CCEEFF" w:val="clear"/>
            <w:vAlign w:val="bottom"/>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sz w:val="20"/>
              </w:rPr>
            </w:pPr>
            <w:r>
              <w:rPr>
                <w:rFonts w:ascii="Times New Roman" w:hAnsi="Times New Roman"/>
                <w:sz w:val="20"/>
              </w:rPr>
              <w:t>Shares issuable upon conversion of Company Series A Preferred Stock</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75,500,000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75,500,000</w:t>
            </w:r>
          </w:p>
        </w:tc>
        <w:tc>
          <w:tcPr>
            <w:tcW w:w="63" w:type="dxa"/>
            <w:tcBorders/>
            <w:vAlign w:val="bottom"/>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issuable upon exercise of warrants under the Parasa Warrant Obligation</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1,102,561</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1,102,561</w:t>
            </w:r>
          </w:p>
        </w:tc>
        <w:tc>
          <w:tcPr>
            <w:tcW w:w="63" w:type="dxa"/>
            <w:tcBorders/>
            <w:shd w:fill="CCEEFF" w:val="clear"/>
            <w:vAlign w:val="bottom"/>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stock options</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11,444,298</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8,756,187</w:t>
            </w:r>
          </w:p>
        </w:tc>
        <w:tc>
          <w:tcPr>
            <w:tcW w:w="63"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108,046,859</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105,358,748</w:t>
            </w:r>
          </w:p>
        </w:tc>
        <w:tc>
          <w:tcPr>
            <w:tcW w:w="63" w:type="dxa"/>
            <w:tcBorders/>
            <w:shd w:fill="CCEEFF" w:val="clear"/>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35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March 31, 2026, the total number of shares of common stock reserved for issuance under the 2025 Plan was 20,584,336 shares, with 8,140,038 shares of common stock available for future grants.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each stock option grant is estimated on the grant date using the Black-Scholes option-pricing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weighted-average assumptions used in calculating the fair value of the awards during the three months ended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98"/>
        <w:gridCol w:w="1049"/>
        <w:gridCol w:w="265"/>
        <w:gridCol w:w="1949"/>
        <w:gridCol w:w="278"/>
      </w:tblGrid>
      <w:tr>
        <w:trPr/>
        <w:tc>
          <w:tcPr>
            <w:tcW w:w="3398" w:type="dxa"/>
            <w:tcBorders/>
            <w:vAlign w:val="center"/>
          </w:tcPr>
          <w:p>
            <w:pPr>
              <w:pStyle w:val="TableContents"/>
              <w:bidi w:val="0"/>
              <w:spacing w:before="0" w:after="283"/>
              <w:jc w:val="left"/>
              <w:rPr>
                <w:sz w:val="4"/>
                <w:szCs w:val="4"/>
              </w:rPr>
            </w:pPr>
            <w:r>
              <w:rPr>
                <w:sz w:val="4"/>
                <w:szCs w:val="4"/>
              </w:rPr>
            </w:r>
          </w:p>
        </w:tc>
        <w:tc>
          <w:tcPr>
            <w:tcW w:w="1049"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98"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2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278" w:type="dxa"/>
            <w:tcBorders/>
            <w:vAlign w:val="bottom"/>
          </w:tcPr>
          <w:p>
            <w:pPr>
              <w:pStyle w:val="TableContents"/>
              <w:bidi w:val="0"/>
              <w:spacing w:before="0" w:after="283"/>
              <w:jc w:val="left"/>
              <w:rPr/>
            </w:pPr>
            <w:r>
              <w:rPr/>
              <w:t> </w:t>
            </w:r>
          </w:p>
        </w:tc>
      </w:tr>
      <w:tr>
        <w:trPr/>
        <w:tc>
          <w:tcPr>
            <w:tcW w:w="3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04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949" w:type="dxa"/>
            <w:tcBorders/>
            <w:shd w:fill="CCEEFF" w:val="clear"/>
            <w:vAlign w:val="bottom"/>
          </w:tcPr>
          <w:p>
            <w:pPr>
              <w:pStyle w:val="TableContents"/>
              <w:bidi w:val="0"/>
              <w:spacing w:before="0" w:after="283"/>
              <w:jc w:val="right"/>
              <w:rPr/>
            </w:pPr>
            <w:r>
              <w:rPr/>
              <w:t>6.0</w:t>
            </w:r>
          </w:p>
        </w:tc>
        <w:tc>
          <w:tcPr>
            <w:tcW w:w="278" w:type="dxa"/>
            <w:tcBorders/>
            <w:shd w:fill="CCEEFF" w:val="clear"/>
            <w:vAlign w:val="bottom"/>
          </w:tcPr>
          <w:p>
            <w:pPr>
              <w:pStyle w:val="TableContents"/>
              <w:bidi w:val="0"/>
              <w:spacing w:before="0" w:after="283"/>
              <w:jc w:val="left"/>
              <w:rPr/>
            </w:pPr>
            <w:r>
              <w:rPr/>
              <w:t> </w:t>
            </w:r>
          </w:p>
        </w:tc>
      </w:tr>
      <w:tr>
        <w:trPr/>
        <w:tc>
          <w:tcPr>
            <w:tcW w:w="3398"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049"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949" w:type="dxa"/>
            <w:tcBorders/>
            <w:vAlign w:val="bottom"/>
          </w:tcPr>
          <w:p>
            <w:pPr>
              <w:pStyle w:val="TableContents"/>
              <w:bidi w:val="0"/>
              <w:spacing w:before="0" w:after="283"/>
              <w:jc w:val="right"/>
              <w:rPr/>
            </w:pPr>
            <w:r>
              <w:rPr/>
              <w:t>86.9</w:t>
            </w:r>
          </w:p>
        </w:tc>
        <w:tc>
          <w:tcPr>
            <w:tcW w:w="278" w:type="dxa"/>
            <w:tcBorders/>
            <w:vAlign w:val="bottom"/>
          </w:tcPr>
          <w:p>
            <w:pPr>
              <w:pStyle w:val="TableContents"/>
              <w:bidi w:val="0"/>
              <w:spacing w:before="0" w:after="283"/>
              <w:jc w:val="left"/>
              <w:rPr/>
            </w:pPr>
            <w:r>
              <w:rPr/>
              <w:t>% </w:t>
            </w:r>
          </w:p>
        </w:tc>
      </w:tr>
      <w:tr>
        <w:trPr/>
        <w:tc>
          <w:tcPr>
            <w:tcW w:w="3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04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949" w:type="dxa"/>
            <w:tcBorders/>
            <w:shd w:fill="CCEEFF" w:val="clear"/>
            <w:vAlign w:val="bottom"/>
          </w:tcPr>
          <w:p>
            <w:pPr>
              <w:pStyle w:val="TableContents"/>
              <w:bidi w:val="0"/>
              <w:spacing w:before="0" w:after="283"/>
              <w:jc w:val="right"/>
              <w:rPr/>
            </w:pPr>
            <w:r>
              <w:rPr/>
              <w:t>3.8</w:t>
            </w:r>
          </w:p>
        </w:tc>
        <w:tc>
          <w:tcPr>
            <w:tcW w:w="278" w:type="dxa"/>
            <w:tcBorders/>
            <w:shd w:fill="CCEEFF" w:val="clear"/>
            <w:vAlign w:val="bottom"/>
          </w:tcPr>
          <w:p>
            <w:pPr>
              <w:pStyle w:val="TableContents"/>
              <w:bidi w:val="0"/>
              <w:spacing w:before="0" w:after="283"/>
              <w:jc w:val="left"/>
              <w:rPr/>
            </w:pPr>
            <w:r>
              <w:rPr/>
              <w:t>% </w:t>
            </w:r>
          </w:p>
        </w:tc>
      </w:tr>
      <w:tr>
        <w:trPr/>
        <w:tc>
          <w:tcPr>
            <w:tcW w:w="3398"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049"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949"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for the three months ended March 31,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66"/>
        <w:gridCol w:w="231"/>
        <w:gridCol w:w="60"/>
        <w:gridCol w:w="1140"/>
        <w:gridCol w:w="60"/>
        <w:gridCol w:w="231"/>
        <w:gridCol w:w="461"/>
        <w:gridCol w:w="1495"/>
        <w:gridCol w:w="60"/>
        <w:gridCol w:w="231"/>
        <w:gridCol w:w="180"/>
        <w:gridCol w:w="1182"/>
        <w:gridCol w:w="60"/>
        <w:gridCol w:w="230"/>
        <w:gridCol w:w="286"/>
        <w:gridCol w:w="1147"/>
        <w:gridCol w:w="68"/>
      </w:tblGrid>
      <w:tr>
        <w:trPr/>
        <w:tc>
          <w:tcPr>
            <w:tcW w:w="2266"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Intrinsic</w:t>
              <w:br/>
              <w:t>Value</w:t>
            </w:r>
            <w:r>
              <w:rPr/>
              <w:br/>
            </w:r>
            <w:r>
              <w:rPr>
                <w:b/>
              </w:rPr>
              <w:t>(in thousands)</w:t>
            </w:r>
          </w:p>
        </w:tc>
        <w:tc>
          <w:tcPr>
            <w:tcW w:w="68" w:type="dxa"/>
            <w:tcBorders/>
            <w:vAlign w:val="bottom"/>
          </w:tcPr>
          <w:p>
            <w:pPr>
              <w:pStyle w:val="TableContents"/>
              <w:bidi w:val="0"/>
              <w:spacing w:before="0" w:after="283"/>
              <w:jc w:val="left"/>
              <w:rPr/>
            </w:pPr>
            <w:r>
              <w:rPr/>
              <w:t> </w:t>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December 31, 2025</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8,756,187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26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2,688,111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266"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balance as of March 31, 2026</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11,444,298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6,294</w:t>
            </w:r>
          </w:p>
        </w:tc>
        <w:tc>
          <w:tcPr>
            <w:tcW w:w="68" w:type="dxa"/>
            <w:tcBorders/>
            <w:shd w:fill="CCEEFF" w:val="clear"/>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266"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March 31, 2026</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11,444,298</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95"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6,294</w:t>
            </w:r>
          </w:p>
        </w:tc>
        <w:tc>
          <w:tcPr>
            <w:tcW w:w="68" w:type="dxa"/>
            <w:tcBorders/>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March 31, 2026</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106,838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59</w:t>
            </w:r>
          </w:p>
        </w:tc>
        <w:tc>
          <w:tcPr>
            <w:tcW w:w="68" w:type="dxa"/>
            <w:tcBorders/>
            <w:shd w:fill="CCEEFF" w:val="clear"/>
            <w:vAlign w:val="bottom"/>
          </w:tcPr>
          <w:p>
            <w:pPr>
              <w:pStyle w:val="TableContents"/>
              <w:bidi w:val="0"/>
              <w:spacing w:before="0" w:after="283"/>
              <w:jc w:val="left"/>
              <w:rPr/>
            </w:pPr>
            <w:r>
              <w:rPr/>
              <w:t> </w:t>
            </w:r>
          </w:p>
        </w:tc>
      </w:tr>
      <w:tr>
        <w:trPr/>
        <w:tc>
          <w:tcPr>
            <w:tcW w:w="226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grant-date fair value of stock options granted during the three months ended March 31, 2026 was $0.64.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three months ended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Holding LLC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Company issued and sold 1,000,000 RSAs to the Company’s chief executive officer, a venture partner at Fairmount, in exchange for executive services and such issuance was determined to be a related party transaction (see Note 13).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March 31, 2026, $0.4 million and $0.5 million, respectively, was recorded in accrued expenses and other current liabilities and accrued other liabilities, noncurrent on the Company’s condensed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RSA activity for the three months ended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77"/>
        <w:gridCol w:w="519"/>
        <w:gridCol w:w="60"/>
        <w:gridCol w:w="1013"/>
        <w:gridCol w:w="60"/>
        <w:gridCol w:w="519"/>
        <w:gridCol w:w="462"/>
        <w:gridCol w:w="1482"/>
        <w:gridCol w:w="63"/>
      </w:tblGrid>
      <w:tr>
        <w:trPr/>
        <w:tc>
          <w:tcPr>
            <w:tcW w:w="3577"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77"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RSAs</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w:t>
              <w:br/>
              <w:t>Fair Value</w:t>
            </w:r>
          </w:p>
        </w:tc>
        <w:tc>
          <w:tcPr>
            <w:tcW w:w="63" w:type="dxa"/>
            <w:tcBorders/>
            <w:vAlign w:val="bottom"/>
          </w:tcPr>
          <w:p>
            <w:pPr>
              <w:pStyle w:val="TableContents"/>
              <w:bidi w:val="0"/>
              <w:spacing w:before="0" w:after="283"/>
              <w:jc w:val="left"/>
              <w:rPr/>
            </w:pPr>
            <w:r>
              <w:rPr/>
              <w:t> </w:t>
            </w:r>
          </w:p>
        </w:tc>
      </w:tr>
      <w:tr>
        <w:trPr/>
        <w:tc>
          <w:tcPr>
            <w:tcW w:w="3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December 31, 2025</w:t>
            </w:r>
          </w:p>
        </w:tc>
        <w:tc>
          <w:tcPr>
            <w:tcW w:w="5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0.57</w:t>
            </w:r>
          </w:p>
        </w:tc>
        <w:tc>
          <w:tcPr>
            <w:tcW w:w="63" w:type="dxa"/>
            <w:tcBorders/>
            <w:shd w:fill="CCEEFF" w:val="clear"/>
            <w:vAlign w:val="bottom"/>
          </w:tcPr>
          <w:p>
            <w:pPr>
              <w:pStyle w:val="TableContents"/>
              <w:bidi w:val="0"/>
              <w:spacing w:before="0" w:after="283"/>
              <w:jc w:val="left"/>
              <w:rPr/>
            </w:pPr>
            <w:r>
              <w:rPr/>
              <w:t> </w:t>
            </w:r>
          </w:p>
        </w:tc>
      </w:tr>
      <w:tr>
        <w:trPr/>
        <w:tc>
          <w:tcPr>
            <w:tcW w:w="357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57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577"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balance as of March 31, 2026</w:t>
            </w:r>
          </w:p>
        </w:tc>
        <w:tc>
          <w:tcPr>
            <w:tcW w:w="5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0.57</w:t>
            </w:r>
          </w:p>
        </w:tc>
        <w:tc>
          <w:tcPr>
            <w:tcW w:w="63" w:type="dxa"/>
            <w:tcBorders/>
            <w:shd w:fill="CCEEFF" w:val="clear"/>
            <w:vAlign w:val="bottom"/>
          </w:tcPr>
          <w:p>
            <w:pPr>
              <w:pStyle w:val="TableContents"/>
              <w:bidi w:val="0"/>
              <w:spacing w:before="0" w:after="283"/>
              <w:jc w:val="left"/>
              <w:rPr/>
            </w:pPr>
            <w:r>
              <w:rPr/>
              <w:t> </w:t>
            </w:r>
          </w:p>
        </w:tc>
      </w:tr>
      <w:tr>
        <w:trPr/>
        <w:tc>
          <w:tcPr>
            <w:tcW w:w="3577"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March 31, 2025, the Company recorded stock-based compensation expense of less than $0.1 million, respectively, related to the RSAs in the condensed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Parasa Warrant Obligation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Company entered into the Antibody Discovery and Option Agreement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underlying shares on the grant date as determined by the Board of Directors (the “Parasa Warrant Obligation”). If the term with respect to all research programs ends prior to the end of a calendar year, the warrant for such calendar year shall be pro-rated 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three months ended March 31, 2026, $0.2 million was recognized as stock-based compensation expense related to the 2026 Parasa Warrant Obligation expected to be granted to Parasa on December 31, 2026 within research and development expense in the Company’s condensed consolidated statement of operations and comprehensive loss. On December 31, 2025, the fair value of the warrant obligation of $0.8 million was reclassified from accrued expenses to stockholders’ equity on the condensed consolidated balance sheet when the Company settled the 2025 Parasa Warrant Obligation by issuing Parasa a warrant to purchase 1,102,561 shares of Company Common Stock at an exercise price of $0.86 per share. The warrant issued on December 31, 2025 has a term of 10 years, is fully vested, and is exercisable in part or full at any time during the term of the warrant. As of March 31, 2026, the warrant issued under the 2025 Parasa Warrant Obligation is outstanding and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assumptions used in calculating the fair value of the 2026 Parasa Warrant Obligation: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34"/>
        <w:gridCol w:w="898"/>
        <w:gridCol w:w="193"/>
        <w:gridCol w:w="1437"/>
        <w:gridCol w:w="277"/>
      </w:tblGrid>
      <w:tr>
        <w:trPr/>
        <w:tc>
          <w:tcPr>
            <w:tcW w:w="4134" w:type="dxa"/>
            <w:tcBorders/>
            <w:vAlign w:val="center"/>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13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277" w:type="dxa"/>
            <w:tcBorders/>
            <w:vAlign w:val="bottom"/>
          </w:tcPr>
          <w:p>
            <w:pPr>
              <w:pStyle w:val="TableContents"/>
              <w:bidi w:val="0"/>
              <w:spacing w:before="0" w:after="283"/>
              <w:jc w:val="left"/>
              <w:rPr/>
            </w:pPr>
            <w:r>
              <w:rPr/>
              <w:t> </w:t>
            </w:r>
          </w:p>
        </w:tc>
      </w:tr>
      <w:tr>
        <w:trPr/>
        <w:tc>
          <w:tcPr>
            <w:tcW w:w="4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89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10.0</w:t>
            </w:r>
          </w:p>
        </w:tc>
        <w:tc>
          <w:tcPr>
            <w:tcW w:w="277" w:type="dxa"/>
            <w:tcBorders/>
            <w:shd w:fill="CCEEFF" w:val="clear"/>
            <w:vAlign w:val="bottom"/>
          </w:tcPr>
          <w:p>
            <w:pPr>
              <w:pStyle w:val="TableContents"/>
              <w:bidi w:val="0"/>
              <w:spacing w:before="0" w:after="283"/>
              <w:jc w:val="left"/>
              <w:rPr/>
            </w:pPr>
            <w:r>
              <w:rPr/>
              <w:t> </w:t>
            </w:r>
          </w:p>
        </w:tc>
      </w:tr>
      <w:tr>
        <w:trPr/>
        <w:tc>
          <w:tcPr>
            <w:tcW w:w="413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89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86.9</w:t>
            </w:r>
          </w:p>
        </w:tc>
        <w:tc>
          <w:tcPr>
            <w:tcW w:w="277" w:type="dxa"/>
            <w:tcBorders/>
            <w:vAlign w:val="bottom"/>
          </w:tcPr>
          <w:p>
            <w:pPr>
              <w:pStyle w:val="TableContents"/>
              <w:bidi w:val="0"/>
              <w:spacing w:before="0" w:after="283"/>
              <w:jc w:val="left"/>
              <w:rPr/>
            </w:pPr>
            <w:r>
              <w:rPr/>
              <w:t>% </w:t>
            </w:r>
          </w:p>
        </w:tc>
      </w:tr>
      <w:tr>
        <w:trPr/>
        <w:tc>
          <w:tcPr>
            <w:tcW w:w="4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89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4.2</w:t>
            </w:r>
          </w:p>
        </w:tc>
        <w:tc>
          <w:tcPr>
            <w:tcW w:w="277" w:type="dxa"/>
            <w:tcBorders/>
            <w:shd w:fill="CCEEFF" w:val="clear"/>
            <w:vAlign w:val="bottom"/>
          </w:tcPr>
          <w:p>
            <w:pPr>
              <w:pStyle w:val="TableContents"/>
              <w:bidi w:val="0"/>
              <w:spacing w:before="0" w:after="283"/>
              <w:jc w:val="left"/>
              <w:rPr/>
            </w:pPr>
            <w:r>
              <w:rPr/>
              <w:t>% </w:t>
            </w:r>
          </w:p>
        </w:tc>
      </w:tr>
      <w:tr>
        <w:trPr/>
        <w:tc>
          <w:tcPr>
            <w:tcW w:w="4134"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89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0.0</w:t>
            </w:r>
          </w:p>
        </w:tc>
        <w:tc>
          <w:tcPr>
            <w:tcW w:w="27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classification of the Company’s stock-based compensation expense in the condensed consolidated statements of operations and comprehensive loss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26"/>
        <w:gridCol w:w="541"/>
        <w:gridCol w:w="595"/>
        <w:gridCol w:w="1617"/>
        <w:gridCol w:w="60"/>
        <w:gridCol w:w="541"/>
        <w:gridCol w:w="595"/>
        <w:gridCol w:w="1617"/>
        <w:gridCol w:w="63"/>
      </w:tblGrid>
      <w:tr>
        <w:trPr/>
        <w:tc>
          <w:tcPr>
            <w:tcW w:w="2126"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2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2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63" w:type="dxa"/>
            <w:tcBorders/>
            <w:vAlign w:val="bottom"/>
          </w:tcPr>
          <w:p>
            <w:pPr>
              <w:pStyle w:val="TableContents"/>
              <w:bidi w:val="0"/>
              <w:spacing w:before="0" w:after="283"/>
              <w:jc w:val="left"/>
              <w:rPr/>
            </w:pPr>
            <w:r>
              <w:rPr/>
              <w:t> </w:t>
            </w:r>
          </w:p>
        </w:tc>
      </w:tr>
      <w:tr>
        <w:trPr/>
        <w:tc>
          <w:tcPr>
            <w:tcW w:w="2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4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212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381</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126"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126" w:type="dxa"/>
            <w:tcBorders/>
            <w:shd w:fill="CCEEFF" w:val="clear"/>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660</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2126"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total unrecognized compensation cost related to the unvested stock options was $6.3 million, which is expected to be recognized over a weighted average period of approximately 3.9 years. As of March 31, 2026, total unrecognized compensation cost related to the unvested RSAs was $0.4 million, which is expected to be recognized over a weighted average period of approximately 3.2 years. As of March 31, 2026, total unrecognized compensation cost related to the 2026 Parasa Warrant Obligation was $0.6 million, which is expected to be recognized over approximately 0.8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award types of the Company’s stock-based compensation expense in the condensed consolidated statements of operations and comprehensive loss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96"/>
        <w:gridCol w:w="608"/>
        <w:gridCol w:w="595"/>
        <w:gridCol w:w="1615"/>
        <w:gridCol w:w="60"/>
        <w:gridCol w:w="608"/>
        <w:gridCol w:w="595"/>
        <w:gridCol w:w="1615"/>
        <w:gridCol w:w="63"/>
      </w:tblGrid>
      <w:tr>
        <w:trPr/>
        <w:tc>
          <w:tcPr>
            <w:tcW w:w="1996"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63" w:type="dxa"/>
            <w:tcBorders/>
            <w:vAlign w:val="bottom"/>
          </w:tcPr>
          <w:p>
            <w:pPr>
              <w:pStyle w:val="TableContents"/>
              <w:bidi w:val="0"/>
              <w:spacing w:before="0" w:after="283"/>
              <w:jc w:val="left"/>
              <w:rPr/>
            </w:pPr>
            <w:r>
              <w:rPr/>
              <w:t> </w:t>
            </w:r>
          </w:p>
        </w:tc>
      </w:tr>
      <w:tr>
        <w:trPr/>
        <w:tc>
          <w:tcPr>
            <w:tcW w:w="1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RSAs</w:t>
            </w:r>
          </w:p>
        </w:tc>
        <w:tc>
          <w:tcPr>
            <w:tcW w:w="608"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1996"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1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Parasa Warrant Obligation</w:t>
            </w:r>
          </w:p>
        </w:tc>
        <w:tc>
          <w:tcPr>
            <w:tcW w:w="608"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208</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1996" w:type="dxa"/>
            <w:tcBorders/>
            <w:vAlign w:val="bottom"/>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996" w:type="dxa"/>
            <w:tcBorders/>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660</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996" w:type="dxa"/>
            <w:tcBorders/>
            <w:vAlign w:val="bottom"/>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1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There was no income tax provision recorded for the three months ended March 31, 2026 or March 31, 2025 and, therefore, the Company’s effective income tax rate was 0.0% for the three months ended March 31, 2026 and March 31, 2025. The effective income tax rate for the three ended March 31, 2026 differed from the 21% federal statutory rate primarily due to the valuation allowance maintained against the Company’s net deferred tax assets. </w:t>
      </w:r>
    </w:p>
    <w:p>
      <w:pPr>
        <w:pStyle w:val="TextBody"/>
        <w:bidi w:val="0"/>
        <w:spacing w:before="360" w:after="0"/>
        <w:jc w:val="left"/>
        <w:rPr>
          <w:rFonts w:ascii="Times New Roman" w:hAnsi="Times New Roman"/>
          <w:sz w:val="20"/>
        </w:rPr>
      </w:pPr>
      <w:r>
        <w:rPr>
          <w:rFonts w:ascii="Times New Roman" w:hAnsi="Times New Roman"/>
          <w:b/>
          <w:sz w:val="20"/>
        </w:rPr>
        <w:t>9. Paragon Agreements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(together the “A</w:t>
      </w:r>
      <w:r>
        <w:rPr>
          <w:rFonts w:ascii="SYMBOL" w:hAnsi="SYMBOL"/>
          <w:sz w:val="20"/>
        </w:rPr>
        <w:t>b</w:t>
      </w:r>
      <w:r>
        <w:rPr>
          <w:rFonts w:ascii="Times New Roman" w:hAnsi="Times New Roman"/>
          <w:sz w:val="20"/>
        </w:rPr>
        <w:t xml:space="preserve"> program”), and one undisclosed research program 003, with the ability to add additional programs by mutual agreement. The Company’s lead product candidate, KRSA-028, was developed from program 002. </w:t>
      </w:r>
    </w:p>
    <w:p>
      <w:pPr>
        <w:pStyle w:val="TextBody"/>
        <w:bidi w:val="0"/>
        <w:spacing w:before="240" w:after="0"/>
        <w:jc w:val="left"/>
        <w:rPr>
          <w:rFonts w:ascii="Times New Roman" w:hAnsi="Times New Roman"/>
          <w:sz w:val="20"/>
        </w:rPr>
      </w:pPr>
      <w:r>
        <w:rPr>
          <w:rFonts w:ascii="Times New Roman" w:hAnsi="Times New Roman"/>
          <w:sz w:val="20"/>
        </w:rPr>
        <w:t>Under the Paragon ADOA, Korsana has the exclusive option (each, an “ADOA Option”), on a Program-by-Program basis, to enter into a separate agreement with Paragon consistent with a set of pre-negotiated 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non-refundable 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low-to-mid single-digits beginning on the first commercial sale of each developed product. From time to time, the Company can choose to add additional targets by mutual agreement with Paragon. On March 19, 2026, the Company exercised its ADOA Option for Research Program 002. The Company made a $5.0 million milestone payment to Paragon in March 2026 related to the nomination of KRSA-028 as the development candidate for Research Program 002. On June 8, 2026, the Company entered into a license agreement with respect to the A</w:t>
      </w:r>
      <w:r>
        <w:rPr>
          <w:rFonts w:ascii="SYMBOL" w:hAnsi="SYMBOL"/>
          <w:sz w:val="20"/>
        </w:rPr>
        <w:t>b</w:t>
      </w:r>
      <w:r>
        <w:rPr>
          <w:rFonts w:ascii="Times New Roman" w:hAnsi="Times New Roman"/>
          <w:sz w:val="20"/>
        </w:rPr>
        <w:t xml:space="preserve"> program (see Note 15).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design, modelling, synthesis, evaluation, and other mutually agreed activities (each, a “Research Plan”), which activities may include performing preclinical studies. Korsana is required to pay a one-time nonrefundable, non-creditable 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by-Research Program basis until the later of: (i) 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30-day 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30-day period and (ii)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Any License Agreement entered into with respect to a given Research Program shall contain the same milestone payment obligations as the Paragon ADOA, provided that any milestone set in the Paragon ADOA that 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product-by-product and country- by-country basis upon the later of the expiration of the last-to-expire 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granted on December 31, 2025 and will grant on December 31, 2026, Parasa warrants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condensed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the Company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expense related to the 2026 Parasa Warrant Obligation. An amount of $3.6 million was unpaid by Korsana at March 31, 2026 and is included in related party accrued expenses and other current liabilities within the Company’s condensed consolidated balance sheet. Further, an amount of $0.2 million related to the 2026 Parasa Warrant Obligation is included in warrant liability, related party within the Company’s condensed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one-time non-refundable payment to Paragon of $5.0 million for the license option exercise fee. Under any POA 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These payments are intended to fund the research to be performed by Paragon and Parasa under either an Antibody Discovery and Option Agreement or License Agreement. As of March 31, 2026, the Company has not exercised its option and no amounts were expensed related to the Paragon POA during the three months ended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one-time non-refundable 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Company entered into a noncancelable operating lease agreement for office space located in Waltham, Massachusetts. The lease commenced in March 2026 and is set to expire in October 2030. Rent payment is expected to commence in the fourth quarter of 2026. The Company provided the landlord with a letter of credit for the security deposit in the amount of $0.1 million, which is recorded within restricted cash on the condensed consolidated balance sheet. Lease liabilities are based on the net present value of the remaining lease payments over the remaining lease term. In determining the present value of the lease payments, the Company used it incremental borrowing rate when measuring operating lease liabilities as discount rates were not implicit or readily determinable.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$1.1 million of operating lease ROU assets, short term lease liabilities of $0.2 million and long term lease liabilities of $0.9 million on its condensed consolidated balance sheets. As of March 31, 2026, the operating lease arrangement had a remaining lease term of 4.6 years and an incremental borrowing rate of 9.8%.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total remaining operating lease payments included in the measurement of lease liabilities was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3"/>
        <w:gridCol w:w="413"/>
        <w:gridCol w:w="148"/>
        <w:gridCol w:w="594"/>
        <w:gridCol w:w="161"/>
      </w:tblGrid>
      <w:tr>
        <w:trPr/>
        <w:tc>
          <w:tcPr>
            <w:tcW w:w="562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Period ended March 31,</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2026 (remaining 9 months)</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4" w:type="dxa"/>
            <w:tcBorders/>
            <w:vAlign w:val="bottom"/>
          </w:tcPr>
          <w:p>
            <w:pPr>
              <w:pStyle w:val="TableContents"/>
              <w:bidi w:val="0"/>
              <w:spacing w:before="0" w:after="283"/>
              <w:jc w:val="right"/>
              <w:rPr/>
            </w:pPr>
            <w:r>
              <w:rPr/>
              <w:t>64</w:t>
            </w:r>
          </w:p>
        </w:tc>
        <w:tc>
          <w:tcPr>
            <w:tcW w:w="161"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384</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393</w:t>
            </w:r>
          </w:p>
        </w:tc>
        <w:tc>
          <w:tcPr>
            <w:tcW w:w="161"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402</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342</w:t>
            </w:r>
          </w:p>
        </w:tc>
        <w:tc>
          <w:tcPr>
            <w:tcW w:w="161"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undiscounted lease payments</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1,585</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unearned tenant improvements</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(137</w:t>
            </w:r>
          </w:p>
        </w:tc>
        <w:tc>
          <w:tcPr>
            <w:tcW w:w="161" w:type="dxa"/>
            <w:tcBorders/>
            <w:vAlign w:val="bottom"/>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1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(351</w:t>
            </w:r>
          </w:p>
        </w:tc>
        <w:tc>
          <w:tcPr>
            <w:tcW w:w="161"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5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Total present value of operating lease liability</w:t>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4" w:type="dxa"/>
            <w:tcBorders/>
            <w:vAlign w:val="bottom"/>
          </w:tcPr>
          <w:p>
            <w:pPr>
              <w:pStyle w:val="TableContents"/>
              <w:bidi w:val="0"/>
              <w:spacing w:before="0" w:after="283"/>
              <w:jc w:val="right"/>
              <w:rPr/>
            </w:pPr>
            <w:r>
              <w:rPr/>
              <w:t>1,097</w:t>
            </w:r>
          </w:p>
        </w:tc>
        <w:tc>
          <w:tcPr>
            <w:tcW w:w="161"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5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Employer contributions to the 401(k) Plan may be made at the discretion of management. For the three months ended March 31, 2026 and March 31, 2025, the Company has recorded less than $0.1 million and no expense, respectively, related to 401(k) Plan employer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March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2026, the Company was not a party to any material legal proceedings or claims. </w:t>
      </w:r>
    </w:p>
    <w:p>
      <w:pPr>
        <w:pStyle w:val="TextBody"/>
        <w:bidi w:val="0"/>
        <w:spacing w:before="360" w:after="0"/>
        <w:jc w:val="left"/>
        <w:rPr>
          <w:rFonts w:ascii="Times New Roman" w:hAnsi="Times New Roman"/>
          <w:b/>
          <w:sz w:val="20"/>
        </w:rPr>
      </w:pPr>
      <w:r>
        <w:rPr>
          <w:rFonts w:ascii="Times New Roman" w:hAnsi="Times New Roman"/>
          <w:b/>
          <w:sz w:val="20"/>
        </w:rPr>
        <w:t xml:space="preserve">12.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48"/>
        <w:gridCol w:w="387"/>
        <w:gridCol w:w="276"/>
        <w:gridCol w:w="1934"/>
        <w:gridCol w:w="155"/>
        <w:gridCol w:w="387"/>
        <w:gridCol w:w="276"/>
        <w:gridCol w:w="1934"/>
        <w:gridCol w:w="158"/>
      </w:tblGrid>
      <w:tr>
        <w:trPr/>
        <w:tc>
          <w:tcPr>
            <w:tcW w:w="2248"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155"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158" w:type="dxa"/>
            <w:tcBorders/>
            <w:vAlign w:val="bottom"/>
          </w:tcPr>
          <w:p>
            <w:pPr>
              <w:pStyle w:val="TableContents"/>
              <w:bidi w:val="0"/>
              <w:spacing w:before="0" w:after="283"/>
              <w:jc w:val="left"/>
              <w:rPr/>
            </w:pPr>
            <w:r>
              <w:rPr/>
              <w:t> </w:t>
            </w:r>
          </w:p>
        </w:tc>
      </w:tr>
      <w:tr>
        <w:trPr/>
        <w:tc>
          <w:tcPr>
            <w:tcW w:w="2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24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34" w:type="dxa"/>
            <w:tcBorders/>
            <w:vAlign w:val="bottom"/>
          </w:tcPr>
          <w:p>
            <w:pPr>
              <w:pStyle w:val="TableContents"/>
              <w:bidi w:val="0"/>
              <w:spacing w:before="0" w:after="283"/>
              <w:jc w:val="right"/>
              <w:rPr/>
            </w:pPr>
            <w:r>
              <w:rPr/>
              <w:t>(13,510</w:t>
            </w:r>
          </w:p>
        </w:tc>
        <w:tc>
          <w:tcPr>
            <w:tcW w:w="155"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34" w:type="dxa"/>
            <w:tcBorders/>
            <w:vAlign w:val="bottom"/>
          </w:tcPr>
          <w:p>
            <w:pPr>
              <w:pStyle w:val="TableContents"/>
              <w:bidi w:val="0"/>
              <w:spacing w:before="0" w:after="283"/>
              <w:jc w:val="right"/>
              <w:rPr/>
            </w:pPr>
            <w:r>
              <w:rPr/>
              <w:t>(73</w:t>
            </w:r>
          </w:p>
        </w:tc>
        <w:tc>
          <w:tcPr>
            <w:tcW w:w="158" w:type="dxa"/>
            <w:tcBorders/>
            <w:vAlign w:val="bottom"/>
          </w:tcPr>
          <w:p>
            <w:pPr>
              <w:pStyle w:val="TableContents"/>
              <w:bidi w:val="0"/>
              <w:spacing w:before="0" w:after="283"/>
              <w:jc w:val="left"/>
              <w:rPr/>
            </w:pPr>
            <w:r>
              <w:rPr/>
              <w:t>) </w:t>
            </w:r>
          </w:p>
        </w:tc>
      </w:tr>
      <w:tr>
        <w:trPr/>
        <w:tc>
          <w:tcPr>
            <w:tcW w:w="224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24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right"/>
              <w:rPr/>
            </w:pPr>
            <w:r>
              <w:rPr/>
              <w:t>5,000,000</w:t>
            </w:r>
          </w:p>
        </w:tc>
        <w:tc>
          <w:tcPr>
            <w:tcW w:w="155"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934" w:type="dxa"/>
            <w:tcBorders/>
            <w:vAlign w:val="bottom"/>
          </w:tcPr>
          <w:p>
            <w:pPr>
              <w:pStyle w:val="TableContents"/>
              <w:bidi w:val="0"/>
              <w:spacing w:before="0" w:after="283"/>
              <w:jc w:val="right"/>
              <w:rPr/>
            </w:pPr>
            <w:r>
              <w:rPr/>
              <w:t>2,000,000</w:t>
            </w:r>
          </w:p>
        </w:tc>
        <w:tc>
          <w:tcPr>
            <w:tcW w:w="158" w:type="dxa"/>
            <w:tcBorders/>
            <w:vAlign w:val="bottom"/>
          </w:tcPr>
          <w:p>
            <w:pPr>
              <w:pStyle w:val="TableContents"/>
              <w:bidi w:val="0"/>
              <w:spacing w:before="0" w:after="283"/>
              <w:jc w:val="left"/>
              <w:rPr/>
            </w:pPr>
            <w:r>
              <w:rPr/>
              <w:t> </w:t>
            </w:r>
          </w:p>
        </w:tc>
      </w:tr>
      <w:tr>
        <w:trPr/>
        <w:tc>
          <w:tcPr>
            <w:tcW w:w="224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934"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934" w:type="dxa"/>
            <w:tcBorders/>
            <w:shd w:fill="CCEEFF" w:val="clear"/>
            <w:vAlign w:val="bottom"/>
          </w:tcPr>
          <w:p>
            <w:pPr>
              <w:pStyle w:val="TableContents"/>
              <w:bidi w:val="0"/>
              <w:spacing w:before="0" w:after="283"/>
              <w:jc w:val="right"/>
              <w:rPr/>
            </w:pPr>
            <w:r>
              <w:rPr/>
              <w:t>(0.04</w:t>
            </w:r>
          </w:p>
        </w:tc>
        <w:tc>
          <w:tcPr>
            <w:tcW w:w="158" w:type="dxa"/>
            <w:tcBorders/>
            <w:shd w:fill="CCEEFF" w:val="clear"/>
            <w:vAlign w:val="bottom"/>
          </w:tcPr>
          <w:p>
            <w:pPr>
              <w:pStyle w:val="TableContents"/>
              <w:bidi w:val="0"/>
              <w:spacing w:before="0" w:after="283"/>
              <w:jc w:val="left"/>
              <w:rPr/>
            </w:pPr>
            <w:r>
              <w:rPr/>
              <w:t>) </w:t>
            </w:r>
          </w:p>
        </w:tc>
      </w:tr>
      <w:tr>
        <w:trPr/>
        <w:tc>
          <w:tcPr>
            <w:tcW w:w="224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51"/>
        <w:gridCol w:w="429"/>
        <w:gridCol w:w="103"/>
        <w:gridCol w:w="2107"/>
        <w:gridCol w:w="60"/>
        <w:gridCol w:w="429"/>
        <w:gridCol w:w="114"/>
        <w:gridCol w:w="2098"/>
        <w:gridCol w:w="64"/>
      </w:tblGrid>
      <w:tr>
        <w:trPr/>
        <w:tc>
          <w:tcPr>
            <w:tcW w:w="2351"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351"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64" w:type="dxa"/>
            <w:tcBorders/>
            <w:vAlign w:val="bottom"/>
          </w:tcPr>
          <w:p>
            <w:pPr>
              <w:pStyle w:val="TableContents"/>
              <w:bidi w:val="0"/>
              <w:spacing w:before="0" w:after="283"/>
              <w:jc w:val="left"/>
              <w:rPr/>
            </w:pPr>
            <w:r>
              <w:rPr/>
              <w:t> </w:t>
            </w:r>
          </w:p>
        </w:tc>
      </w:tr>
      <w:tr>
        <w:trPr/>
        <w:tc>
          <w:tcPr>
            <w:tcW w:w="2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42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95,500,000</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98" w:type="dxa"/>
            <w:tcBorders/>
            <w:shd w:fill="CCEEFF" w:val="clear"/>
            <w:vAlign w:val="bottom"/>
          </w:tcPr>
          <w:p>
            <w:pPr>
              <w:pStyle w:val="TableContents"/>
              <w:bidi w:val="0"/>
              <w:spacing w:before="0" w:after="283"/>
              <w:jc w:val="right"/>
              <w:rPr/>
            </w:pPr>
            <w:r>
              <w:rPr/>
              <w:t>8,000,000</w:t>
            </w:r>
          </w:p>
        </w:tc>
        <w:tc>
          <w:tcPr>
            <w:tcW w:w="64" w:type="dxa"/>
            <w:tcBorders/>
            <w:shd w:fill="CCEEFF" w:val="clear"/>
            <w:vAlign w:val="bottom"/>
          </w:tcPr>
          <w:p>
            <w:pPr>
              <w:pStyle w:val="TableContents"/>
              <w:bidi w:val="0"/>
              <w:spacing w:before="0" w:after="283"/>
              <w:jc w:val="left"/>
              <w:rPr/>
            </w:pPr>
            <w:r>
              <w:rPr/>
              <w:t> </w:t>
            </w:r>
          </w:p>
        </w:tc>
      </w:tr>
      <w:tr>
        <w:trPr/>
        <w:tc>
          <w:tcPr>
            <w:tcW w:w="2351"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42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11,444,298</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2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awards</w:t>
            </w:r>
          </w:p>
        </w:tc>
        <w:tc>
          <w:tcPr>
            <w:tcW w:w="42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98" w:type="dxa"/>
            <w:tcBorders/>
            <w:shd w:fill="CCEEFF" w:val="clear"/>
            <w:vAlign w:val="bottom"/>
          </w:tcPr>
          <w:p>
            <w:pPr>
              <w:pStyle w:val="TableContents"/>
              <w:bidi w:val="0"/>
              <w:spacing w:before="0" w:after="283"/>
              <w:jc w:val="right"/>
              <w:rPr/>
            </w:pPr>
            <w:r>
              <w:rPr/>
              <w:t>3,000,000</w:t>
            </w:r>
          </w:p>
        </w:tc>
        <w:tc>
          <w:tcPr>
            <w:tcW w:w="64" w:type="dxa"/>
            <w:tcBorders/>
            <w:shd w:fill="CCEEFF" w:val="clear"/>
            <w:vAlign w:val="bottom"/>
          </w:tcPr>
          <w:p>
            <w:pPr>
              <w:pStyle w:val="TableContents"/>
              <w:bidi w:val="0"/>
              <w:spacing w:before="0" w:after="283"/>
              <w:jc w:val="left"/>
              <w:rPr/>
            </w:pPr>
            <w:r>
              <w:rPr/>
              <w:t> </w:t>
            </w:r>
          </w:p>
        </w:tc>
      </w:tr>
      <w:tr>
        <w:trPr/>
        <w:tc>
          <w:tcPr>
            <w:tcW w:w="235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and issued warrant to Parasa</w:t>
            </w:r>
          </w:p>
        </w:tc>
        <w:tc>
          <w:tcPr>
            <w:tcW w:w="42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1,102,561</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2351"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21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209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351" w:type="dxa"/>
            <w:tcBorders/>
            <w:shd w:fill="CCEEFF" w:val="clear"/>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109,046,859</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98" w:type="dxa"/>
            <w:tcBorders/>
            <w:shd w:fill="CCEEFF" w:val="clear"/>
            <w:vAlign w:val="bottom"/>
          </w:tcPr>
          <w:p>
            <w:pPr>
              <w:pStyle w:val="TableContents"/>
              <w:bidi w:val="0"/>
              <w:spacing w:before="0" w:after="283"/>
              <w:jc w:val="right"/>
              <w:rPr/>
            </w:pPr>
            <w:r>
              <w:rPr/>
              <w:t>11,000,000</w:t>
            </w:r>
          </w:p>
        </w:tc>
        <w:tc>
          <w:tcPr>
            <w:tcW w:w="64" w:type="dxa"/>
            <w:tcBorders/>
            <w:shd w:fill="CCEEFF" w:val="clear"/>
            <w:vAlign w:val="bottom"/>
          </w:tcPr>
          <w:p>
            <w:pPr>
              <w:pStyle w:val="TableContents"/>
              <w:bidi w:val="0"/>
              <w:spacing w:before="0" w:after="283"/>
              <w:jc w:val="left"/>
              <w:rPr/>
            </w:pPr>
            <w:r>
              <w:rPr/>
              <w:t> </w:t>
            </w:r>
          </w:p>
        </w:tc>
      </w:tr>
      <w:tr>
        <w:trPr/>
        <w:tc>
          <w:tcPr>
            <w:tcW w:w="2351"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21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209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Paragon and Parasa have been identified as related parties of Korsana and have engaged in material transactions with the Company for the three months ended March 31, 2026. The Company entered into significant related party transactions with the Paragon ADOA and Paragon POA (see Note 9)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14.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is a summary of the segment loss, including significant segment expenses that are reviewed by the CODM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44"/>
        <w:gridCol w:w="406"/>
        <w:gridCol w:w="377"/>
        <w:gridCol w:w="1850"/>
        <w:gridCol w:w="155"/>
        <w:gridCol w:w="331"/>
        <w:gridCol w:w="595"/>
        <w:gridCol w:w="1638"/>
        <w:gridCol w:w="159"/>
      </w:tblGrid>
      <w:tr>
        <w:trPr/>
        <w:tc>
          <w:tcPr>
            <w:tcW w:w="2244"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159" w:type="dxa"/>
            <w:tcBorders/>
            <w:vAlign w:val="bottom"/>
          </w:tcPr>
          <w:p>
            <w:pPr>
              <w:pStyle w:val="TableContents"/>
              <w:bidi w:val="0"/>
              <w:spacing w:before="0" w:after="283"/>
              <w:jc w:val="left"/>
              <w:rPr/>
            </w:pPr>
            <w:r>
              <w:rPr/>
              <w:t> </w:t>
            </w:r>
          </w:p>
        </w:tc>
      </w:tr>
      <w:tr>
        <w:trPr/>
        <w:tc>
          <w:tcPr>
            <w:tcW w:w="2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1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research and development costs (1)</w:t>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1850" w:type="dxa"/>
            <w:tcBorders/>
            <w:vAlign w:val="bottom"/>
          </w:tcPr>
          <w:p>
            <w:pPr>
              <w:pStyle w:val="TableContents"/>
              <w:bidi w:val="0"/>
              <w:spacing w:before="0" w:after="283"/>
              <w:jc w:val="right"/>
              <w:rPr/>
            </w:pPr>
            <w:r>
              <w:rPr/>
              <w:t>8,897</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w:t>
            </w:r>
          </w:p>
        </w:tc>
        <w:tc>
          <w:tcPr>
            <w:tcW w:w="163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undisclosed program 003 research and development costs (2)</w:t>
            </w:r>
          </w:p>
        </w:tc>
        <w:tc>
          <w:tcPr>
            <w:tcW w:w="4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right"/>
              <w:rPr/>
            </w:pPr>
            <w:r>
              <w:rPr/>
              <w:t>1,488</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224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personnel costs (including stock-based compensation)</w:t>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right"/>
              <w:rPr/>
            </w:pPr>
            <w:r>
              <w:rPr/>
              <w:t>1,428</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personnel costs (including stock-based compensation) (3)</w:t>
            </w:r>
          </w:p>
        </w:tc>
        <w:tc>
          <w:tcPr>
            <w:tcW w:w="4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right"/>
              <w:rPr/>
            </w:pPr>
            <w:r>
              <w:rPr/>
              <w:t>956</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23</w:t>
            </w:r>
          </w:p>
        </w:tc>
        <w:tc>
          <w:tcPr>
            <w:tcW w:w="159" w:type="dxa"/>
            <w:tcBorders/>
            <w:shd w:fill="CCEEFF" w:val="clear"/>
            <w:vAlign w:val="bottom"/>
          </w:tcPr>
          <w:p>
            <w:pPr>
              <w:pStyle w:val="TableContents"/>
              <w:bidi w:val="0"/>
              <w:spacing w:before="0" w:after="283"/>
              <w:jc w:val="left"/>
              <w:rPr/>
            </w:pPr>
            <w:r>
              <w:rPr/>
              <w:t> </w:t>
            </w:r>
          </w:p>
        </w:tc>
      </w:tr>
      <w:tr>
        <w:trPr/>
        <w:tc>
          <w:tcPr>
            <w:tcW w:w="2244"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costs</w:t>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right"/>
              <w:rPr/>
            </w:pPr>
            <w:r>
              <w:rPr/>
              <w:t>1,855</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44</w:t>
            </w:r>
          </w:p>
        </w:tc>
        <w:tc>
          <w:tcPr>
            <w:tcW w:w="159" w:type="dxa"/>
            <w:tcBorders/>
            <w:vAlign w:val="bottom"/>
          </w:tcPr>
          <w:p>
            <w:pPr>
              <w:pStyle w:val="TableContents"/>
              <w:bidi w:val="0"/>
              <w:spacing w:before="0" w:after="283"/>
              <w:jc w:val="left"/>
              <w:rPr/>
            </w:pPr>
            <w:r>
              <w:rPr/>
              <w:t> </w:t>
            </w:r>
          </w:p>
        </w:tc>
      </w:tr>
      <w:tr>
        <w:trPr/>
        <w:tc>
          <w:tcPr>
            <w:tcW w:w="2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 (4)</w:t>
            </w:r>
          </w:p>
        </w:tc>
        <w:tc>
          <w:tcPr>
            <w:tcW w:w="4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76</w:t>
            </w:r>
          </w:p>
        </w:tc>
        <w:tc>
          <w:tcPr>
            <w:tcW w:w="159" w:type="dxa"/>
            <w:tcBorders/>
            <w:shd w:fill="CCEEFF" w:val="clear"/>
            <w:vAlign w:val="bottom"/>
          </w:tcPr>
          <w:p>
            <w:pPr>
              <w:pStyle w:val="TableContents"/>
              <w:bidi w:val="0"/>
              <w:spacing w:before="0" w:after="283"/>
              <w:jc w:val="left"/>
              <w:rPr/>
            </w:pPr>
            <w:r>
              <w:rPr/>
              <w:t> </w:t>
            </w:r>
          </w:p>
        </w:tc>
      </w:tr>
      <w:tr>
        <w:trPr/>
        <w:tc>
          <w:tcPr>
            <w:tcW w:w="224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right"/>
              <w:rPr/>
            </w:pPr>
            <w:r>
              <w:rPr/>
              <w:t>(1,250</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224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1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1850" w:type="dxa"/>
            <w:tcBorders/>
            <w:shd w:fill="CCEEFF" w:val="clear"/>
            <w:vAlign w:val="bottom"/>
          </w:tcPr>
          <w:p>
            <w:pPr>
              <w:pStyle w:val="TableContents"/>
              <w:bidi w:val="0"/>
              <w:spacing w:before="0" w:after="283"/>
              <w:jc w:val="right"/>
              <w:rPr/>
            </w:pPr>
            <w:r>
              <w:rPr/>
              <w:t>13,510</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w:t>
            </w:r>
          </w:p>
        </w:tc>
        <w:tc>
          <w:tcPr>
            <w:tcW w:w="1638" w:type="dxa"/>
            <w:tcBorders/>
            <w:shd w:fill="CCEEFF" w:val="clear"/>
            <w:vAlign w:val="bottom"/>
          </w:tcPr>
          <w:p>
            <w:pPr>
              <w:pStyle w:val="TableContents"/>
              <w:bidi w:val="0"/>
              <w:spacing w:before="0" w:after="283"/>
              <w:jc w:val="right"/>
              <w:rPr/>
            </w:pPr>
            <w:r>
              <w:rPr/>
              <w:t>73</w:t>
            </w:r>
          </w:p>
        </w:tc>
        <w:tc>
          <w:tcPr>
            <w:tcW w:w="159" w:type="dxa"/>
            <w:tcBorders/>
            <w:shd w:fill="CCEEFF" w:val="clear"/>
            <w:vAlign w:val="bottom"/>
          </w:tcPr>
          <w:p>
            <w:pPr>
              <w:pStyle w:val="TableContents"/>
              <w:bidi w:val="0"/>
              <w:spacing w:before="0" w:after="283"/>
              <w:jc w:val="left"/>
              <w:rPr/>
            </w:pPr>
            <w:r>
              <w:rPr/>
              <w:t> </w:t>
            </w:r>
          </w:p>
        </w:tc>
      </w:tr>
      <w:tr>
        <w:trPr/>
        <w:tc>
          <w:tcPr>
            <w:tcW w:w="2244"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1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$7,080 and $0 for the three months ended March 31, 2026 and March 31, 2025,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$1,488 and $0 for the three months ended March 31, 2026 and March 31, 2025,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$208 and $23 for the three months ended March 31, 2026 and March 31, 2025,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$14 and $0 for the three months ended March 31, 2026 and March 31, 2025,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events and transactions occurring subsequent to March 31, 2026 through June 9, 2026, the date at which the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April 3, 2026, the Company entered into an Antibody Oligo Conjugate Research Letter Agreement with Paragon to initiate a Research Program focused on the development of antibody oligonucleotide conjugates directed to a selected target. The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In June 2026, Korsana paid a $1.0 million research initiation fee. At this time, the Company has not exercised either option related to the Research Letter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On June 8, 2026, the Company entered into a license agreement with Paragon for Research Programs 001 and 002, the A</w:t>
      </w:r>
      <w:r>
        <w:rPr>
          <w:rFonts w:ascii="SYMBOL" w:hAnsi="SYMBOL"/>
          <w:sz w:val="20"/>
        </w:rPr>
        <w:t>b</w:t>
      </w:r>
      <w:r>
        <w:rPr>
          <w:rFonts w:ascii="Times New Roman" w:hAnsi="Times New Roman"/>
          <w:sz w:val="20"/>
        </w:rPr>
        <w:t xml:space="preserve"> program, consistent with those terms under the Paragon ADOA, as further described in Note 9. The license agreement included the requirement to make non-refundable milestone payments to Paragon of up to $46.0 million upon the achievement of specified clinical development and regulatory milestones, which amount is reduced by 50% for independently developed products directed to the same target combination, as well as tiered royalty payments in the low-to-mid single-digits beginning on the first commercial sale of each developed product. The $5.0 million milestone payment made to Paragon in March 2026 related to the nomination of KRSA-028 as the development candidate for program 002 will not be owed again under the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0" w:name="tx111069_46"/>
      <w:bookmarkEnd w:id="70"/>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1" w:name="ii111069_1aa"/>
      <w:bookmarkStart w:id="72" w:name="ii111069_1a"/>
      <w:bookmarkEnd w:id="71"/>
      <w:bookmarkEnd w:id="72"/>
      <w:r>
        <w:rPr>
          <w:rFonts w:ascii="Times New Roman" w:hAnsi="Times New Roman"/>
          <w:b/>
          <w:sz w:val="20"/>
        </w:rPr>
        <w:t xml:space="preserve">Annex A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CORP.;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II, LLC; and </w:t>
      </w:r>
    </w:p>
    <w:p>
      <w:pPr>
        <w:pStyle w:val="TextBody"/>
        <w:bidi w:val="0"/>
        <w:spacing w:before="24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
        <w:gridCol w:w="74"/>
        <w:gridCol w:w="483"/>
        <w:gridCol w:w="74"/>
        <w:gridCol w:w="8632"/>
        <w:gridCol w:w="121"/>
        <w:gridCol w:w="60"/>
        <w:gridCol w:w="515"/>
        <w:gridCol w:w="65"/>
      </w:tblGrid>
      <w:tr>
        <w:trPr/>
        <w:tc>
          <w:tcPr>
            <w:tcW w:w="181"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6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8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44" w:type="dxa"/>
            <w:gridSpan w:val="5"/>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5"/>
            <w:tcBorders/>
          </w:tcPr>
          <w:p>
            <w:pPr>
              <w:pStyle w:val="TableContents"/>
              <w:bidi w:val="0"/>
              <w:spacing w:before="0" w:after="0"/>
              <w:jc w:val="left"/>
              <w:rPr/>
            </w:pPr>
            <w:hyperlink w:anchor="anxa111069_1">
              <w:r>
                <w:rPr>
                  <w:rStyle w:val="InternetLink"/>
                  <w:rFonts w:ascii="Times New Roman" w:hAnsi="Times New Roman"/>
                  <w:sz w:val="20"/>
                </w:rPr>
                <w:t>Section 1. Definitions and Interpretative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81" w:type="dxa"/>
            <w:tcBorders/>
            <w:vAlign w:val="center"/>
          </w:tcPr>
          <w:p>
            <w:pPr>
              <w:pStyle w:val="TableContents"/>
              <w:bidi w:val="0"/>
              <w:spacing w:before="0" w:after="283"/>
              <w:jc w:val="left"/>
              <w:rPr>
                <w:sz w:val="4"/>
                <w:szCs w:val="4"/>
              </w:rPr>
            </w:pPr>
            <w:r>
              <w:rPr>
                <w:sz w:val="4"/>
                <w:szCs w:val="4"/>
              </w:rPr>
            </w:r>
          </w:p>
        </w:tc>
        <w:tc>
          <w:tcPr>
            <w:tcW w:w="557" w:type="dxa"/>
            <w:gridSpan w:val="2"/>
            <w:tcBorders/>
            <w:vAlign w:val="center"/>
          </w:tcPr>
          <w:p>
            <w:pPr>
              <w:pStyle w:val="TableContents"/>
              <w:bidi w:val="0"/>
              <w:spacing w:before="0" w:after="283"/>
              <w:jc w:val="left"/>
              <w:rPr>
                <w:sz w:val="4"/>
                <w:szCs w:val="4"/>
              </w:rPr>
            </w:pPr>
            <w:r>
              <w:rPr>
                <w:sz w:val="4"/>
                <w:szCs w:val="4"/>
              </w:rPr>
            </w:r>
          </w:p>
        </w:tc>
        <w:tc>
          <w:tcPr>
            <w:tcW w:w="870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1.1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
              <w:r>
                <w:rPr>
                  <w:rStyle w:val="InternetLink"/>
                </w:rPr>
                <w:t>Definitions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1.2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
              <w:r>
                <w:rPr>
                  <w:rStyle w:val="InternetLink"/>
                </w:rPr>
                <w:t>Other Definitional and Interpretative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9444" w:type="dxa"/>
            <w:gridSpan w:val="5"/>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5"/>
            <w:tcBorders/>
          </w:tcPr>
          <w:p>
            <w:pPr>
              <w:pStyle w:val="TableContents"/>
              <w:bidi w:val="0"/>
              <w:spacing w:before="0" w:after="0"/>
              <w:jc w:val="left"/>
              <w:rPr/>
            </w:pPr>
            <w:hyperlink w:anchor="anxa111069_4">
              <w:r>
                <w:rPr>
                  <w:rStyle w:val="InternetLink"/>
                  <w:rFonts w:ascii="Times New Roman" w:hAnsi="Times New Roman"/>
                  <w:sz w:val="20"/>
                </w:rPr>
                <w:t xml:space="preserve">Section 2. Description of Transaction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81" w:type="dxa"/>
            <w:tcBorders/>
            <w:vAlign w:val="center"/>
          </w:tcPr>
          <w:p>
            <w:pPr>
              <w:pStyle w:val="TableContents"/>
              <w:bidi w:val="0"/>
              <w:spacing w:before="0" w:after="283"/>
              <w:jc w:val="left"/>
              <w:rPr>
                <w:sz w:val="4"/>
                <w:szCs w:val="4"/>
              </w:rPr>
            </w:pPr>
            <w:r>
              <w:rPr>
                <w:sz w:val="4"/>
                <w:szCs w:val="4"/>
              </w:rPr>
            </w:r>
          </w:p>
        </w:tc>
        <w:tc>
          <w:tcPr>
            <w:tcW w:w="557" w:type="dxa"/>
            <w:gridSpan w:val="2"/>
            <w:tcBorders/>
            <w:vAlign w:val="center"/>
          </w:tcPr>
          <w:p>
            <w:pPr>
              <w:pStyle w:val="TableContents"/>
              <w:bidi w:val="0"/>
              <w:spacing w:before="0" w:after="283"/>
              <w:jc w:val="left"/>
              <w:rPr>
                <w:sz w:val="4"/>
                <w:szCs w:val="4"/>
              </w:rPr>
            </w:pPr>
            <w:r>
              <w:rPr>
                <w:sz w:val="4"/>
                <w:szCs w:val="4"/>
              </w:rPr>
            </w:r>
          </w:p>
        </w:tc>
        <w:tc>
          <w:tcPr>
            <w:tcW w:w="870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5">
              <w:r>
                <w:rPr>
                  <w:rStyle w:val="InternetLink"/>
                </w:rPr>
                <w:t>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6">
              <w:r>
                <w:rPr>
                  <w:rStyle w:val="InternetLink"/>
                </w:rPr>
                <w:t>Effects of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2.3</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7">
              <w:r>
                <w:rPr>
                  <w:rStyle w:val="InternetLink"/>
                </w:rPr>
                <w:t>Closing; First Effective Time; Second Effective Time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2.4</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8">
              <w:r>
                <w:rPr>
                  <w:rStyle w:val="InternetLink"/>
                </w:rPr>
                <w:t>Organizational Documents; Directors and Officers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2.5</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9">
              <w:r>
                <w:rPr>
                  <w:rStyle w:val="InternetLink"/>
                </w:rPr>
                <w:t>Conversion of Company, First Merger Sub and Second Merger Sub Equity Securities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2.6</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0">
              <w:r>
                <w:rPr>
                  <w:rStyle w:val="InternetLink"/>
                </w:rPr>
                <w:t>Closing of the Company’s Transfer Books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2.7</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1">
              <w:r>
                <w:rPr>
                  <w:rStyle w:val="InternetLink"/>
                </w:rPr>
                <w:t>Surrender of Company Capital Stock</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2.8</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2">
              <w:r>
                <w:rPr>
                  <w:rStyle w:val="InternetLink"/>
                </w:rPr>
                <w:t>Calculation of Parent Net Cash and Company Valuation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2.9</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3">
              <w:r>
                <w:rPr>
                  <w:rStyle w:val="InternetLink"/>
                </w:rPr>
                <w:t>Contingent Value Right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2.10</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4">
              <w:r>
                <w:rPr>
                  <w:rStyle w:val="InternetLink"/>
                </w:rPr>
                <w:t>Further Action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2.11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5">
              <w:r>
                <w:rPr>
                  <w:rStyle w:val="InternetLink"/>
                </w:rPr>
                <w:t>Intended Tax Treatment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2.12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6">
              <w:r>
                <w:rPr>
                  <w:rStyle w:val="InternetLink"/>
                </w:rPr>
                <w:t>Withholding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2.13</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7">
              <w:r>
                <w:rPr>
                  <w:rStyle w:val="InternetLink"/>
                </w:rPr>
                <w:t>Appraisal Rights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9444" w:type="dxa"/>
            <w:gridSpan w:val="5"/>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5"/>
            <w:tcBorders/>
          </w:tcPr>
          <w:p>
            <w:pPr>
              <w:pStyle w:val="TableContents"/>
              <w:bidi w:val="0"/>
              <w:spacing w:before="0" w:after="0"/>
              <w:jc w:val="left"/>
              <w:rPr/>
            </w:pPr>
            <w:hyperlink w:anchor="anxa111069_18">
              <w:r>
                <w:rPr>
                  <w:rStyle w:val="InternetLink"/>
                  <w:rFonts w:ascii="Times New Roman" w:hAnsi="Times New Roman"/>
                  <w:sz w:val="20"/>
                </w:rPr>
                <w:t xml:space="preserve">Section 3. Representations and Warranties of the Company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rHeight w:val="120" w:hRule="atLeast"/>
        </w:trPr>
        <w:tc>
          <w:tcPr>
            <w:tcW w:w="181" w:type="dxa"/>
            <w:tcBorders/>
            <w:vAlign w:val="center"/>
          </w:tcPr>
          <w:p>
            <w:pPr>
              <w:pStyle w:val="TableContents"/>
              <w:bidi w:val="0"/>
              <w:spacing w:before="0" w:after="283"/>
              <w:jc w:val="left"/>
              <w:rPr>
                <w:sz w:val="4"/>
                <w:szCs w:val="4"/>
              </w:rPr>
            </w:pPr>
            <w:r>
              <w:rPr>
                <w:sz w:val="4"/>
                <w:szCs w:val="4"/>
              </w:rPr>
            </w:r>
          </w:p>
        </w:tc>
        <w:tc>
          <w:tcPr>
            <w:tcW w:w="557" w:type="dxa"/>
            <w:gridSpan w:val="2"/>
            <w:tcBorders/>
            <w:vAlign w:val="center"/>
          </w:tcPr>
          <w:p>
            <w:pPr>
              <w:pStyle w:val="TableContents"/>
              <w:bidi w:val="0"/>
              <w:spacing w:before="0" w:after="283"/>
              <w:jc w:val="left"/>
              <w:rPr>
                <w:sz w:val="4"/>
                <w:szCs w:val="4"/>
              </w:rPr>
            </w:pPr>
            <w:r>
              <w:rPr>
                <w:sz w:val="4"/>
                <w:szCs w:val="4"/>
              </w:rPr>
            </w:r>
          </w:p>
        </w:tc>
        <w:tc>
          <w:tcPr>
            <w:tcW w:w="870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19">
              <w:r>
                <w:rPr>
                  <w:rStyle w:val="InternetLink"/>
                </w:rPr>
                <w:t>Due Organization; Subsidiaries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0">
              <w:r>
                <w:rPr>
                  <w:rStyle w:val="InternetLink"/>
                </w:rPr>
                <w:t>Organizational Documents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3.3</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1">
              <w:r>
                <w:rPr>
                  <w:rStyle w:val="InternetLink"/>
                </w:rPr>
                <w:t>Authority; Binding Nature of Agreement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3.4</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2">
              <w:r>
                <w:rPr>
                  <w:rStyle w:val="InternetLink"/>
                </w:rPr>
                <w:t>Vote Required</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3.5</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3">
              <w:r>
                <w:rPr>
                  <w:rStyle w:val="InternetLink"/>
                </w:rPr>
                <w:t>Non-Contravention; Consents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3.6</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4">
              <w:r>
                <w:rPr>
                  <w:rStyle w:val="InternetLink"/>
                </w:rPr>
                <w:t>Capitalization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3.7</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5">
              <w:r>
                <w:rPr>
                  <w:rStyle w:val="InternetLink"/>
                </w:rPr>
                <w:t>Financial Statements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3.8</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6">
              <w:r>
                <w:rPr>
                  <w:rStyle w:val="InternetLink"/>
                </w:rPr>
                <w:t>Absence of Changes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3.9</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7">
              <w:r>
                <w:rPr>
                  <w:rStyle w:val="InternetLink"/>
                </w:rPr>
                <w:t>Absence of Undisclosed Liabilities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3.10</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8">
              <w:r>
                <w:rPr>
                  <w:rStyle w:val="InternetLink"/>
                </w:rPr>
                <w:t>Title to Assets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29">
              <w:r>
                <w:rPr>
                  <w:rStyle w:val="InternetLink"/>
                </w:rPr>
                <w:t>Real Property; Leasehold</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0">
              <w:r>
                <w:rPr>
                  <w:rStyle w:val="InternetLink"/>
                </w:rPr>
                <w:t>Intellectual Property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3.13</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1">
              <w:r>
                <w:rPr>
                  <w:rStyle w:val="InternetLink"/>
                </w:rPr>
                <w:t>Agreements, Contracts and Commitments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3.14</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2">
              <w:r>
                <w:rPr>
                  <w:rStyle w:val="InternetLink"/>
                </w:rPr>
                <w:t>Compliance; Permits; Restrictions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3.15</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3">
              <w:r>
                <w:rPr>
                  <w:rStyle w:val="InternetLink"/>
                </w:rPr>
                <w:t>Legal Proceedings; Orders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3.16</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4">
              <w:r>
                <w:rPr>
                  <w:rStyle w:val="InternetLink"/>
                </w:rPr>
                <w:t>Tax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3.17</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5">
              <w:r>
                <w:rPr>
                  <w:rStyle w:val="InternetLink"/>
                </w:rPr>
                <w:t>Employee and Labor Matters; Benefit Plans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3.18</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6">
              <w:r>
                <w:rPr>
                  <w:rStyle w:val="InternetLink"/>
                </w:rPr>
                <w:t>Environmental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3.19</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7">
              <w:r>
                <w:rPr>
                  <w:rStyle w:val="InternetLink"/>
                </w:rPr>
                <w:t>Insurance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3.20</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8">
              <w:r>
                <w:rPr>
                  <w:rStyle w:val="InternetLink"/>
                </w:rPr>
                <w:t>No Financial Advisors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39">
              <w:r>
                <w:rPr>
                  <w:rStyle w:val="InternetLink"/>
                </w:rPr>
                <w:t>Transactions with Affiliates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3.22</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40">
              <w:r>
                <w:rPr>
                  <w:rStyle w:val="InternetLink"/>
                </w:rPr>
                <w:t>Privacy and Data Security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3.23</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41">
              <w:r>
                <w:rPr>
                  <w:rStyle w:val="InternetLink"/>
                </w:rPr>
                <w:t>Trade Control Laws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3.24</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42">
              <w:r>
                <w:rPr>
                  <w:rStyle w:val="InternetLink"/>
                </w:rPr>
                <w:t>Ownership of Parent Capital Stock</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3.25</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43">
              <w:r>
                <w:rPr>
                  <w:rStyle w:val="InternetLink"/>
                </w:rPr>
                <w:t>No Other Representations or Warranties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rHeight w:val="120" w:hRule="atLeast"/>
        </w:trPr>
        <w:tc>
          <w:tcPr>
            <w:tcW w:w="9444" w:type="dxa"/>
            <w:gridSpan w:val="5"/>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5"/>
            <w:tcBorders/>
          </w:tcPr>
          <w:p>
            <w:pPr>
              <w:pStyle w:val="TableContents"/>
              <w:bidi w:val="0"/>
              <w:spacing w:before="0" w:after="0"/>
              <w:jc w:val="left"/>
              <w:rPr/>
            </w:pPr>
            <w:hyperlink w:anchor="anxa111069_44">
              <w:r>
                <w:rPr>
                  <w:rStyle w:val="InternetLink"/>
                  <w:rFonts w:ascii="Times New Roman" w:hAnsi="Times New Roman"/>
                  <w:sz w:val="20"/>
                </w:rPr>
                <w:t xml:space="preserve">Section 4. Representations and Warranties of Parent, First Merger Sub and Second Merger Sub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r>
        <w:trPr>
          <w:trHeight w:val="120" w:hRule="atLeast"/>
        </w:trPr>
        <w:tc>
          <w:tcPr>
            <w:tcW w:w="181" w:type="dxa"/>
            <w:tcBorders/>
            <w:vAlign w:val="center"/>
          </w:tcPr>
          <w:p>
            <w:pPr>
              <w:pStyle w:val="TableContents"/>
              <w:bidi w:val="0"/>
              <w:spacing w:before="0" w:after="283"/>
              <w:jc w:val="left"/>
              <w:rPr>
                <w:sz w:val="4"/>
                <w:szCs w:val="4"/>
              </w:rPr>
            </w:pPr>
            <w:r>
              <w:rPr>
                <w:sz w:val="4"/>
                <w:szCs w:val="4"/>
              </w:rPr>
            </w:r>
          </w:p>
        </w:tc>
        <w:tc>
          <w:tcPr>
            <w:tcW w:w="557" w:type="dxa"/>
            <w:gridSpan w:val="2"/>
            <w:tcBorders/>
            <w:vAlign w:val="center"/>
          </w:tcPr>
          <w:p>
            <w:pPr>
              <w:pStyle w:val="TableContents"/>
              <w:bidi w:val="0"/>
              <w:spacing w:before="0" w:after="283"/>
              <w:jc w:val="left"/>
              <w:rPr>
                <w:sz w:val="4"/>
                <w:szCs w:val="4"/>
              </w:rPr>
            </w:pPr>
            <w:r>
              <w:rPr>
                <w:sz w:val="4"/>
                <w:szCs w:val="4"/>
              </w:rPr>
            </w:r>
          </w:p>
        </w:tc>
        <w:tc>
          <w:tcPr>
            <w:tcW w:w="870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1"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4.1</w:t>
            </w:r>
          </w:p>
        </w:tc>
        <w:tc>
          <w:tcPr>
            <w:tcW w:w="74" w:type="dxa"/>
            <w:tcBorders/>
            <w:vAlign w:val="bottom"/>
          </w:tcPr>
          <w:p>
            <w:pPr>
              <w:pStyle w:val="TableContents"/>
              <w:bidi w:val="0"/>
              <w:spacing w:before="0" w:after="283"/>
              <w:jc w:val="left"/>
              <w:rPr/>
            </w:pPr>
            <w:r>
              <w:rPr/>
              <w:t> </w:t>
            </w:r>
          </w:p>
        </w:tc>
        <w:tc>
          <w:tcPr>
            <w:tcW w:w="8632" w:type="dxa"/>
            <w:tcBorders/>
            <w:vAlign w:val="bottom"/>
          </w:tcPr>
          <w:p>
            <w:pPr>
              <w:pStyle w:val="TableContents"/>
              <w:bidi w:val="0"/>
              <w:spacing w:before="0" w:after="283"/>
              <w:jc w:val="left"/>
              <w:rPr/>
            </w:pPr>
            <w:hyperlink w:anchor="anxa111069_45">
              <w:r>
                <w:rPr>
                  <w:rStyle w:val="InternetLink"/>
                </w:rPr>
                <w:t xml:space="preserve">Due Organization; Subsidiaries </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83"/>
        <w:gridCol w:w="98"/>
        <w:gridCol w:w="555"/>
        <w:gridCol w:w="98"/>
        <w:gridCol w:w="8304"/>
        <w:gridCol w:w="125"/>
        <w:gridCol w:w="60"/>
        <w:gridCol w:w="518"/>
        <w:gridCol w:w="64"/>
      </w:tblGrid>
      <w:tr>
        <w:trPr/>
        <w:tc>
          <w:tcPr>
            <w:tcW w:w="383"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30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383" w:type="dxa"/>
            <w:tcBorders/>
            <w:vAlign w:val="center"/>
          </w:tcPr>
          <w:p>
            <w:pPr>
              <w:pStyle w:val="TableContents"/>
              <w:bidi w:val="0"/>
              <w:spacing w:before="0" w:after="283"/>
              <w:jc w:val="left"/>
              <w:rPr>
                <w:sz w:val="4"/>
                <w:szCs w:val="4"/>
              </w:rPr>
            </w:pPr>
            <w:r>
              <w:rPr>
                <w:sz w:val="4"/>
                <w:szCs w:val="4"/>
              </w:rPr>
            </w:r>
          </w:p>
        </w:tc>
        <w:tc>
          <w:tcPr>
            <w:tcW w:w="653" w:type="dxa"/>
            <w:gridSpan w:val="2"/>
            <w:tcBorders/>
            <w:vAlign w:val="center"/>
          </w:tcPr>
          <w:p>
            <w:pPr>
              <w:pStyle w:val="TableContents"/>
              <w:bidi w:val="0"/>
              <w:spacing w:before="0" w:after="283"/>
              <w:jc w:val="left"/>
              <w:rPr>
                <w:sz w:val="4"/>
                <w:szCs w:val="4"/>
              </w:rPr>
            </w:pPr>
            <w:r>
              <w:rPr>
                <w:sz w:val="4"/>
                <w:szCs w:val="4"/>
              </w:rPr>
            </w:r>
          </w:p>
        </w:tc>
        <w:tc>
          <w:tcPr>
            <w:tcW w:w="8402"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46">
              <w:r>
                <w:rPr>
                  <w:rStyle w:val="InternetLink"/>
                </w:rPr>
                <w:t>Organizational Documents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47">
              <w:r>
                <w:rPr>
                  <w:rStyle w:val="InternetLink"/>
                </w:rPr>
                <w:t>Authority; Binding Nature of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48">
              <w:r>
                <w:rPr>
                  <w:rStyle w:val="InternetLink"/>
                </w:rPr>
                <w:t>Vote Required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49">
              <w:r>
                <w:rPr>
                  <w:rStyle w:val="InternetLink"/>
                </w:rPr>
                <w:t>Non-Contravention; Consents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4.6</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0">
              <w:r>
                <w:rPr>
                  <w:rStyle w:val="InternetLink"/>
                </w:rPr>
                <w:t>Capitalization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4.7</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1">
              <w:r>
                <w:rPr>
                  <w:rStyle w:val="InternetLink"/>
                </w:rPr>
                <w:t>SEC Filings;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4.8</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2">
              <w:r>
                <w:rPr>
                  <w:rStyle w:val="InternetLink"/>
                </w:rPr>
                <w:t>Absence of Changes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4.9</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3">
              <w:r>
                <w:rPr>
                  <w:rStyle w:val="InternetLink"/>
                </w:rPr>
                <w:t>Absence of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4.10</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4">
              <w:r>
                <w:rPr>
                  <w:rStyle w:val="InternetLink"/>
                </w:rPr>
                <w:t>Title to Assets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4.11</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5">
              <w:r>
                <w:rPr>
                  <w:rStyle w:val="InternetLink"/>
                </w:rPr>
                <w:t>Real Property; Leasehold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6">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7">
              <w:r>
                <w:rPr>
                  <w:rStyle w:val="InternetLink"/>
                </w:rPr>
                <w:t>Agreements, Contracts and Commitments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8">
              <w:r>
                <w:rPr>
                  <w:rStyle w:val="InternetLink"/>
                </w:rPr>
                <w:t>Compliance; Permits; Restrictions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59">
              <w:r>
                <w:rPr>
                  <w:rStyle w:val="InternetLink"/>
                </w:rPr>
                <w:t>Legal Proceedings; Orders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4.16</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0">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4.17</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1">
              <w:r>
                <w:rPr>
                  <w:rStyle w:val="InternetLink"/>
                </w:rPr>
                <w:t>Employee and Labor Matters; Benefit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4.18</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2">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4.19</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3">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4.20</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4">
              <w:r>
                <w:rPr>
                  <w:rStyle w:val="InternetLink"/>
                </w:rPr>
                <w:t>Transactions with Affiliates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4.21</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5">
              <w:r>
                <w:rPr>
                  <w:rStyle w:val="InternetLink"/>
                </w:rPr>
                <w:t>No Financial Advisors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6">
              <w:r>
                <w:rPr>
                  <w:rStyle w:val="InternetLink"/>
                </w:rPr>
                <w:t>Valid Issuance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7">
              <w:r>
                <w:rPr>
                  <w:rStyle w:val="InternetLink"/>
                </w:rPr>
                <w:t>Privacy and Data Security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8">
              <w:r>
                <w:rPr>
                  <w:rStyle w:val="InternetLink"/>
                </w:rPr>
                <w:t>Trade Control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4.25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69">
              <w:r>
                <w:rPr>
                  <w:rStyle w:val="InternetLink"/>
                </w:rPr>
                <w:t>No Other Representations or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5"/>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5"/>
            <w:tcBorders/>
          </w:tcPr>
          <w:p>
            <w:pPr>
              <w:pStyle w:val="TableContents"/>
              <w:bidi w:val="0"/>
              <w:spacing w:before="0" w:after="0"/>
              <w:jc w:val="left"/>
              <w:rPr/>
            </w:pPr>
            <w:hyperlink w:anchor="anxa111069_70">
              <w:r>
                <w:rPr>
                  <w:rStyle w:val="InternetLink"/>
                  <w:rFonts w:ascii="Times New Roman" w:hAnsi="Times New Roman"/>
                  <w:sz w:val="20"/>
                </w:rPr>
                <w:t>Section 5. Certain Covenants of the Parties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383" w:type="dxa"/>
            <w:tcBorders/>
            <w:vAlign w:val="center"/>
          </w:tcPr>
          <w:p>
            <w:pPr>
              <w:pStyle w:val="TableContents"/>
              <w:bidi w:val="0"/>
              <w:spacing w:before="0" w:after="283"/>
              <w:jc w:val="left"/>
              <w:rPr>
                <w:sz w:val="4"/>
                <w:szCs w:val="4"/>
              </w:rPr>
            </w:pPr>
            <w:r>
              <w:rPr>
                <w:sz w:val="4"/>
                <w:szCs w:val="4"/>
              </w:rPr>
            </w:r>
          </w:p>
        </w:tc>
        <w:tc>
          <w:tcPr>
            <w:tcW w:w="653" w:type="dxa"/>
            <w:gridSpan w:val="2"/>
            <w:tcBorders/>
            <w:vAlign w:val="center"/>
          </w:tcPr>
          <w:p>
            <w:pPr>
              <w:pStyle w:val="TableContents"/>
              <w:bidi w:val="0"/>
              <w:spacing w:before="0" w:after="283"/>
              <w:jc w:val="left"/>
              <w:rPr>
                <w:sz w:val="4"/>
                <w:szCs w:val="4"/>
              </w:rPr>
            </w:pPr>
            <w:r>
              <w:rPr>
                <w:sz w:val="4"/>
                <w:szCs w:val="4"/>
              </w:rPr>
            </w:r>
          </w:p>
        </w:tc>
        <w:tc>
          <w:tcPr>
            <w:tcW w:w="8402"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5.1</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1">
              <w:r>
                <w:rPr>
                  <w:rStyle w:val="InternetLink"/>
                </w:rPr>
                <w:t>Operation of Parent’s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5.2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2">
              <w:r>
                <w:rPr>
                  <w:rStyle w:val="InternetLink"/>
                </w:rPr>
                <w:t>Operation of the Company’s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5.3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3">
              <w:r>
                <w:rPr>
                  <w:rStyle w:val="InternetLink"/>
                </w:rPr>
                <w:t>Access and Investigation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5.4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4">
              <w:r>
                <w:rPr>
                  <w:rStyle w:val="InternetLink"/>
                </w:rPr>
                <w:t>No Solicitation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5.5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5">
              <w:r>
                <w:rPr>
                  <w:rStyle w:val="InternetLink"/>
                </w:rPr>
                <w:t>Notification of Certain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5"/>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5"/>
            <w:tcBorders/>
          </w:tcPr>
          <w:p>
            <w:pPr>
              <w:pStyle w:val="TableContents"/>
              <w:bidi w:val="0"/>
              <w:spacing w:before="0" w:after="0"/>
              <w:jc w:val="left"/>
              <w:rPr/>
            </w:pPr>
            <w:hyperlink w:anchor="anxa111069_76">
              <w:r>
                <w:rPr>
                  <w:rStyle w:val="InternetLink"/>
                  <w:rFonts w:ascii="Times New Roman" w:hAnsi="Times New Roman"/>
                  <w:sz w:val="20"/>
                </w:rPr>
                <w:t>Section 6. Additional Agreements of the Parties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rHeight w:val="120" w:hRule="atLeast"/>
        </w:trPr>
        <w:tc>
          <w:tcPr>
            <w:tcW w:w="383" w:type="dxa"/>
            <w:tcBorders/>
            <w:vAlign w:val="center"/>
          </w:tcPr>
          <w:p>
            <w:pPr>
              <w:pStyle w:val="TableContents"/>
              <w:bidi w:val="0"/>
              <w:spacing w:before="0" w:after="283"/>
              <w:jc w:val="left"/>
              <w:rPr>
                <w:sz w:val="4"/>
                <w:szCs w:val="4"/>
              </w:rPr>
            </w:pPr>
            <w:r>
              <w:rPr>
                <w:sz w:val="4"/>
                <w:szCs w:val="4"/>
              </w:rPr>
            </w:r>
          </w:p>
        </w:tc>
        <w:tc>
          <w:tcPr>
            <w:tcW w:w="653" w:type="dxa"/>
            <w:gridSpan w:val="2"/>
            <w:tcBorders/>
            <w:vAlign w:val="center"/>
          </w:tcPr>
          <w:p>
            <w:pPr>
              <w:pStyle w:val="TableContents"/>
              <w:bidi w:val="0"/>
              <w:spacing w:before="0" w:after="283"/>
              <w:jc w:val="left"/>
              <w:rPr>
                <w:sz w:val="4"/>
                <w:szCs w:val="4"/>
              </w:rPr>
            </w:pPr>
            <w:r>
              <w:rPr>
                <w:sz w:val="4"/>
                <w:szCs w:val="4"/>
              </w:rPr>
            </w:r>
          </w:p>
        </w:tc>
        <w:tc>
          <w:tcPr>
            <w:tcW w:w="8402"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7">
              <w:r>
                <w:rPr>
                  <w:rStyle w:val="InternetLink"/>
                </w:rPr>
                <w:t>Registration Statement, Proxy Statement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8">
              <w:r>
                <w:rPr>
                  <w:rStyle w:val="InternetLink"/>
                </w:rPr>
                <w:t>Company Stockholder Written Consent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79">
              <w:r>
                <w:rPr>
                  <w:rStyle w:val="InternetLink"/>
                </w:rPr>
                <w:t>Parent Shareholder Meeting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0">
              <w:r>
                <w:rPr>
                  <w:rStyle w:val="InternetLink"/>
                </w:rPr>
                <w:t>Efforts; Regulatory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1">
              <w:r>
                <w:rPr>
                  <w:rStyle w:val="InternetLink"/>
                </w:rPr>
                <w:t>Company Options; Company RSUs; Company Warrants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6.6</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2">
              <w:r>
                <w:rPr>
                  <w:rStyle w:val="InternetLink"/>
                </w:rPr>
                <w:t>Employee Benefits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6.7</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3">
              <w:r>
                <w:rPr>
                  <w:rStyle w:val="InternetLink"/>
                </w:rPr>
                <w:t>Indemnification of Officers and Directors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6.8</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4">
              <w:r>
                <w:rPr>
                  <w:rStyle w:val="InternetLink"/>
                </w:rPr>
                <w:t>Disclosure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6.9</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5">
              <w:r>
                <w:rPr>
                  <w:rStyle w:val="InternetLink"/>
                </w:rPr>
                <w:t>Listing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6.10</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6">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6.11</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7">
              <w:r>
                <w:rPr>
                  <w:rStyle w:val="InternetLink"/>
                </w:rPr>
                <w:t>Legends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6.12</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8">
              <w:r>
                <w:rPr>
                  <w:rStyle w:val="InternetLink"/>
                </w:rPr>
                <w:t>Officers and Directors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6.13</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89">
              <w:r>
                <w:rPr>
                  <w:rStyle w:val="InternetLink"/>
                </w:rPr>
                <w:t>Termination of Certain Agreements and Rights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6.14</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90">
              <w:r>
                <w:rPr>
                  <w:rStyle w:val="InternetLink"/>
                </w:rPr>
                <w:t>Section 16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6.15</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91">
              <w:r>
                <w:rPr>
                  <w:rStyle w:val="InternetLink"/>
                </w:rPr>
                <w:t>Allocation Information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6.16</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92">
              <w:r>
                <w:rPr>
                  <w:rStyle w:val="InternetLink"/>
                </w:rPr>
                <w:t>Parent SEC Documents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38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6.17</w:t>
            </w:r>
          </w:p>
        </w:tc>
        <w:tc>
          <w:tcPr>
            <w:tcW w:w="98" w:type="dxa"/>
            <w:tcBorders/>
            <w:vAlign w:val="bottom"/>
          </w:tcPr>
          <w:p>
            <w:pPr>
              <w:pStyle w:val="TableContents"/>
              <w:bidi w:val="0"/>
              <w:spacing w:before="0" w:after="283"/>
              <w:jc w:val="left"/>
              <w:rPr/>
            </w:pPr>
            <w:r>
              <w:rPr/>
              <w:t> </w:t>
            </w:r>
          </w:p>
        </w:tc>
        <w:tc>
          <w:tcPr>
            <w:tcW w:w="8304" w:type="dxa"/>
            <w:tcBorders/>
            <w:vAlign w:val="bottom"/>
          </w:tcPr>
          <w:p>
            <w:pPr>
              <w:pStyle w:val="TableContents"/>
              <w:bidi w:val="0"/>
              <w:spacing w:before="0" w:after="283"/>
              <w:jc w:val="left"/>
              <w:rPr/>
            </w:pPr>
            <w:hyperlink w:anchor="anxa111069_93">
              <w:r>
                <w:rPr>
                  <w:rStyle w:val="InternetLink"/>
                </w:rPr>
                <w:t>Obligations of Merger Subs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2"/>
        <w:gridCol w:w="83"/>
        <w:gridCol w:w="589"/>
        <w:gridCol w:w="83"/>
        <w:gridCol w:w="8426"/>
        <w:gridCol w:w="123"/>
        <w:gridCol w:w="60"/>
        <w:gridCol w:w="515"/>
        <w:gridCol w:w="64"/>
      </w:tblGrid>
      <w:tr>
        <w:trPr/>
        <w:tc>
          <w:tcPr>
            <w:tcW w:w="262"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6.18</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94">
              <w:r>
                <w:rPr>
                  <w:rStyle w:val="InternetLink"/>
                </w:rPr>
                <w:t>Parent Pre-Closing Dividend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6.19</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95">
              <w:r>
                <w:rPr>
                  <w:rStyle w:val="InternetLink"/>
                </w:rPr>
                <w:t>Company Pre-Closing Financing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6.20</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96">
              <w:r>
                <w:rPr>
                  <w:rStyle w:val="InternetLink"/>
                </w:rPr>
                <w:t>Termination of Certain Agreements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tcPr>
          <w:p>
            <w:pPr>
              <w:pStyle w:val="TableContents"/>
              <w:bidi w:val="0"/>
              <w:spacing w:before="0" w:after="0"/>
              <w:jc w:val="left"/>
              <w:rPr/>
            </w:pPr>
            <w:hyperlink w:anchor="anxa111069_97">
              <w:r>
                <w:rPr>
                  <w:rStyle w:val="InternetLink"/>
                  <w:rFonts w:ascii="Times New Roman" w:hAnsi="Times New Roman"/>
                  <w:sz w:val="20"/>
                </w:rPr>
                <w:t xml:space="preserve">Section 7. Conditions Precedent to Obligations of Each Party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8509"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7.1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98">
              <w:r>
                <w:rPr>
                  <w:rStyle w:val="InternetLink"/>
                </w:rPr>
                <w:t>Regulatory Approvals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7.2</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99">
              <w:r>
                <w:rPr>
                  <w:rStyle w:val="InternetLink"/>
                </w:rPr>
                <w:t>No Restraints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7.3</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0">
              <w:r>
                <w:rPr>
                  <w:rStyle w:val="InternetLink"/>
                </w:rPr>
                <w:t>Stockholder Approval</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7.4</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1">
              <w:r>
                <w:rPr>
                  <w:rStyle w:val="InternetLink"/>
                </w:rPr>
                <w:t>Listing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7.5</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2">
              <w:r>
                <w:rPr>
                  <w:rStyle w:val="InternetLink"/>
                </w:rPr>
                <w:t>Effectiveness of Registration Statement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tcPr>
          <w:p>
            <w:pPr>
              <w:pStyle w:val="TableContents"/>
              <w:bidi w:val="0"/>
              <w:spacing w:before="0" w:after="0"/>
              <w:jc w:val="left"/>
              <w:rPr/>
            </w:pPr>
            <w:hyperlink w:anchor="anxa111069_103">
              <w:r>
                <w:rPr>
                  <w:rStyle w:val="InternetLink"/>
                  <w:rFonts w:ascii="Times New Roman" w:hAnsi="Times New Roman"/>
                  <w:sz w:val="20"/>
                </w:rPr>
                <w:t xml:space="preserve">Section 8. Additional Conditions Precedent to Obligations of Parent and Merger Subs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8509"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4">
              <w:r>
                <w:rPr>
                  <w:rStyle w:val="InternetLink"/>
                </w:rPr>
                <w:t>Accuracy of Representations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8.2</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5">
              <w:r>
                <w:rPr>
                  <w:rStyle w:val="InternetLink"/>
                </w:rPr>
                <w:t>Performance of Covenants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8.3</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6">
              <w:r>
                <w:rPr>
                  <w:rStyle w:val="InternetLink"/>
                </w:rPr>
                <w:t>Documents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8.4</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7">
              <w:r>
                <w:rPr>
                  <w:rStyle w:val="InternetLink"/>
                </w:rPr>
                <w:t>No Company Material Adverse Effect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8.5</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8">
              <w:r>
                <w:rPr>
                  <w:rStyle w:val="InternetLink"/>
                </w:rPr>
                <w:t>Company Stockholder Written Consent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8.6</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09">
              <w:r>
                <w:rPr>
                  <w:rStyle w:val="InternetLink"/>
                </w:rPr>
                <w:t>Company Pre-Closing Financing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tcPr>
          <w:p>
            <w:pPr>
              <w:pStyle w:val="TableContents"/>
              <w:bidi w:val="0"/>
              <w:spacing w:before="0" w:after="0"/>
              <w:jc w:val="left"/>
              <w:rPr/>
            </w:pPr>
            <w:hyperlink w:anchor="anxa111069_110">
              <w:r>
                <w:rPr>
                  <w:rStyle w:val="InternetLink"/>
                  <w:rFonts w:ascii="Times New Roman" w:hAnsi="Times New Roman"/>
                  <w:sz w:val="20"/>
                </w:rPr>
                <w:t xml:space="preserve">Section 9. Additional Conditions Precedent to Obligation of the Company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8509"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1">
              <w:r>
                <w:rPr>
                  <w:rStyle w:val="InternetLink"/>
                </w:rPr>
                <w:t>Accuracy of Representations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9.2</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2">
              <w:r>
                <w:rPr>
                  <w:rStyle w:val="InternetLink"/>
                </w:rPr>
                <w:t>Performance of Covenants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9.3</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3">
              <w:r>
                <w:rPr>
                  <w:rStyle w:val="InternetLink"/>
                </w:rPr>
                <w:t>Documents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9.4</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4">
              <w:r>
                <w:rPr>
                  <w:rStyle w:val="InternetLink"/>
                </w:rPr>
                <w:t>No Parent Material Adverse Effect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9.5</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5">
              <w:r>
                <w:rPr>
                  <w:rStyle w:val="InternetLink"/>
                </w:rPr>
                <w:t>Parent Pre-Closing Dividend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9.6</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6">
              <w:r>
                <w:rPr>
                  <w:rStyle w:val="InternetLink"/>
                </w:rPr>
                <w:t>Parent Articles of Amendment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9.7</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7">
              <w:r>
                <w:rPr>
                  <w:rStyle w:val="InternetLink"/>
                </w:rPr>
                <w:t>Termination of Agreements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tcPr>
          <w:p>
            <w:pPr>
              <w:pStyle w:val="TableContents"/>
              <w:bidi w:val="0"/>
              <w:spacing w:before="0" w:after="0"/>
              <w:jc w:val="left"/>
              <w:rPr/>
            </w:pPr>
            <w:hyperlink w:anchor="anxa111069_118">
              <w:r>
                <w:rPr>
                  <w:rStyle w:val="InternetLink"/>
                  <w:rFonts w:ascii="Times New Roman" w:hAnsi="Times New Roman"/>
                  <w:sz w:val="20"/>
                </w:rPr>
                <w:t xml:space="preserve">Section 10. Termination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8509"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10.1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19">
              <w:r>
                <w:rPr>
                  <w:rStyle w:val="InternetLink"/>
                </w:rPr>
                <w:t>Termination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10.2</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0">
              <w:r>
                <w:rPr>
                  <w:rStyle w:val="InternetLink"/>
                </w:rPr>
                <w:t>Effect of Termination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10.3</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1">
              <w:r>
                <w:rPr>
                  <w:rStyle w:val="InternetLink"/>
                </w:rPr>
                <w:t>Expenses; Termination Fees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tcPr>
          <w:p>
            <w:pPr>
              <w:pStyle w:val="TableContents"/>
              <w:bidi w:val="0"/>
              <w:spacing w:before="0" w:after="0"/>
              <w:jc w:val="left"/>
              <w:rPr/>
            </w:pPr>
            <w:hyperlink w:anchor="anxa111069_122">
              <w:r>
                <w:rPr>
                  <w:rStyle w:val="InternetLink"/>
                  <w:rFonts w:ascii="Times New Roman" w:hAnsi="Times New Roman"/>
                  <w:sz w:val="20"/>
                </w:rPr>
                <w:t xml:space="preserve">Section 11. Miscellaneous Provisions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8509"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3">
              <w:r>
                <w:rPr>
                  <w:rStyle w:val="InternetLink"/>
                </w:rPr>
                <w:t>Non-Survival of Representations and Warranties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11.2</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4">
              <w:r>
                <w:rPr>
                  <w:rStyle w:val="InternetLink"/>
                </w:rPr>
                <w:t>Amendment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11.3</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5">
              <w:r>
                <w:rPr>
                  <w:rStyle w:val="InternetLink"/>
                </w:rPr>
                <w:t>Waiver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11.4</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6">
              <w:r>
                <w:rPr>
                  <w:rStyle w:val="InternetLink"/>
                </w:rPr>
                <w:t>Entire Agreement; Counterparts; Exchanges by Electronic Transmission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11.5</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7">
              <w:r>
                <w:rPr>
                  <w:rStyle w:val="InternetLink"/>
                </w:rPr>
                <w:t>Applicable Law; Jurisdiction; WAIVER OF RIGHT TO TRIAL BY JURY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11.6</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8">
              <w:r>
                <w:rPr>
                  <w:rStyle w:val="InternetLink"/>
                </w:rPr>
                <w:t>Assignability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11.7</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29">
              <w:r>
                <w:rPr>
                  <w:rStyle w:val="InternetLink"/>
                </w:rPr>
                <w:t>Notices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11.8</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30">
              <w:r>
                <w:rPr>
                  <w:rStyle w:val="InternetLink"/>
                </w:rPr>
                <w:t>Cooperation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11.9</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31">
              <w:r>
                <w:rPr>
                  <w:rStyle w:val="InternetLink"/>
                </w:rPr>
                <w:t>Severability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11.10</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32">
              <w:r>
                <w:rPr>
                  <w:rStyle w:val="InternetLink"/>
                </w:rPr>
                <w:t>Other Remedies; Specific Performance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262"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11.11</w:t>
            </w:r>
          </w:p>
        </w:tc>
        <w:tc>
          <w:tcPr>
            <w:tcW w:w="83" w:type="dxa"/>
            <w:tcBorders/>
            <w:vAlign w:val="bottom"/>
          </w:tcPr>
          <w:p>
            <w:pPr>
              <w:pStyle w:val="TableContents"/>
              <w:bidi w:val="0"/>
              <w:spacing w:before="0" w:after="283"/>
              <w:jc w:val="left"/>
              <w:rPr/>
            </w:pPr>
            <w:r>
              <w:rPr/>
              <w:t> </w:t>
            </w:r>
          </w:p>
        </w:tc>
        <w:tc>
          <w:tcPr>
            <w:tcW w:w="8426" w:type="dxa"/>
            <w:tcBorders/>
            <w:vAlign w:val="bottom"/>
          </w:tcPr>
          <w:p>
            <w:pPr>
              <w:pStyle w:val="TableContents"/>
              <w:bidi w:val="0"/>
              <w:spacing w:before="0" w:after="283"/>
              <w:jc w:val="left"/>
              <w:rPr/>
            </w:pPr>
            <w:hyperlink w:anchor="anxa111069_133">
              <w:r>
                <w:rPr>
                  <w:rStyle w:val="InternetLink"/>
                </w:rPr>
                <w:t>No Third-Party Beneficiaries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24"/>
        <w:gridCol w:w="101"/>
        <w:gridCol w:w="8880"/>
      </w:tblGrid>
      <w:tr>
        <w:trPr/>
        <w:tc>
          <w:tcPr>
            <w:tcW w:w="1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b/>
              </w:rPr>
            </w:pPr>
            <w:r>
              <w:rPr>
                <w:b/>
              </w:rPr>
              <w:t>Exhibits:</w:t>
            </w:r>
          </w:p>
        </w:tc>
        <w:tc>
          <w:tcPr>
            <w:tcW w:w="101" w:type="dxa"/>
            <w:tcBorders/>
            <w:vAlign w:val="bottom"/>
          </w:tcPr>
          <w:p>
            <w:pPr>
              <w:pStyle w:val="TableContents"/>
              <w:bidi w:val="0"/>
              <w:spacing w:before="0" w:after="283"/>
              <w:jc w:val="left"/>
              <w:rPr/>
            </w:pPr>
            <w:r>
              <w:rPr/>
              <w:t> </w:t>
            </w:r>
          </w:p>
        </w:tc>
        <w:tc>
          <w:tcPr>
            <w:tcW w:w="8880"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A-1</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Parent Shareholder Support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A-2</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Company Stockholder Support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B</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Lock-Up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C</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Subscription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First Certificate of Merger, including certificate of incorporation of the First Step Surviving Corporation attached as Exhibit A thereto, incorporated by reference into this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Second Certificate of Merger, incorporated by reference into this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Parent Articles of Amendment Schedule</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CVR Agreement</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01"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Pre-Funded Warrant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AGREEMENT AND PLAN OF MERGER AND REORGANIZATION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April 1, 2026, by and among </w:t>
      </w:r>
      <w:r>
        <w:rPr>
          <w:rFonts w:ascii="Times New Roman" w:hAnsi="Times New Roman"/>
          <w:b/>
          <w:sz w:val="20"/>
        </w:rPr>
        <w:t>CYCLERION THERAPEUTICS, INC.</w:t>
      </w:r>
      <w:r>
        <w:rPr>
          <w:rFonts w:ascii="Times New Roman" w:hAnsi="Times New Roman"/>
          <w:sz w:val="20"/>
        </w:rPr>
        <w:t>, a Massachusetts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CARIBOOS MERGER SUB CORP.</w:t>
      </w:r>
      <w:r>
        <w:rPr>
          <w:rFonts w:ascii="Times New Roman" w:hAnsi="Times New Roman"/>
          <w:sz w:val="20"/>
        </w:rPr>
        <w:t>, a Delaware corporation and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w:t>
      </w:r>
      <w:r>
        <w:rPr>
          <w:rFonts w:ascii="Times New Roman" w:hAnsi="Times New Roman"/>
          <w:b/>
          <w:sz w:val="20"/>
        </w:rPr>
        <w:t>CARIBOOS MERGER SUB II, LLC</w:t>
      </w:r>
      <w:r>
        <w:rPr>
          <w:rFonts w:ascii="Times New Roman" w:hAnsi="Times New Roman"/>
          <w:sz w:val="20"/>
        </w:rPr>
        <w:t>, a Delaware limited liability company and wholly owned subsidiary of Parent (“</w:t>
      </w:r>
      <w:r>
        <w:rPr>
          <w:rFonts w:ascii="Times New Roman" w:hAnsi="Times New Roman"/>
          <w:b/>
          <w:sz w:val="20"/>
        </w:rPr>
        <w:t>Second</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KORSANA BIOSCIENCES,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First Merger Sub with and into the Company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xml:space="preserve">”) in accordance with this Agreement and the DGCL. Upon consummation of the First Merger, First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Immediately following the First Merger and as part of the same overall transaction as the First Merger, the Company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 xml:space="preserve">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F. 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the Company’s willingness to enter into this Agreement, each of the officers and directors set forth on </w:t>
      </w:r>
      <w:r>
        <w:rPr>
          <w:rFonts w:ascii="Times New Roman" w:hAnsi="Times New Roman"/>
          <w:sz w:val="20"/>
          <w:u w:val="single"/>
        </w:rPr>
        <w:t>Section A</w:t>
      </w:r>
      <w:r>
        <w:rPr>
          <w:rFonts w:ascii="Times New Roman" w:hAnsi="Times New Roman"/>
          <w:sz w:val="20"/>
        </w:rPr>
        <w:t xml:space="preserve"> of the Parent Disclosure Letter (solely in their capacity as shareholders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Shareholder Support Agreement</w:t>
      </w:r>
      <w:r>
        <w:rPr>
          <w:rFonts w:ascii="Times New Roman" w:hAnsi="Times New Roman"/>
          <w:sz w:val="20"/>
        </w:rPr>
        <w:t xml:space="preserve">”),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substantially the form attached hereto as Exhibit B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hAnsi="Times New Roman"/>
          <w:b/>
          <w:sz w:val="20"/>
        </w:rPr>
        <w:t>Subscription Agreement</w:t>
      </w:r>
      <w:r>
        <w:rPr>
          <w:rFonts w:ascii="Times New Roman" w:hAnsi="Times New Roman"/>
          <w:sz w:val="20"/>
        </w:rPr>
        <w:t>”), pursuant to which such Persons have agreed to purchase, in the amounts set forth therein, shares of Company Common Stock and pre-funded warrants to purchase Company Common Stock immediately prior to the First Effective Time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120" w:after="0"/>
        <w:jc w:val="left"/>
        <w:rPr>
          <w:rFonts w:ascii="Times New Roman" w:hAnsi="Times New Roman"/>
          <w:sz w:val="20"/>
        </w:rPr>
      </w:pPr>
      <w:bookmarkStart w:id="73" w:name="anxa111069_1"/>
      <w:bookmarkEnd w:id="73"/>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4" w:name="anxa111069_2"/>
      <w:bookmarkEnd w:id="74"/>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Accrued Pre-Closing Tax Amount</w:t>
      </w:r>
      <w:r>
        <w:rPr>
          <w:rFonts w:ascii="Times New Roman" w:hAnsi="Times New Roman"/>
          <w:sz w:val="20"/>
        </w:rPr>
        <w:t xml:space="preserve">”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any transaction or series of related transactions (other than any Parent Legacy Transaction or the Company Pre-Closing Financing) involving: </w:t>
      </w:r>
    </w:p>
    <w:p>
      <w:pPr>
        <w:pStyle w:val="TextBody"/>
        <w:bidi w:val="0"/>
        <w:spacing w:before="12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24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Saturday or Sunday; or (b) a day on which banks in the Commonwealth of Massachusetts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is a Party, (b) by which the Company is or may become bound or under which the Company has, or may become subject to, any obligation or (c) under which the Company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3.5(a)(i)</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rights that are owned or purported to be owned by, assigned to, exclusively licensed to, or controlled by the Company that are necessary for, or used or held for use in, the operation of the business of the Company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hAnsi="Times New Roman"/>
          <w:b/>
          <w:sz w:val="20"/>
        </w:rPr>
        <w:t>GAAP</w:t>
      </w:r>
      <w:r>
        <w:rPr>
          <w:rFonts w:ascii="Times New Roman" w:hAnsi="Times New Roman"/>
          <w:sz w:val="20"/>
        </w:rPr>
        <w:t xml:space="preserve">”)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(a) the Post-Closing Parent Shares </w:t>
      </w:r>
      <w:r>
        <w:rPr>
          <w:rFonts w:ascii="Times New Roman" w:hAnsi="Times New Roman"/>
          <w:i/>
          <w:sz w:val="20"/>
          <w:u w:val="single"/>
        </w:rPr>
        <w:t>by</w:t>
      </w:r>
      <w:r>
        <w:rPr>
          <w:rFonts w:ascii="Times New Roman" w:hAnsi="Times New Roman"/>
          <w:sz w:val="20"/>
        </w:rPr>
        <w:t xml:space="preserve"> (b) the Company Allocation Percentage,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percentage (rounded to four decimal places) determined by </w:t>
            </w:r>
            <w:r>
              <w:rPr>
                <w:rFonts w:ascii="Times New Roman" w:hAnsi="Times New Roman"/>
                <w:i/>
                <w:sz w:val="20"/>
                <w:u w:val="single"/>
              </w:rPr>
              <w:t>subtracting</w:t>
            </w:r>
            <w:r>
              <w:rPr>
                <w:rFonts w:ascii="Times New Roman" w:hAnsi="Times New Roman"/>
                <w:sz w:val="20"/>
              </w:rPr>
              <w:t xml:space="preserve"> (i) the Parent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$268,400,000.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hAnsi="Times New Roman"/>
                <w:b/>
                <w:sz w:val="20"/>
              </w:rPr>
              <w:t>Service Provider Grants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amount of proceeds actually received by the Company from the Company Pre-Closing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dividing (i) the Company Merger Shares by (ii) the Company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t>“</w:t>
            </w:r>
            <w:r>
              <w:rPr>
                <w:rFonts w:ascii="Times New Roman" w:hAnsi="Times New Roman"/>
                <w:b/>
                <w:sz w:val="20"/>
              </w:rPr>
              <w:t>Parent Outstanding Shares</w:t>
            </w:r>
            <w:r>
              <w:rPr>
                <w:rFonts w:ascii="Times New Roman" w:hAnsi="Times New Roman"/>
                <w:sz w:val="20"/>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hAnsi="Times New Roman"/>
                <w:sz w:val="20"/>
                <w:u w:val="single"/>
              </w:rPr>
              <w:t>Section 6.6(e)</w:t>
            </w:r>
            <w:r>
              <w:rPr>
                <w:rFonts w:ascii="Times New Roman" w:hAnsi="Times New Roman"/>
                <w:sz w:val="20"/>
              </w:rPr>
              <w:t xml:space="preserve">. Notwithstanding any of the foregoing, no Out of the Money Parent Options shall be included in the total number of shares of Parent Common Stock outstanding for purposes of determining the Parent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b/>
                <w:sz w:val="20"/>
              </w:rPr>
              <w:t>Parent Valuation</w:t>
            </w:r>
            <w:r>
              <w:rPr>
                <w:rFonts w:ascii="Times New Roman" w:hAnsi="Times New Roman"/>
                <w:sz w:val="20"/>
              </w:rPr>
              <w:t xml:space="preserve">” means (i) $10,000,000, </w:t>
            </w:r>
            <w:r>
              <w:rPr>
                <w:rFonts w:ascii="Times New Roman" w:hAnsi="Times New Roman"/>
                <w:i/>
                <w:sz w:val="20"/>
                <w:u w:val="single"/>
              </w:rPr>
              <w:t>minus</w:t>
            </w:r>
            <w:r>
              <w:rPr>
                <w:rFonts w:ascii="Times New Roman" w:hAnsi="Times New Roman"/>
                <w:sz w:val="20"/>
              </w:rPr>
              <w:t xml:space="preserve"> (ii) the amount by which Parent Net Cash is less than $0, </w:t>
            </w:r>
            <w:r>
              <w:rPr>
                <w:rFonts w:ascii="Times New Roman" w:hAnsi="Times New Roman"/>
                <w:i/>
                <w:sz w:val="20"/>
                <w:u w:val="single"/>
              </w:rPr>
              <w:t>plus</w:t>
            </w:r>
            <w:r>
              <w:rPr>
                <w:rFonts w:ascii="Times New Roman" w:hAnsi="Times New Roman"/>
                <w:sz w:val="20"/>
              </w:rPr>
              <w:t xml:space="preserve"> (iii) the amount by which Parent Net Cash exceeds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t>“</w:t>
            </w:r>
            <w:r>
              <w:rPr>
                <w:rFonts w:ascii="Times New Roman" w:hAnsi="Times New Roman"/>
                <w:b/>
                <w:sz w:val="20"/>
              </w:rPr>
              <w:t>Post-Closing Parent Shares</w:t>
            </w:r>
            <w:r>
              <w:rPr>
                <w:rFonts w:ascii="Times New Roman" w:hAnsi="Times New Roman"/>
                <w:sz w:val="20"/>
              </w:rPr>
              <w:t xml:space="preserve">” mean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tc>
      </w:tr>
    </w:tbl>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shares of the Company’s capital stock designated as preferred stock, including the Company Series Seed Preferred Stock and Company Series A Preferred Stock. </w:t>
      </w:r>
    </w:p>
    <w:p>
      <w:pPr>
        <w:pStyle w:val="TextBody"/>
        <w:bidi w:val="0"/>
        <w:spacing w:before="24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Series A Preferred Stock</w:t>
      </w:r>
      <w:r>
        <w:rPr>
          <w:rFonts w:ascii="Times New Roman" w:hAnsi="Times New Roman"/>
          <w:sz w:val="20"/>
        </w:rPr>
        <w:t xml:space="preserve">” means a series of the Company’s preferred stock designated as Series A Preferred Stock, $0.0001 par value per share. </w:t>
      </w:r>
    </w:p>
    <w:p>
      <w:pPr>
        <w:pStyle w:val="TextBody"/>
        <w:bidi w:val="0"/>
        <w:spacing w:before="240" w:after="0"/>
        <w:jc w:val="left"/>
        <w:rPr/>
      </w:pPr>
      <w:r>
        <w:rPr/>
        <w:t>“</w:t>
      </w:r>
      <w:r>
        <w:rPr>
          <w:rFonts w:ascii="Times New Roman" w:hAnsi="Times New Roman"/>
          <w:b/>
          <w:sz w:val="20"/>
        </w:rPr>
        <w:t>Company Series Seed Preferred Stock</w:t>
      </w:r>
      <w:r>
        <w:rPr>
          <w:rFonts w:ascii="Times New Roman" w:hAnsi="Times New Roman"/>
          <w:sz w:val="20"/>
        </w:rPr>
        <w:t xml:space="preserve">” means a series of the Company’s preferred stock designated as Series Seed Preferred Stock, $0.0001 par value per share. </w:t>
      </w:r>
    </w:p>
    <w:p>
      <w:pPr>
        <w:pStyle w:val="TextBody"/>
        <w:bidi w:val="0"/>
        <w:spacing w:before="240" w:after="0"/>
        <w:jc w:val="left"/>
        <w:rPr/>
      </w:pPr>
      <w:r>
        <w:rPr/>
        <w:t>“</w:t>
      </w:r>
      <w:r>
        <w:rPr>
          <w:rFonts w:ascii="Times New Roman" w:hAnsi="Times New Roman"/>
          <w:b/>
          <w:sz w:val="20"/>
        </w:rPr>
        <w:t>Company RSU</w:t>
      </w:r>
      <w:r>
        <w:rPr>
          <w:rFonts w:ascii="Times New Roman" w:hAnsi="Times New Roman"/>
          <w:sz w:val="20"/>
        </w:rPr>
        <w:t xml:space="preserve">” means each restricted stock unit award for shares of Company Capital Stock issued by the Company. </w:t>
      </w:r>
    </w:p>
    <w:p>
      <w:pPr>
        <w:pStyle w:val="TextBody"/>
        <w:bidi w:val="0"/>
        <w:spacing w:before="240" w:after="0"/>
        <w:jc w:val="left"/>
        <w:rPr/>
      </w:pPr>
      <w:r>
        <w:rPr/>
        <w:t>“</w:t>
      </w:r>
      <w:r>
        <w:rPr>
          <w:rFonts w:ascii="Times New Roman" w:hAnsi="Times New Roman"/>
          <w:b/>
          <w:sz w:val="20"/>
        </w:rPr>
        <w:t>Company Stock Plan</w:t>
      </w:r>
      <w:r>
        <w:rPr>
          <w:rFonts w:ascii="Times New Roman" w:hAnsi="Times New Roman"/>
          <w:sz w:val="20"/>
        </w:rPr>
        <w:t xml:space="preserve">” means the Company’s 2025 Equity Incentive Plan.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Warrants</w:t>
      </w:r>
      <w:r>
        <w:rPr>
          <w:rFonts w:ascii="Times New Roman" w:hAnsi="Times New Roman"/>
          <w:sz w:val="20"/>
        </w:rPr>
        <w:t xml:space="preserve">” means warrants (including any pre-funded warrants) to purchase shares of Company Capital Stock issued by the Company. </w:t>
      </w:r>
    </w:p>
    <w:p>
      <w:pPr>
        <w:pStyle w:val="TextBody"/>
        <w:bidi w:val="0"/>
        <w:spacing w:before="240" w:after="0"/>
        <w:jc w:val="left"/>
        <w:rPr/>
      </w:pPr>
      <w:r>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mutual non-disclosure agreement dated as of March 10, 2026,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Delisting Event</w:t>
      </w:r>
      <w:r>
        <w:rPr>
          <w:rFonts w:ascii="Times New Roman" w:hAnsi="Times New Roman"/>
          <w:sz w:val="20"/>
        </w:rPr>
        <w:t xml:space="preserve">”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DLLCA</w:t>
      </w:r>
      <w:r>
        <w:rPr>
          <w:rFonts w:ascii="Times New Roman" w:hAnsi="Times New Roman"/>
          <w:sz w:val="20"/>
        </w:rPr>
        <w:t xml:space="preserve">” means the Delaware Limited Liability Company Act.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 (c), (m) or (o) of the Code.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First Merger Sub Board</w:t>
      </w:r>
      <w:r>
        <w:rPr>
          <w:rFonts w:ascii="Times New Roman" w:hAnsi="Times New Roman"/>
          <w:sz w:val="20"/>
        </w:rPr>
        <w:t xml:space="preserve">” means the board of directors of First Merger Sub.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U.S. Hart-Scott-Rodino Antitrust Improvements Act of 1976, as amended. </w:t>
      </w:r>
    </w:p>
    <w:p>
      <w:pPr>
        <w:pStyle w:val="TextBody"/>
        <w:bidi w:val="0"/>
        <w:spacing w:before="240" w:after="0"/>
        <w:jc w:val="left"/>
        <w:rPr/>
      </w:pPr>
      <w:r>
        <w:rPr/>
        <w:t>“</w:t>
      </w:r>
      <w:r>
        <w:rPr>
          <w:rFonts w:ascii="Times New Roman" w:hAnsi="Times New Roman"/>
          <w:b/>
          <w:sz w:val="20"/>
        </w:rPr>
        <w:t>In the Money Parent Option</w:t>
      </w:r>
      <w:r>
        <w:rPr>
          <w:rFonts w:ascii="Times New Roman" w:hAnsi="Times New Roman"/>
          <w:sz w:val="20"/>
        </w:rPr>
        <w:t xml:space="preserve">” shall mean Parent Options with an exercise price equal to or less than the Parent Closing Price.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MBCA</w:t>
      </w:r>
      <w:r>
        <w:rPr>
          <w:rFonts w:ascii="Times New Roman" w:hAnsi="Times New Roman"/>
          <w:sz w:val="20"/>
        </w:rPr>
        <w:t xml:space="preserve">” means the Massachusetts Business Corporation Act, as amended. </w:t>
      </w:r>
    </w:p>
    <w:p>
      <w:pPr>
        <w:pStyle w:val="TextBody"/>
        <w:bidi w:val="0"/>
        <w:spacing w:before="240" w:after="0"/>
        <w:jc w:val="left"/>
        <w:rPr/>
      </w:pPr>
      <w:r>
        <w:rPr/>
        <w:t>“</w:t>
      </w:r>
      <w:r>
        <w:rPr>
          <w:rFonts w:ascii="Times New Roman" w:hAnsi="Times New Roman"/>
          <w:b/>
          <w:sz w:val="20"/>
        </w:rPr>
        <w:t>Minimum Concurrent Investment Amount</w:t>
      </w:r>
      <w:r>
        <w:rPr>
          <w:rFonts w:ascii="Times New Roman" w:hAnsi="Times New Roman"/>
          <w:sz w:val="20"/>
        </w:rPr>
        <w:t xml:space="preserve">” means $150,000,000. </w:t>
      </w:r>
    </w:p>
    <w:p>
      <w:pPr>
        <w:pStyle w:val="TextBody"/>
        <w:bidi w:val="0"/>
        <w:spacing w:before="240" w:after="0"/>
        <w:jc w:val="left"/>
        <w:rPr/>
      </w:pPr>
      <w:r>
        <w:rPr/>
        <w:t>“</w:t>
      </w:r>
      <w:r>
        <w:rPr>
          <w:rFonts w:ascii="Times New Roman" w:hAnsi="Times New Roman"/>
          <w:b/>
          <w:sz w:val="20"/>
        </w:rPr>
        <w:t>Multiemployer</w:t>
      </w:r>
      <w:r>
        <w:rPr>
          <w:rFonts w:ascii="Times New Roman" w:hAnsi="Times New Roman"/>
          <w:sz w:val="20"/>
        </w:rPr>
        <w:t xml:space="preserve"> </w:t>
      </w:r>
      <w:r>
        <w:rPr>
          <w:rFonts w:ascii="Times New Roman" w:hAnsi="Times New Roman"/>
          <w:b/>
          <w:sz w:val="20"/>
        </w:rPr>
        <w:t>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 3(40)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for the purpose of maintaining compliance with Nasdaq listing standards.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Parent, such actions taken in the ordinary course of its business and consistent with its past practice or, with respect to the Company, the customary practices of a recently formed company at a similar stage of development.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Out of the Money Parent Options</w:t>
      </w:r>
      <w:r>
        <w:rPr>
          <w:rFonts w:ascii="Times New Roman" w:hAnsi="Times New Roman"/>
          <w:sz w:val="20"/>
        </w:rPr>
        <w:t xml:space="preserve">” shall mean Parent Options with an exercise price greater than the Parent Closing Price. </w:t>
      </w:r>
    </w:p>
    <w:p>
      <w:pPr>
        <w:pStyle w:val="TextBody"/>
        <w:bidi w:val="0"/>
        <w:spacing w:before="240" w:after="0"/>
        <w:jc w:val="left"/>
        <w:rPr/>
      </w:pPr>
      <w:r>
        <w:rPr/>
        <w:t>“</w:t>
      </w:r>
      <w:r>
        <w:rPr>
          <w:rFonts w:ascii="Times New Roman" w:hAnsi="Times New Roman"/>
          <w:b/>
          <w:sz w:val="20"/>
        </w:rPr>
        <w:t>Parent Articles of Amendment Schedule</w:t>
      </w:r>
      <w:r>
        <w:rPr>
          <w:rFonts w:ascii="Times New Roman" w:hAnsi="Times New Roman"/>
          <w:sz w:val="20"/>
        </w:rPr>
        <w:t xml:space="preserve">” means a schedule to the Parent Articles of Amendment in the form attached hereto as Exhibit E.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any of its Subsidiaries.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audited balance sheet of Parent as of December 31, 2025, included in Parent’s Report on Form 10-K for the year ended December 31, 2025,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Closing Price</w:t>
      </w:r>
      <w:r>
        <w:rPr>
          <w:rFonts w:ascii="Times New Roman" w:hAnsi="Times New Roman"/>
          <w:sz w:val="20"/>
        </w:rPr>
        <w:t xml:space="preserve">” means the volume weighted average closing trading price of a share of Parent Common Stock on Nasdaq for the five (5) consecutive trading days ending three (3) trading days immediately prior to the Calculation Date as reported by Bloomberg L.P.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no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240" w:after="0"/>
        <w:jc w:val="left"/>
        <w:rPr/>
      </w:pPr>
      <w:r>
        <w:rPr/>
        <w:t>“</w:t>
      </w:r>
      <w:r>
        <w:rPr>
          <w:rFonts w:ascii="Times New Roman" w:hAnsi="Times New Roman"/>
          <w:b/>
          <w:sz w:val="20"/>
        </w:rPr>
        <w:t>Parent Convertible Preferred Stock</w:t>
      </w:r>
      <w:r>
        <w:rPr>
          <w:rFonts w:ascii="Times New Roman" w:hAnsi="Times New Roman"/>
          <w:sz w:val="20"/>
        </w:rPr>
        <w:t xml:space="preserve">” means the series of Parent’s non-voting convertible preferred stock, no par value per share, with the rights, preferences, powers and privileges specified in the Parent Articles of Amendment Schedule. </w:t>
      </w:r>
    </w:p>
    <w:p>
      <w:pPr>
        <w:pStyle w:val="TextBody"/>
        <w:bidi w:val="0"/>
        <w:spacing w:before="24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sz w:val="20"/>
          <w:u w:val="single"/>
        </w:rPr>
        <w:t>4.5(a)(i)</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Parent; and (ii) any employee of Parent that reports directly to the Parent Board or to an executive officer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hAnsi="Times New Roman"/>
          <w:i/>
          <w:sz w:val="20"/>
          <w:u w:val="single"/>
        </w:rPr>
        <w:t>plus</w:t>
      </w:r>
      <w:r>
        <w:rPr>
          <w:rFonts w:ascii="Times New Roman" w:hAnsi="Times New Roman"/>
          <w:sz w:val="20"/>
        </w:rPr>
        <w:t xml:space="preserve"> (b) the prepaid expenses set forth on </w:t>
      </w:r>
      <w:r>
        <w:rPr>
          <w:rFonts w:ascii="Times New Roman" w:hAnsi="Times New Roman"/>
          <w:sz w:val="20"/>
          <w:u w:val="single"/>
        </w:rPr>
        <w:t>Section 1.1(b)</w:t>
      </w:r>
      <w:r>
        <w:rPr>
          <w:rFonts w:ascii="Times New Roman" w:hAnsi="Times New Roman"/>
          <w:sz w:val="20"/>
        </w:rPr>
        <w:t xml:space="preserve"> of the Parent Disclosure Letter, if any, </w:t>
      </w:r>
      <w:r>
        <w:rPr>
          <w:rFonts w:ascii="Times New Roman" w:hAnsi="Times New Roman"/>
          <w:i/>
          <w:sz w:val="20"/>
          <w:u w:val="single"/>
        </w:rPr>
        <w:t>minus</w:t>
      </w:r>
      <w:r>
        <w:rPr>
          <w:rFonts w:ascii="Times New Roman" w:hAnsi="Times New Roman"/>
          <w:sz w:val="20"/>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i/>
          <w:sz w:val="20"/>
          <w:u w:val="single"/>
        </w:rPr>
        <w:t>minus</w:t>
      </w:r>
      <w:r>
        <w:rPr>
          <w:rFonts w:ascii="Times New Roman" w:hAnsi="Times New Roman"/>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 to any director,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hAnsi="Times New Roman"/>
          <w:sz w:val="20"/>
          <w:u w:val="single"/>
        </w:rPr>
        <w:t>Section 6.7</w:t>
      </w:r>
      <w:r>
        <w:rPr>
          <w:rFonts w:ascii="Times New Roman" w:hAnsi="Times New Roman"/>
          <w:sz w:val="20"/>
        </w:rPr>
        <w:t xml:space="preserve">, and (ix) all costs and expenses associated with any dividend of any excess Parent Net Cash, in each case, to the extent unpaid as of the First Effective Time, </w:t>
      </w:r>
      <w:r>
        <w:rPr>
          <w:rFonts w:ascii="Times New Roman" w:hAnsi="Times New Roman"/>
          <w:i/>
          <w:sz w:val="20"/>
          <w:u w:val="single"/>
        </w:rPr>
        <w:t>minus</w:t>
      </w:r>
      <w:r>
        <w:rPr>
          <w:rFonts w:ascii="Times New Roman" w:hAnsi="Times New Roman"/>
          <w:sz w:val="20"/>
        </w:rPr>
        <w:t xml:space="preserve"> (e) all remaining rent payments and fees and expenses associated with terminating the Parent Real Estate Leases, </w:t>
      </w:r>
      <w:r>
        <w:rPr>
          <w:rFonts w:ascii="Times New Roman" w:hAnsi="Times New Roman"/>
          <w:i/>
          <w:sz w:val="20"/>
          <w:u w:val="single"/>
        </w:rPr>
        <w:t>minus</w:t>
      </w:r>
      <w:r>
        <w:rPr>
          <w:rFonts w:ascii="Times New Roman" w:hAnsi="Times New Roman"/>
          <w:sz w:val="20"/>
        </w:rPr>
        <w:t xml:space="preserve"> (f) the Accrued Pre-Closing Tax Amount, </w:t>
      </w:r>
      <w:r>
        <w:rPr>
          <w:rFonts w:ascii="Times New Roman" w:hAnsi="Times New Roman"/>
          <w:i/>
          <w:sz w:val="20"/>
          <w:u w:val="single"/>
        </w:rPr>
        <w:t>minus</w:t>
      </w:r>
      <w:r>
        <w:rPr>
          <w:rFonts w:ascii="Times New Roman" w:hAnsi="Times New Roman"/>
          <w:sz w:val="20"/>
        </w:rPr>
        <w:t xml:space="preserve"> (g) 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hAnsi="Times New Roman"/>
          <w:i/>
          <w:sz w:val="20"/>
          <w:u w:val="single"/>
        </w:rPr>
        <w:t>minus</w:t>
      </w:r>
      <w:r>
        <w:rPr>
          <w:rFonts w:ascii="Times New Roman" w:hAnsi="Times New Roman"/>
          <w:sz w:val="20"/>
        </w:rPr>
        <w:t xml:space="preserve"> (h) the Parent Stock Option Cash Consideration, minus (i) to the extent not declared and paid prior to delivery of the Parent Net Cash Schedule, the Parent Pre-Closing Dividend Amount (if any). For avoidance of doubt, the calculation of Parent Net Cash may result in a number below $0.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including those granted by Parent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shares of Parent Capital Stock designated as preferred stock, no par value per share, including the Parent Convertible Preferred Stock. </w:t>
      </w:r>
    </w:p>
    <w:p>
      <w:pPr>
        <w:pStyle w:val="TextBody"/>
        <w:bidi w:val="0"/>
        <w:spacing w:before="24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Restricted Stock Award</w:t>
      </w:r>
      <w:r>
        <w:rPr>
          <w:rFonts w:ascii="Times New Roman" w:hAnsi="Times New Roman"/>
          <w:sz w:val="20"/>
        </w:rPr>
        <w:t xml:space="preserve">” means an award of restricted shares of Parent Common Stock.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prior to the approval of this Agreement and the Contemplated Transactions by Parent’s shareholders and subject to </w:t>
      </w:r>
      <w:r>
        <w:rPr>
          <w:rFonts w:ascii="Times New Roman" w:hAnsi="Times New Roman"/>
          <w:sz w:val="20"/>
          <w:u w:val="single"/>
        </w:rPr>
        <w:t>Section 6.3(c)</w:t>
      </w:r>
      <w:r>
        <w:rPr>
          <w:rFonts w:ascii="Times New Roman" w:hAnsi="Times New Roman"/>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 w:hAnsi="Times New Roman"/>
          <w:sz w:val="20"/>
          <w:u w:val="single"/>
        </w:rPr>
        <w:t>Section 6.3(e)</w:t>
      </w:r>
      <w:r>
        <w:rPr>
          <w:rFonts w:ascii="Times New Roman" w:hAnsi="Times New Roman"/>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or supplies for amounts that are not yet due and payable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 Person, such Person’s directors, officers, employees, agents, attorneys, accountants, investment bankers, advisors and other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Transactions, (c) is not subject to any financing conditions (and if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81"/>
        <w:gridCol w:w="187"/>
        <w:gridCol w:w="4320"/>
      </w:tblGrid>
      <w:tr>
        <w:trPr/>
        <w:tc>
          <w:tcPr>
            <w:tcW w:w="4881"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r>
      <w:tr>
        <w:trPr/>
        <w:tc>
          <w:tcPr>
            <w:tcW w:w="48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87" w:type="dxa"/>
            <w:tcBorders/>
            <w:vAlign w:val="bottom"/>
          </w:tcPr>
          <w:p>
            <w:pPr>
              <w:pStyle w:val="TableContents"/>
              <w:bidi w:val="0"/>
              <w:spacing w:before="0" w:after="283"/>
              <w:jc w:val="left"/>
              <w:rPr/>
            </w:pPr>
            <w:r>
              <w:rPr/>
              <w:t>  </w:t>
            </w:r>
          </w:p>
        </w:tc>
        <w:tc>
          <w:tcPr>
            <w:tcW w:w="43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881" w:type="dxa"/>
            <w:tcBorders/>
          </w:tcPr>
          <w:p>
            <w:pPr>
              <w:pStyle w:val="TableContents"/>
              <w:bidi w:val="0"/>
              <w:spacing w:before="0" w:after="283"/>
              <w:jc w:val="left"/>
              <w:rPr/>
            </w:pPr>
            <w:r>
              <w:rPr/>
              <w:t>AAA</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2.8(f)</w:t>
            </w:r>
          </w:p>
        </w:tc>
      </w:tr>
      <w:tr>
        <w:trPr/>
        <w:tc>
          <w:tcPr>
            <w:tcW w:w="4881" w:type="dxa"/>
            <w:tcBorders/>
          </w:tcPr>
          <w:p>
            <w:pPr>
              <w:pStyle w:val="TableContents"/>
              <w:bidi w:val="0"/>
              <w:spacing w:before="0" w:after="283"/>
              <w:jc w:val="left"/>
              <w:rPr/>
            </w:pPr>
            <w:r>
              <w:rPr/>
              <w:t>Accounting Firm</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2.8(f)</w:t>
            </w:r>
          </w:p>
        </w:tc>
      </w:tr>
      <w:tr>
        <w:trPr/>
        <w:tc>
          <w:tcPr>
            <w:tcW w:w="4881" w:type="dxa"/>
            <w:tcBorders/>
          </w:tcPr>
          <w:p>
            <w:pPr>
              <w:pStyle w:val="TableContents"/>
              <w:bidi w:val="0"/>
              <w:spacing w:before="0" w:after="283"/>
              <w:jc w:val="left"/>
              <w:rPr/>
            </w:pPr>
            <w:r>
              <w:rPr/>
              <w:t>Agreement</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Preamble</w:t>
            </w:r>
          </w:p>
        </w:tc>
      </w:tr>
      <w:tr>
        <w:trPr/>
        <w:tc>
          <w:tcPr>
            <w:tcW w:w="4881" w:type="dxa"/>
            <w:tcBorders/>
          </w:tcPr>
          <w:p>
            <w:pPr>
              <w:pStyle w:val="TableContents"/>
              <w:bidi w:val="0"/>
              <w:spacing w:before="0" w:after="283"/>
              <w:jc w:val="left"/>
              <w:rPr/>
            </w:pPr>
            <w:r>
              <w:rPr/>
              <w:t>Allocation Certificate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6.15</w:t>
            </w:r>
          </w:p>
        </w:tc>
      </w:tr>
      <w:tr>
        <w:trPr/>
        <w:tc>
          <w:tcPr>
            <w:tcW w:w="4881" w:type="dxa"/>
            <w:tcBorders/>
          </w:tcPr>
          <w:p>
            <w:pPr>
              <w:pStyle w:val="TableContents"/>
              <w:bidi w:val="0"/>
              <w:spacing w:before="0" w:after="283"/>
              <w:jc w:val="left"/>
              <w:rPr/>
            </w:pPr>
            <w:r>
              <w:rPr/>
              <w:t>Antitrust Fees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6.4(b)</w:t>
            </w:r>
          </w:p>
        </w:tc>
      </w:tr>
      <w:tr>
        <w:trPr/>
        <w:tc>
          <w:tcPr>
            <w:tcW w:w="4881" w:type="dxa"/>
            <w:tcBorders/>
          </w:tcPr>
          <w:p>
            <w:pPr>
              <w:pStyle w:val="TableContents"/>
              <w:bidi w:val="0"/>
              <w:spacing w:before="0" w:after="283"/>
              <w:jc w:val="left"/>
              <w:rPr/>
            </w:pPr>
            <w:r>
              <w:rPr/>
              <w:t>Assumed Option</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6.5(a)</w:t>
            </w:r>
          </w:p>
        </w:tc>
      </w:tr>
      <w:tr>
        <w:trPr/>
        <w:tc>
          <w:tcPr>
            <w:tcW w:w="4881" w:type="dxa"/>
            <w:tcBorders/>
          </w:tcPr>
          <w:p>
            <w:pPr>
              <w:pStyle w:val="TableContents"/>
              <w:bidi w:val="0"/>
              <w:spacing w:before="0" w:after="283"/>
              <w:jc w:val="left"/>
              <w:rPr/>
            </w:pPr>
            <w:r>
              <w:rPr/>
              <w:t>Assumed RSU Award</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6.5(b)</w:t>
            </w:r>
          </w:p>
        </w:tc>
      </w:tr>
      <w:tr>
        <w:trPr/>
        <w:tc>
          <w:tcPr>
            <w:tcW w:w="4881" w:type="dxa"/>
            <w:tcBorders/>
          </w:tcPr>
          <w:p>
            <w:pPr>
              <w:pStyle w:val="TableContents"/>
              <w:bidi w:val="0"/>
              <w:spacing w:before="0" w:after="283"/>
              <w:jc w:val="left"/>
              <w:rPr/>
            </w:pPr>
            <w:r>
              <w:rPr/>
              <w:t>Assumed Warrant</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6.5(c)</w:t>
            </w:r>
          </w:p>
        </w:tc>
      </w:tr>
      <w:tr>
        <w:trPr/>
        <w:tc>
          <w:tcPr>
            <w:tcW w:w="4881" w:type="dxa"/>
            <w:tcBorders/>
          </w:tcPr>
          <w:p>
            <w:pPr>
              <w:pStyle w:val="TableContents"/>
              <w:bidi w:val="0"/>
              <w:spacing w:before="0" w:after="283"/>
              <w:jc w:val="left"/>
              <w:rPr/>
            </w:pPr>
            <w:r>
              <w:rPr/>
              <w:t>Balance Sheet Date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3.7(a)</w:t>
            </w:r>
          </w:p>
        </w:tc>
      </w:tr>
      <w:tr>
        <w:trPr/>
        <w:tc>
          <w:tcPr>
            <w:tcW w:w="4881" w:type="dxa"/>
            <w:tcBorders/>
          </w:tcPr>
          <w:p>
            <w:pPr>
              <w:pStyle w:val="TableContents"/>
              <w:bidi w:val="0"/>
              <w:spacing w:before="0" w:after="283"/>
              <w:jc w:val="left"/>
              <w:rPr/>
            </w:pPr>
            <w:r>
              <w:rPr/>
              <w:t>Beneficial Ownership Limitation</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2.5(h)</w:t>
            </w:r>
          </w:p>
        </w:tc>
      </w:tr>
      <w:tr>
        <w:trPr/>
        <w:tc>
          <w:tcPr>
            <w:tcW w:w="4881" w:type="dxa"/>
            <w:tcBorders/>
          </w:tcPr>
          <w:p>
            <w:pPr>
              <w:pStyle w:val="TableContents"/>
              <w:bidi w:val="0"/>
              <w:spacing w:before="0" w:after="283"/>
              <w:jc w:val="left"/>
              <w:rPr/>
            </w:pPr>
            <w:r>
              <w:rPr/>
              <w:t>Calculation Date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2.8(a)</w:t>
            </w:r>
          </w:p>
        </w:tc>
      </w:tr>
      <w:tr>
        <w:trPr/>
        <w:tc>
          <w:tcPr>
            <w:tcW w:w="4881" w:type="dxa"/>
            <w:tcBorders/>
          </w:tcPr>
          <w:p>
            <w:pPr>
              <w:pStyle w:val="TableContents"/>
              <w:bidi w:val="0"/>
              <w:spacing w:before="0" w:after="283"/>
              <w:jc w:val="left"/>
              <w:rPr/>
            </w:pPr>
            <w:r>
              <w:rPr/>
              <w:t>Capitalization Date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4.6(a)</w:t>
            </w:r>
          </w:p>
        </w:tc>
      </w:tr>
      <w:tr>
        <w:trPr/>
        <w:tc>
          <w:tcPr>
            <w:tcW w:w="4881" w:type="dxa"/>
            <w:tcBorders/>
          </w:tcPr>
          <w:p>
            <w:pPr>
              <w:pStyle w:val="TableContents"/>
              <w:bidi w:val="0"/>
              <w:spacing w:before="0" w:after="283"/>
              <w:jc w:val="left"/>
              <w:rPr/>
            </w:pPr>
            <w:r>
              <w:rPr/>
              <w:t>Certificate of Merger</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2.3</w:t>
            </w:r>
          </w:p>
        </w:tc>
      </w:tr>
      <w:tr>
        <w:trPr/>
        <w:tc>
          <w:tcPr>
            <w:tcW w:w="4881" w:type="dxa"/>
            <w:tcBorders/>
          </w:tcPr>
          <w:p>
            <w:pPr>
              <w:pStyle w:val="TableContents"/>
              <w:bidi w:val="0"/>
              <w:spacing w:before="0" w:after="283"/>
              <w:jc w:val="left"/>
              <w:rPr/>
            </w:pPr>
            <w:r>
              <w:rPr/>
              <w:t>Certifications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4.7(a)</w:t>
            </w:r>
          </w:p>
        </w:tc>
      </w:tr>
      <w:tr>
        <w:trPr/>
        <w:tc>
          <w:tcPr>
            <w:tcW w:w="4881" w:type="dxa"/>
            <w:tcBorders/>
          </w:tcPr>
          <w:p>
            <w:pPr>
              <w:pStyle w:val="TableContents"/>
              <w:bidi w:val="0"/>
              <w:spacing w:before="0" w:after="283"/>
              <w:jc w:val="left"/>
              <w:rPr/>
            </w:pPr>
            <w:r>
              <w:rPr/>
              <w:t>Closing Date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2.3</w:t>
            </w:r>
          </w:p>
        </w:tc>
      </w:tr>
      <w:tr>
        <w:trPr/>
        <w:tc>
          <w:tcPr>
            <w:tcW w:w="4881" w:type="dxa"/>
            <w:tcBorders/>
          </w:tcPr>
          <w:p>
            <w:pPr>
              <w:pStyle w:val="TableContents"/>
              <w:bidi w:val="0"/>
              <w:spacing w:before="0" w:after="283"/>
              <w:jc w:val="left"/>
              <w:rPr/>
            </w:pPr>
            <w:r>
              <w:rPr/>
              <w:t>Closing</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2.3</w:t>
            </w:r>
          </w:p>
        </w:tc>
      </w:tr>
      <w:tr>
        <w:trPr/>
        <w:tc>
          <w:tcPr>
            <w:tcW w:w="4881" w:type="dxa"/>
            <w:tcBorders/>
          </w:tcPr>
          <w:p>
            <w:pPr>
              <w:pStyle w:val="TableContents"/>
              <w:bidi w:val="0"/>
              <w:spacing w:before="0" w:after="283"/>
              <w:jc w:val="left"/>
              <w:rPr/>
            </w:pPr>
            <w:r>
              <w:rPr/>
              <w:t>Company 409A Plan</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3.17(j)</w:t>
            </w:r>
          </w:p>
        </w:tc>
      </w:tr>
      <w:tr>
        <w:trPr/>
        <w:tc>
          <w:tcPr>
            <w:tcW w:w="4881" w:type="dxa"/>
            <w:tcBorders/>
          </w:tcPr>
          <w:p>
            <w:pPr>
              <w:pStyle w:val="TableContents"/>
              <w:bidi w:val="0"/>
              <w:spacing w:before="0" w:after="283"/>
              <w:jc w:val="left"/>
              <w:rPr/>
            </w:pPr>
            <w:r>
              <w:rPr/>
              <w:t>Company Board Adverse Recommendation Change</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6.2(d)</w:t>
            </w:r>
          </w:p>
        </w:tc>
      </w:tr>
      <w:tr>
        <w:trPr/>
        <w:tc>
          <w:tcPr>
            <w:tcW w:w="4881" w:type="dxa"/>
            <w:tcBorders/>
          </w:tcPr>
          <w:p>
            <w:pPr>
              <w:pStyle w:val="TableContents"/>
              <w:bidi w:val="0"/>
              <w:spacing w:before="0" w:after="283"/>
              <w:jc w:val="left"/>
              <w:rPr/>
            </w:pPr>
            <w:r>
              <w:rPr/>
              <w:t>Company Board Recommendation</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6.2(c)</w:t>
            </w:r>
          </w:p>
        </w:tc>
      </w:tr>
      <w:tr>
        <w:trPr/>
        <w:tc>
          <w:tcPr>
            <w:tcW w:w="4881" w:type="dxa"/>
            <w:tcBorders/>
          </w:tcPr>
          <w:p>
            <w:pPr>
              <w:pStyle w:val="TableContents"/>
              <w:bidi w:val="0"/>
              <w:spacing w:before="0" w:after="283"/>
              <w:jc w:val="left"/>
              <w:rPr/>
            </w:pPr>
            <w:r>
              <w:rPr/>
              <w:t>Company Disclosure Letter</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Section 3</w:t>
            </w:r>
          </w:p>
        </w:tc>
      </w:tr>
      <w:tr>
        <w:trPr/>
        <w:tc>
          <w:tcPr>
            <w:tcW w:w="4881" w:type="dxa"/>
            <w:tcBorders/>
          </w:tcPr>
          <w:p>
            <w:pPr>
              <w:pStyle w:val="TableContents"/>
              <w:bidi w:val="0"/>
              <w:spacing w:before="0" w:after="283"/>
              <w:jc w:val="left"/>
              <w:rPr/>
            </w:pPr>
            <w:r>
              <w:rPr/>
              <w:t>Company Financial Statements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3.7(a)</w:t>
            </w:r>
          </w:p>
        </w:tc>
      </w:tr>
      <w:tr>
        <w:trPr/>
        <w:tc>
          <w:tcPr>
            <w:tcW w:w="4881" w:type="dxa"/>
            <w:tcBorders/>
          </w:tcPr>
          <w:p>
            <w:pPr>
              <w:pStyle w:val="TableContents"/>
              <w:bidi w:val="0"/>
              <w:spacing w:before="0" w:after="283"/>
              <w:jc w:val="left"/>
              <w:rPr/>
            </w:pPr>
            <w:r>
              <w:rPr/>
              <w:t>Company Intervening Event</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6.2(d)</w:t>
            </w:r>
          </w:p>
        </w:tc>
      </w:tr>
      <w:tr>
        <w:trPr/>
        <w:tc>
          <w:tcPr>
            <w:tcW w:w="4881" w:type="dxa"/>
            <w:tcBorders/>
          </w:tcPr>
          <w:p>
            <w:pPr>
              <w:pStyle w:val="TableContents"/>
              <w:bidi w:val="0"/>
              <w:spacing w:before="0" w:after="283"/>
              <w:jc w:val="left"/>
              <w:rPr/>
            </w:pPr>
            <w:r>
              <w:rPr/>
              <w:t>Company Material Contract</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3.13(a)</w:t>
            </w:r>
          </w:p>
        </w:tc>
      </w:tr>
      <w:tr>
        <w:trPr/>
        <w:tc>
          <w:tcPr>
            <w:tcW w:w="4881" w:type="dxa"/>
            <w:tcBorders/>
          </w:tcPr>
          <w:p>
            <w:pPr>
              <w:pStyle w:val="TableContents"/>
              <w:bidi w:val="0"/>
              <w:spacing w:before="0" w:after="283"/>
              <w:jc w:val="left"/>
              <w:rPr/>
            </w:pPr>
            <w:r>
              <w:rPr/>
              <w:t>Company Material Contracts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3.13(a)</w:t>
            </w:r>
          </w:p>
        </w:tc>
      </w:tr>
      <w:tr>
        <w:trPr/>
        <w:tc>
          <w:tcPr>
            <w:tcW w:w="4881" w:type="dxa"/>
            <w:tcBorders/>
          </w:tcPr>
          <w:p>
            <w:pPr>
              <w:pStyle w:val="TableContents"/>
              <w:bidi w:val="0"/>
              <w:spacing w:before="0" w:after="283"/>
              <w:jc w:val="left"/>
              <w:rPr/>
            </w:pPr>
            <w:r>
              <w:rPr/>
              <w:t>Company Permits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3.14(b)</w:t>
            </w:r>
          </w:p>
        </w:tc>
      </w:tr>
      <w:tr>
        <w:trPr/>
        <w:tc>
          <w:tcPr>
            <w:tcW w:w="4881" w:type="dxa"/>
            <w:tcBorders/>
          </w:tcPr>
          <w:p>
            <w:pPr>
              <w:pStyle w:val="TableContents"/>
              <w:bidi w:val="0"/>
              <w:spacing w:before="0" w:after="283"/>
              <w:jc w:val="left"/>
              <w:rPr/>
            </w:pPr>
            <w:r>
              <w:rPr/>
              <w:t>Company Product Candidates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3.14(d)</w:t>
            </w:r>
          </w:p>
        </w:tc>
      </w:tr>
      <w:tr>
        <w:trPr/>
        <w:tc>
          <w:tcPr>
            <w:tcW w:w="4881" w:type="dxa"/>
            <w:tcBorders/>
          </w:tcPr>
          <w:p>
            <w:pPr>
              <w:pStyle w:val="TableContents"/>
              <w:bidi w:val="0"/>
              <w:spacing w:before="0" w:after="283"/>
              <w:jc w:val="left"/>
              <w:rPr/>
            </w:pPr>
            <w:r>
              <w:rPr/>
              <w:t>Company Real Estate Leases</w:t>
            </w:r>
          </w:p>
        </w:tc>
        <w:tc>
          <w:tcPr>
            <w:tcW w:w="187" w:type="dxa"/>
            <w:tcBorders/>
            <w:vAlign w:val="bottom"/>
          </w:tcPr>
          <w:p>
            <w:pPr>
              <w:pStyle w:val="TableContents"/>
              <w:bidi w:val="0"/>
              <w:spacing w:before="0" w:after="283"/>
              <w:jc w:val="left"/>
              <w:rPr/>
            </w:pPr>
            <w:r>
              <w:rPr/>
              <w:t>  </w:t>
            </w:r>
          </w:p>
        </w:tc>
        <w:tc>
          <w:tcPr>
            <w:tcW w:w="4320" w:type="dxa"/>
            <w:tcBorders/>
          </w:tcPr>
          <w:p>
            <w:pPr>
              <w:pStyle w:val="TableContents"/>
              <w:bidi w:val="0"/>
              <w:spacing w:before="0" w:after="283"/>
              <w:jc w:val="left"/>
              <w:rPr/>
            </w:pPr>
            <w:r>
              <w:rPr/>
              <w:t>3.11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4882"/>
        <w:gridCol w:w="187"/>
        <w:gridCol w:w="4319"/>
      </w:tblGrid>
      <w:tr>
        <w:trPr/>
        <w:tc>
          <w:tcPr>
            <w:tcW w:w="48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87" w:type="dxa"/>
            <w:tcBorders/>
            <w:vAlign w:val="bottom"/>
          </w:tcPr>
          <w:p>
            <w:pPr>
              <w:pStyle w:val="TableContents"/>
              <w:bidi w:val="0"/>
              <w:spacing w:before="0" w:after="283"/>
              <w:jc w:val="left"/>
              <w:rPr/>
            </w:pPr>
            <w:r>
              <w:rPr/>
              <w:t>  </w:t>
            </w:r>
          </w:p>
        </w:tc>
        <w:tc>
          <w:tcPr>
            <w:tcW w:w="43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882" w:type="dxa"/>
            <w:tcBorders/>
          </w:tcPr>
          <w:p>
            <w:pPr>
              <w:pStyle w:val="TableContents"/>
              <w:bidi w:val="0"/>
              <w:spacing w:before="0" w:after="283"/>
              <w:jc w:val="left"/>
              <w:rPr/>
            </w:pPr>
            <w:r>
              <w:rPr/>
              <w:t>Company Regulatory Permits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3.14(d)</w:t>
            </w:r>
          </w:p>
        </w:tc>
      </w:tr>
      <w:tr>
        <w:trPr/>
        <w:tc>
          <w:tcPr>
            <w:tcW w:w="4882" w:type="dxa"/>
            <w:tcBorders/>
          </w:tcPr>
          <w:p>
            <w:pPr>
              <w:pStyle w:val="TableContents"/>
              <w:bidi w:val="0"/>
              <w:spacing w:before="0" w:after="283"/>
              <w:jc w:val="left"/>
              <w:rPr/>
            </w:pPr>
            <w:r>
              <w:rPr/>
              <w:t>Company Required S-4 Information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6.1(d)</w:t>
            </w:r>
          </w:p>
        </w:tc>
      </w:tr>
      <w:tr>
        <w:trPr/>
        <w:tc>
          <w:tcPr>
            <w:tcW w:w="4882" w:type="dxa"/>
            <w:tcBorders/>
          </w:tcPr>
          <w:p>
            <w:pPr>
              <w:pStyle w:val="TableContents"/>
              <w:bidi w:val="0"/>
              <w:spacing w:before="0" w:after="283"/>
              <w:jc w:val="left"/>
              <w:rPr/>
            </w:pPr>
            <w:r>
              <w:rPr/>
              <w:t>Company Stockholder Consent Review Period</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6.2(b)</w:t>
            </w:r>
          </w:p>
        </w:tc>
      </w:tr>
      <w:tr>
        <w:trPr/>
        <w:tc>
          <w:tcPr>
            <w:tcW w:w="4882" w:type="dxa"/>
            <w:tcBorders/>
          </w:tcPr>
          <w:p>
            <w:pPr>
              <w:pStyle w:val="TableContents"/>
              <w:bidi w:val="0"/>
              <w:spacing w:before="0" w:after="283"/>
              <w:jc w:val="left"/>
              <w:rPr/>
            </w:pPr>
            <w:r>
              <w:rPr/>
              <w:t>Company Stockholder Support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Company Stockholder Written Consents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6.2(a)</w:t>
            </w:r>
          </w:p>
        </w:tc>
      </w:tr>
      <w:tr>
        <w:trPr/>
        <w:tc>
          <w:tcPr>
            <w:tcW w:w="4882" w:type="dxa"/>
            <w:tcBorders/>
          </w:tcPr>
          <w:p>
            <w:pPr>
              <w:pStyle w:val="TableContents"/>
              <w:bidi w:val="0"/>
              <w:spacing w:before="0" w:after="283"/>
              <w:jc w:val="left"/>
              <w:rPr/>
            </w:pPr>
            <w:r>
              <w:rPr/>
              <w:t>Company Termination Fee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10.3(b)</w:t>
            </w:r>
          </w:p>
        </w:tc>
      </w:tr>
      <w:tr>
        <w:trPr/>
        <w:tc>
          <w:tcPr>
            <w:tcW w:w="4882" w:type="dxa"/>
            <w:tcBorders/>
          </w:tcPr>
          <w:p>
            <w:pPr>
              <w:pStyle w:val="TableContents"/>
              <w:bidi w:val="0"/>
              <w:spacing w:before="0" w:after="283"/>
              <w:jc w:val="left"/>
              <w:rPr/>
            </w:pPr>
            <w:r>
              <w:rPr/>
              <w:t>Company Valuation Calculation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2.8(b)</w:t>
            </w:r>
          </w:p>
        </w:tc>
      </w:tr>
      <w:tr>
        <w:trPr/>
        <w:tc>
          <w:tcPr>
            <w:tcW w:w="4882" w:type="dxa"/>
            <w:tcBorders/>
          </w:tcPr>
          <w:p>
            <w:pPr>
              <w:pStyle w:val="TableContents"/>
              <w:bidi w:val="0"/>
              <w:spacing w:before="0" w:after="283"/>
              <w:jc w:val="left"/>
              <w:rPr/>
            </w:pPr>
            <w:r>
              <w:rPr/>
              <w:t>Company Valuation Delivery Date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2.8(b)</w:t>
            </w:r>
          </w:p>
        </w:tc>
      </w:tr>
      <w:tr>
        <w:trPr/>
        <w:tc>
          <w:tcPr>
            <w:tcW w:w="4882" w:type="dxa"/>
            <w:tcBorders/>
          </w:tcPr>
          <w:p>
            <w:pPr>
              <w:pStyle w:val="TableContents"/>
              <w:bidi w:val="0"/>
              <w:spacing w:before="0" w:after="283"/>
              <w:jc w:val="left"/>
              <w:rPr/>
            </w:pPr>
            <w:r>
              <w:rPr/>
              <w:t>Company Valuation Determination Time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2.8(b)</w:t>
            </w:r>
          </w:p>
        </w:tc>
      </w:tr>
      <w:tr>
        <w:trPr/>
        <w:tc>
          <w:tcPr>
            <w:tcW w:w="4882" w:type="dxa"/>
            <w:tcBorders/>
          </w:tcPr>
          <w:p>
            <w:pPr>
              <w:pStyle w:val="TableContents"/>
              <w:bidi w:val="0"/>
              <w:spacing w:before="0" w:after="283"/>
              <w:jc w:val="left"/>
              <w:rPr/>
            </w:pPr>
            <w:r>
              <w:rPr/>
              <w:t>Company Valuation Dispute Notice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2.8(c)</w:t>
            </w:r>
          </w:p>
        </w:tc>
      </w:tr>
      <w:tr>
        <w:trPr/>
        <w:tc>
          <w:tcPr>
            <w:tcW w:w="4882" w:type="dxa"/>
            <w:tcBorders/>
          </w:tcPr>
          <w:p>
            <w:pPr>
              <w:pStyle w:val="TableContents"/>
              <w:bidi w:val="0"/>
              <w:spacing w:before="0" w:after="283"/>
              <w:jc w:val="left"/>
              <w:rPr/>
            </w:pPr>
            <w:r>
              <w:rPr/>
              <w:t>Company Valuation Response Date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2.8(c)</w:t>
            </w:r>
          </w:p>
        </w:tc>
      </w:tr>
      <w:tr>
        <w:trPr/>
        <w:tc>
          <w:tcPr>
            <w:tcW w:w="4882" w:type="dxa"/>
            <w:tcBorders/>
          </w:tcPr>
          <w:p>
            <w:pPr>
              <w:pStyle w:val="TableContents"/>
              <w:bidi w:val="0"/>
              <w:spacing w:before="0" w:after="283"/>
              <w:jc w:val="left"/>
              <w:rPr/>
            </w:pPr>
            <w:r>
              <w:rPr/>
              <w:t>Company Valuation Schedule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2.8(b)</w:t>
            </w:r>
          </w:p>
        </w:tc>
      </w:tr>
      <w:tr>
        <w:trPr/>
        <w:tc>
          <w:tcPr>
            <w:tcW w:w="4882" w:type="dxa"/>
            <w:tcBorders/>
          </w:tcPr>
          <w:p>
            <w:pPr>
              <w:pStyle w:val="TableContents"/>
              <w:bidi w:val="0"/>
              <w:spacing w:before="0" w:after="283"/>
              <w:jc w:val="left"/>
              <w:rPr/>
            </w:pPr>
            <w:r>
              <w:rPr/>
              <w:t>Company</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Preamble</w:t>
            </w:r>
          </w:p>
        </w:tc>
      </w:tr>
      <w:tr>
        <w:trPr/>
        <w:tc>
          <w:tcPr>
            <w:tcW w:w="4882" w:type="dxa"/>
            <w:tcBorders/>
          </w:tcPr>
          <w:p>
            <w:pPr>
              <w:pStyle w:val="TableContents"/>
              <w:bidi w:val="0"/>
              <w:spacing w:before="0" w:after="283"/>
              <w:jc w:val="left"/>
              <w:rPr/>
            </w:pPr>
            <w:r>
              <w:rPr/>
              <w:t>Costs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6.7(a)</w:t>
            </w:r>
          </w:p>
        </w:tc>
      </w:tr>
      <w:tr>
        <w:trPr/>
        <w:tc>
          <w:tcPr>
            <w:tcW w:w="4882" w:type="dxa"/>
            <w:tcBorders/>
          </w:tcPr>
          <w:p>
            <w:pPr>
              <w:pStyle w:val="TableContents"/>
              <w:bidi w:val="0"/>
              <w:spacing w:before="0" w:after="283"/>
              <w:jc w:val="left"/>
              <w:rPr/>
            </w:pPr>
            <w:r>
              <w:rPr/>
              <w:t>CVR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2.9(a)</w:t>
            </w:r>
          </w:p>
        </w:tc>
      </w:tr>
      <w:tr>
        <w:trPr/>
        <w:tc>
          <w:tcPr>
            <w:tcW w:w="4882" w:type="dxa"/>
            <w:tcBorders/>
          </w:tcPr>
          <w:p>
            <w:pPr>
              <w:pStyle w:val="TableContents"/>
              <w:bidi w:val="0"/>
              <w:spacing w:before="0" w:after="283"/>
              <w:jc w:val="left"/>
              <w:rPr/>
            </w:pPr>
            <w:r>
              <w:rPr/>
              <w:t>CVR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2.9(a)</w:t>
            </w:r>
          </w:p>
        </w:tc>
      </w:tr>
      <w:tr>
        <w:trPr/>
        <w:tc>
          <w:tcPr>
            <w:tcW w:w="4882" w:type="dxa"/>
            <w:tcBorders/>
          </w:tcPr>
          <w:p>
            <w:pPr>
              <w:pStyle w:val="TableContents"/>
              <w:bidi w:val="0"/>
              <w:spacing w:before="0" w:after="283"/>
              <w:jc w:val="left"/>
              <w:rPr/>
            </w:pPr>
            <w:r>
              <w:rPr/>
              <w:t>CVR Fees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2.9(a)</w:t>
            </w:r>
          </w:p>
        </w:tc>
      </w:tr>
      <w:tr>
        <w:trPr/>
        <w:tc>
          <w:tcPr>
            <w:tcW w:w="4882" w:type="dxa"/>
            <w:tcBorders/>
          </w:tcPr>
          <w:p>
            <w:pPr>
              <w:pStyle w:val="TableContents"/>
              <w:bidi w:val="0"/>
              <w:spacing w:before="0" w:after="283"/>
              <w:jc w:val="left"/>
              <w:rPr/>
            </w:pPr>
            <w:r>
              <w:rPr/>
              <w:t>D&amp;O Indemnified Parties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6.7(a)</w:t>
            </w:r>
          </w:p>
        </w:tc>
      </w:tr>
      <w:tr>
        <w:trPr/>
        <w:tc>
          <w:tcPr>
            <w:tcW w:w="4882" w:type="dxa"/>
            <w:tcBorders/>
          </w:tcPr>
          <w:p>
            <w:pPr>
              <w:pStyle w:val="TableContents"/>
              <w:bidi w:val="0"/>
              <w:spacing w:before="0" w:after="283"/>
              <w:jc w:val="left"/>
              <w:rPr/>
            </w:pPr>
            <w:r>
              <w:rPr/>
              <w:t>Dispute Notice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2.8(c)</w:t>
            </w:r>
          </w:p>
        </w:tc>
      </w:tr>
      <w:tr>
        <w:trPr/>
        <w:tc>
          <w:tcPr>
            <w:tcW w:w="4882" w:type="dxa"/>
            <w:tcBorders/>
          </w:tcPr>
          <w:p>
            <w:pPr>
              <w:pStyle w:val="TableContents"/>
              <w:bidi w:val="0"/>
              <w:spacing w:before="0" w:after="283"/>
              <w:jc w:val="left"/>
              <w:rPr/>
            </w:pPr>
            <w:r>
              <w:rPr/>
              <w:t>Dissenting Shares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2.13(a)</w:t>
            </w:r>
          </w:p>
        </w:tc>
      </w:tr>
      <w:tr>
        <w:trPr/>
        <w:tc>
          <w:tcPr>
            <w:tcW w:w="4882" w:type="dxa"/>
            <w:tcBorders/>
          </w:tcPr>
          <w:p>
            <w:pPr>
              <w:pStyle w:val="TableContents"/>
              <w:bidi w:val="0"/>
              <w:spacing w:before="0" w:after="283"/>
              <w:jc w:val="left"/>
              <w:rPr/>
            </w:pPr>
            <w:r>
              <w:rPr/>
              <w:t>Drug/Device Regulatory Agency</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3.14(b)</w:t>
            </w:r>
          </w:p>
        </w:tc>
      </w:tr>
      <w:tr>
        <w:trPr/>
        <w:tc>
          <w:tcPr>
            <w:tcW w:w="4882" w:type="dxa"/>
            <w:tcBorders/>
          </w:tcPr>
          <w:p>
            <w:pPr>
              <w:pStyle w:val="TableContents"/>
              <w:bidi w:val="0"/>
              <w:spacing w:before="0" w:after="283"/>
              <w:jc w:val="left"/>
              <w:rPr/>
            </w:pPr>
            <w:r>
              <w:rPr/>
              <w:t>Employment-Related Laws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3.17(k)</w:t>
            </w:r>
          </w:p>
        </w:tc>
      </w:tr>
      <w:tr>
        <w:trPr/>
        <w:tc>
          <w:tcPr>
            <w:tcW w:w="4882" w:type="dxa"/>
            <w:tcBorders/>
          </w:tcPr>
          <w:p>
            <w:pPr>
              <w:pStyle w:val="TableContents"/>
              <w:bidi w:val="0"/>
              <w:spacing w:before="0" w:after="283"/>
              <w:jc w:val="left"/>
              <w:rPr/>
            </w:pPr>
            <w:r>
              <w:rPr/>
              <w:t>End Date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10.1(b)</w:t>
            </w:r>
          </w:p>
        </w:tc>
      </w:tr>
      <w:tr>
        <w:trPr/>
        <w:tc>
          <w:tcPr>
            <w:tcW w:w="4882" w:type="dxa"/>
            <w:tcBorders/>
          </w:tcPr>
          <w:p>
            <w:pPr>
              <w:pStyle w:val="TableContents"/>
              <w:bidi w:val="0"/>
              <w:spacing w:before="0" w:after="283"/>
              <w:jc w:val="left"/>
              <w:rPr/>
            </w:pPr>
            <w:r>
              <w:rPr/>
              <w:t>Exchange Agent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2.7(a)</w:t>
            </w:r>
          </w:p>
        </w:tc>
      </w:tr>
      <w:tr>
        <w:trPr/>
        <w:tc>
          <w:tcPr>
            <w:tcW w:w="4882" w:type="dxa"/>
            <w:tcBorders/>
          </w:tcPr>
          <w:p>
            <w:pPr>
              <w:pStyle w:val="TableContents"/>
              <w:bidi w:val="0"/>
              <w:spacing w:before="0" w:after="283"/>
              <w:jc w:val="left"/>
              <w:rPr/>
            </w:pPr>
            <w:r>
              <w:rPr/>
              <w:t>FDA</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3.14(b)</w:t>
            </w:r>
          </w:p>
        </w:tc>
      </w:tr>
      <w:tr>
        <w:trPr/>
        <w:tc>
          <w:tcPr>
            <w:tcW w:w="4882" w:type="dxa"/>
            <w:tcBorders/>
          </w:tcPr>
          <w:p>
            <w:pPr>
              <w:pStyle w:val="TableContents"/>
              <w:bidi w:val="0"/>
              <w:spacing w:before="0" w:after="283"/>
              <w:jc w:val="left"/>
              <w:rPr/>
            </w:pPr>
            <w:r>
              <w:rPr/>
              <w:t>FDCA</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3.14(c)</w:t>
            </w:r>
          </w:p>
        </w:tc>
      </w:tr>
      <w:tr>
        <w:trPr/>
        <w:tc>
          <w:tcPr>
            <w:tcW w:w="4882" w:type="dxa"/>
            <w:tcBorders/>
          </w:tcPr>
          <w:p>
            <w:pPr>
              <w:pStyle w:val="TableContents"/>
              <w:bidi w:val="0"/>
              <w:spacing w:before="0" w:after="283"/>
              <w:jc w:val="left"/>
              <w:rPr/>
            </w:pPr>
            <w:r>
              <w:rPr/>
              <w:t>First Certificate of Merger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2.3</w:t>
            </w:r>
          </w:p>
        </w:tc>
      </w:tr>
      <w:tr>
        <w:trPr/>
        <w:tc>
          <w:tcPr>
            <w:tcW w:w="4882" w:type="dxa"/>
            <w:tcBorders/>
          </w:tcPr>
          <w:p>
            <w:pPr>
              <w:pStyle w:val="TableContents"/>
              <w:bidi w:val="0"/>
              <w:spacing w:before="0" w:after="283"/>
              <w:jc w:val="left"/>
              <w:rPr/>
            </w:pPr>
            <w:r>
              <w:rPr/>
              <w:t>First Effective Time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2.3</w:t>
            </w:r>
          </w:p>
        </w:tc>
      </w:tr>
      <w:tr>
        <w:trPr/>
        <w:tc>
          <w:tcPr>
            <w:tcW w:w="4882" w:type="dxa"/>
            <w:tcBorders/>
          </w:tcPr>
          <w:p>
            <w:pPr>
              <w:pStyle w:val="TableContents"/>
              <w:bidi w:val="0"/>
              <w:spacing w:before="0" w:after="283"/>
              <w:jc w:val="left"/>
              <w:rPr/>
            </w:pPr>
            <w:r>
              <w:rPr/>
              <w:t>First Merger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First Step Surviving Corporation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2.1</w:t>
            </w:r>
          </w:p>
        </w:tc>
      </w:tr>
      <w:tr>
        <w:trPr/>
        <w:tc>
          <w:tcPr>
            <w:tcW w:w="4882" w:type="dxa"/>
            <w:tcBorders/>
          </w:tcPr>
          <w:p>
            <w:pPr>
              <w:pStyle w:val="TableContents"/>
              <w:bidi w:val="0"/>
              <w:spacing w:before="0" w:after="283"/>
              <w:jc w:val="left"/>
              <w:rPr/>
            </w:pPr>
            <w:r>
              <w:rPr/>
              <w:t>Form S-4</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6.1(a)</w:t>
            </w:r>
          </w:p>
        </w:tc>
      </w:tr>
      <w:tr>
        <w:trPr/>
        <w:tc>
          <w:tcPr>
            <w:tcW w:w="4882" w:type="dxa"/>
            <w:tcBorders/>
          </w:tcPr>
          <w:p>
            <w:pPr>
              <w:pStyle w:val="TableContents"/>
              <w:bidi w:val="0"/>
              <w:spacing w:before="0" w:after="283"/>
              <w:jc w:val="left"/>
              <w:rPr/>
            </w:pPr>
            <w:r>
              <w:rPr/>
              <w:t>Intended Tax Treatment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2.11</w:t>
            </w:r>
          </w:p>
        </w:tc>
      </w:tr>
      <w:tr>
        <w:trPr/>
        <w:tc>
          <w:tcPr>
            <w:tcW w:w="4882" w:type="dxa"/>
            <w:tcBorders/>
          </w:tcPr>
          <w:p>
            <w:pPr>
              <w:pStyle w:val="TableContents"/>
              <w:bidi w:val="0"/>
              <w:spacing w:before="0" w:after="283"/>
              <w:jc w:val="left"/>
              <w:rPr/>
            </w:pPr>
            <w:r>
              <w:rPr/>
              <w:t>Liability</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3.9</w:t>
            </w:r>
          </w:p>
        </w:tc>
      </w:tr>
      <w:tr>
        <w:trPr/>
        <w:tc>
          <w:tcPr>
            <w:tcW w:w="4882" w:type="dxa"/>
            <w:tcBorders/>
          </w:tcPr>
          <w:p>
            <w:pPr>
              <w:pStyle w:val="TableContents"/>
              <w:bidi w:val="0"/>
              <w:spacing w:before="0" w:after="283"/>
              <w:jc w:val="left"/>
              <w:rPr/>
            </w:pPr>
            <w:r>
              <w:rPr/>
              <w:t>Lock-Up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Lock-Up Agreements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Merger Consideration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2.5(a)(iii)</w:t>
            </w:r>
          </w:p>
        </w:tc>
      </w:tr>
      <w:tr>
        <w:trPr/>
        <w:tc>
          <w:tcPr>
            <w:tcW w:w="4882" w:type="dxa"/>
            <w:tcBorders/>
          </w:tcPr>
          <w:p>
            <w:pPr>
              <w:pStyle w:val="TableContents"/>
              <w:bidi w:val="0"/>
              <w:spacing w:before="0" w:after="283"/>
              <w:jc w:val="left"/>
              <w:rPr/>
            </w:pPr>
            <w:r>
              <w:rPr/>
              <w:t>Merger Subs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Preamble</w:t>
            </w:r>
          </w:p>
        </w:tc>
      </w:tr>
      <w:tr>
        <w:trPr/>
        <w:tc>
          <w:tcPr>
            <w:tcW w:w="4882" w:type="dxa"/>
            <w:tcBorders/>
          </w:tcPr>
          <w:p>
            <w:pPr>
              <w:pStyle w:val="TableContents"/>
              <w:bidi w:val="0"/>
              <w:spacing w:before="0" w:after="283"/>
              <w:jc w:val="left"/>
              <w:rPr/>
            </w:pPr>
            <w:r>
              <w:rPr/>
              <w:t>Merger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Nasdaq Fees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6.9</w:t>
            </w:r>
          </w:p>
        </w:tc>
      </w:tr>
      <w:tr>
        <w:trPr/>
        <w:tc>
          <w:tcPr>
            <w:tcW w:w="4882" w:type="dxa"/>
            <w:tcBorders/>
          </w:tcPr>
          <w:p>
            <w:pPr>
              <w:pStyle w:val="TableContents"/>
              <w:bidi w:val="0"/>
              <w:spacing w:before="0" w:after="283"/>
              <w:jc w:val="left"/>
              <w:rPr/>
            </w:pPr>
            <w:r>
              <w:rPr/>
              <w:t>Nasdaq Listing Application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6.9</w:t>
            </w:r>
          </w:p>
        </w:tc>
      </w:tr>
      <w:tr>
        <w:trPr/>
        <w:tc>
          <w:tcPr>
            <w:tcW w:w="4882" w:type="dxa"/>
            <w:tcBorders/>
          </w:tcPr>
          <w:p>
            <w:pPr>
              <w:pStyle w:val="TableContents"/>
              <w:bidi w:val="0"/>
              <w:spacing w:before="0" w:after="283"/>
              <w:jc w:val="left"/>
              <w:rPr/>
            </w:pPr>
            <w:r>
              <w:rPr/>
              <w:t>Notice Period</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6.2(d)</w:t>
            </w:r>
          </w:p>
        </w:tc>
      </w:tr>
      <w:tr>
        <w:trPr/>
        <w:tc>
          <w:tcPr>
            <w:tcW w:w="4882" w:type="dxa"/>
            <w:tcBorders/>
          </w:tcPr>
          <w:p>
            <w:pPr>
              <w:pStyle w:val="TableContents"/>
              <w:bidi w:val="0"/>
              <w:spacing w:before="0" w:after="283"/>
              <w:jc w:val="left"/>
              <w:rPr/>
            </w:pPr>
            <w:r>
              <w:rPr/>
              <w:t>Ordinary Course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3.16(g)</w:t>
            </w:r>
          </w:p>
        </w:tc>
      </w:tr>
      <w:tr>
        <w:trPr/>
        <w:tc>
          <w:tcPr>
            <w:tcW w:w="4882" w:type="dxa"/>
            <w:tcBorders/>
          </w:tcPr>
          <w:p>
            <w:pPr>
              <w:pStyle w:val="TableContents"/>
              <w:bidi w:val="0"/>
              <w:spacing w:before="0" w:after="283"/>
              <w:jc w:val="left"/>
              <w:rPr/>
            </w:pPr>
            <w:r>
              <w:rPr/>
              <w:t>Parent 409A Plan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4.17(j)</w:t>
            </w:r>
          </w:p>
        </w:tc>
      </w:tr>
      <w:tr>
        <w:trPr/>
        <w:tc>
          <w:tcPr>
            <w:tcW w:w="4882" w:type="dxa"/>
            <w:tcBorders/>
          </w:tcPr>
          <w:p>
            <w:pPr>
              <w:pStyle w:val="TableContents"/>
              <w:bidi w:val="0"/>
              <w:spacing w:before="0" w:after="283"/>
              <w:jc w:val="left"/>
              <w:rPr/>
            </w:pPr>
            <w:r>
              <w:rPr/>
              <w:t>Parent Articles of Amendment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2.4(b)(ii)</w:t>
            </w:r>
          </w:p>
        </w:tc>
      </w:tr>
      <w:tr>
        <w:trPr/>
        <w:tc>
          <w:tcPr>
            <w:tcW w:w="4882" w:type="dxa"/>
            <w:tcBorders/>
          </w:tcPr>
          <w:p>
            <w:pPr>
              <w:pStyle w:val="TableContents"/>
              <w:bidi w:val="0"/>
              <w:spacing w:before="0" w:after="283"/>
              <w:jc w:val="left"/>
              <w:rPr/>
            </w:pPr>
            <w:r>
              <w:rPr/>
              <w:t>Parent Board Adverse Recommendation Change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6.3(c)</w:t>
            </w:r>
          </w:p>
        </w:tc>
      </w:tr>
      <w:tr>
        <w:trPr/>
        <w:tc>
          <w:tcPr>
            <w:tcW w:w="4882" w:type="dxa"/>
            <w:tcBorders/>
          </w:tcPr>
          <w:p>
            <w:pPr>
              <w:pStyle w:val="TableContents"/>
              <w:bidi w:val="0"/>
              <w:spacing w:before="0" w:after="283"/>
              <w:jc w:val="left"/>
              <w:rPr/>
            </w:pPr>
            <w:r>
              <w:rPr/>
              <w:t>Parent Board Recommendation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6.3(b)</w:t>
            </w:r>
          </w:p>
        </w:tc>
      </w:tr>
      <w:tr>
        <w:trPr/>
        <w:tc>
          <w:tcPr>
            <w:tcW w:w="4882" w:type="dxa"/>
            <w:tcBorders/>
          </w:tcPr>
          <w:p>
            <w:pPr>
              <w:pStyle w:val="TableContents"/>
              <w:bidi w:val="0"/>
              <w:spacing w:before="0" w:after="283"/>
              <w:jc w:val="left"/>
              <w:rPr/>
            </w:pPr>
            <w:r>
              <w:rPr/>
              <w:t>Parent Common Stock Payment Shares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2.5(a)(ii)</w:t>
            </w:r>
          </w:p>
        </w:tc>
      </w:tr>
      <w:tr>
        <w:trPr/>
        <w:tc>
          <w:tcPr>
            <w:tcW w:w="4882" w:type="dxa"/>
            <w:tcBorders/>
          </w:tcPr>
          <w:p>
            <w:pPr>
              <w:pStyle w:val="TableContents"/>
              <w:bidi w:val="0"/>
              <w:spacing w:before="0" w:after="283"/>
              <w:jc w:val="left"/>
              <w:rPr/>
            </w:pPr>
            <w:r>
              <w:rPr/>
              <w:t>Parent Disclosure Letter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Section 4</w:t>
            </w:r>
          </w:p>
        </w:tc>
      </w:tr>
      <w:tr>
        <w:trPr/>
        <w:tc>
          <w:tcPr>
            <w:tcW w:w="4882" w:type="dxa"/>
            <w:tcBorders/>
          </w:tcPr>
          <w:p>
            <w:pPr>
              <w:pStyle w:val="TableContents"/>
              <w:bidi w:val="0"/>
              <w:spacing w:before="0" w:after="283"/>
              <w:jc w:val="left"/>
              <w:rPr/>
            </w:pPr>
            <w:r>
              <w:rPr/>
              <w:t>Parent Intervening Event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6.3(c)</w:t>
            </w:r>
          </w:p>
        </w:tc>
      </w:tr>
      <w:tr>
        <w:trPr/>
        <w:tc>
          <w:tcPr>
            <w:tcW w:w="4882" w:type="dxa"/>
            <w:tcBorders/>
          </w:tcPr>
          <w:p>
            <w:pPr>
              <w:pStyle w:val="TableContents"/>
              <w:bidi w:val="0"/>
              <w:spacing w:before="0" w:after="283"/>
              <w:jc w:val="left"/>
              <w:rPr/>
            </w:pPr>
            <w:r>
              <w:rPr/>
              <w:t>Parent Legacy Transaction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5.1(c)(i)</w:t>
            </w:r>
          </w:p>
        </w:tc>
      </w:tr>
      <w:tr>
        <w:trPr/>
        <w:tc>
          <w:tcPr>
            <w:tcW w:w="4882" w:type="dxa"/>
            <w:tcBorders/>
          </w:tcPr>
          <w:p>
            <w:pPr>
              <w:pStyle w:val="TableContents"/>
              <w:bidi w:val="0"/>
              <w:spacing w:before="0" w:after="283"/>
              <w:jc w:val="left"/>
              <w:rPr/>
            </w:pPr>
            <w:r>
              <w:rPr/>
              <w:t>Parent Material Contract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4882"/>
        <w:gridCol w:w="187"/>
        <w:gridCol w:w="4319"/>
      </w:tblGrid>
      <w:tr>
        <w:trPr/>
        <w:tc>
          <w:tcPr>
            <w:tcW w:w="48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87" w:type="dxa"/>
            <w:tcBorders/>
            <w:vAlign w:val="bottom"/>
          </w:tcPr>
          <w:p>
            <w:pPr>
              <w:pStyle w:val="TableContents"/>
              <w:bidi w:val="0"/>
              <w:spacing w:before="0" w:after="283"/>
              <w:jc w:val="left"/>
              <w:rPr/>
            </w:pPr>
            <w:r>
              <w:rPr/>
              <w:t>  </w:t>
            </w:r>
          </w:p>
        </w:tc>
        <w:tc>
          <w:tcPr>
            <w:tcW w:w="43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882" w:type="dxa"/>
            <w:tcBorders/>
          </w:tcPr>
          <w:p>
            <w:pPr>
              <w:pStyle w:val="TableContents"/>
              <w:bidi w:val="0"/>
              <w:spacing w:before="0" w:after="283"/>
              <w:jc w:val="left"/>
              <w:rPr/>
            </w:pPr>
            <w:r>
              <w:rPr/>
              <w:t>Parent Net Cash Calculation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2.8(a)</w:t>
            </w:r>
          </w:p>
        </w:tc>
      </w:tr>
      <w:tr>
        <w:trPr/>
        <w:tc>
          <w:tcPr>
            <w:tcW w:w="4882" w:type="dxa"/>
            <w:tcBorders/>
          </w:tcPr>
          <w:p>
            <w:pPr>
              <w:pStyle w:val="TableContents"/>
              <w:bidi w:val="0"/>
              <w:spacing w:before="0" w:after="283"/>
              <w:jc w:val="left"/>
              <w:rPr/>
            </w:pPr>
            <w:r>
              <w:rPr/>
              <w:t>Parent Net Cash Schedule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2.8(a)</w:t>
            </w:r>
          </w:p>
        </w:tc>
      </w:tr>
      <w:tr>
        <w:trPr/>
        <w:tc>
          <w:tcPr>
            <w:tcW w:w="4882" w:type="dxa"/>
            <w:tcBorders/>
          </w:tcPr>
          <w:p>
            <w:pPr>
              <w:pStyle w:val="TableContents"/>
              <w:bidi w:val="0"/>
              <w:spacing w:before="0" w:after="283"/>
              <w:jc w:val="left"/>
              <w:rPr/>
            </w:pPr>
            <w:r>
              <w:rPr/>
              <w:t>Parent Notice Period</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6.3(c)</w:t>
            </w:r>
          </w:p>
        </w:tc>
      </w:tr>
      <w:tr>
        <w:trPr/>
        <w:tc>
          <w:tcPr>
            <w:tcW w:w="4882" w:type="dxa"/>
            <w:tcBorders/>
          </w:tcPr>
          <w:p>
            <w:pPr>
              <w:pStyle w:val="TableContents"/>
              <w:bidi w:val="0"/>
              <w:spacing w:before="0" w:after="283"/>
              <w:jc w:val="left"/>
              <w:rPr/>
            </w:pPr>
            <w:r>
              <w:rPr/>
              <w:t>Parent Permits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4.14(b)</w:t>
            </w:r>
          </w:p>
        </w:tc>
      </w:tr>
      <w:tr>
        <w:trPr/>
        <w:tc>
          <w:tcPr>
            <w:tcW w:w="4882" w:type="dxa"/>
            <w:tcBorders/>
          </w:tcPr>
          <w:p>
            <w:pPr>
              <w:pStyle w:val="TableContents"/>
              <w:bidi w:val="0"/>
              <w:spacing w:before="0" w:after="283"/>
              <w:jc w:val="left"/>
              <w:rPr/>
            </w:pPr>
            <w:r>
              <w:rPr/>
              <w:t>Parent Pre-Closing Dividend</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5.1(c)(ii)</w:t>
            </w:r>
          </w:p>
        </w:tc>
      </w:tr>
      <w:tr>
        <w:trPr/>
        <w:tc>
          <w:tcPr>
            <w:tcW w:w="4882" w:type="dxa"/>
            <w:tcBorders/>
          </w:tcPr>
          <w:p>
            <w:pPr>
              <w:pStyle w:val="TableContents"/>
              <w:bidi w:val="0"/>
              <w:spacing w:before="0" w:after="283"/>
              <w:jc w:val="left"/>
              <w:rPr/>
            </w:pPr>
            <w:r>
              <w:rPr/>
              <w:t>Parent Pre-Closing Dividend Amount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5.1(c)(ii)</w:t>
            </w:r>
          </w:p>
        </w:tc>
      </w:tr>
      <w:tr>
        <w:trPr/>
        <w:tc>
          <w:tcPr>
            <w:tcW w:w="4882" w:type="dxa"/>
            <w:tcBorders/>
          </w:tcPr>
          <w:p>
            <w:pPr>
              <w:pStyle w:val="TableContents"/>
              <w:bidi w:val="0"/>
              <w:spacing w:before="0" w:after="283"/>
              <w:jc w:val="left"/>
              <w:rPr/>
            </w:pPr>
            <w:r>
              <w:rPr/>
              <w:t>Parent Product Candidates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4.14(d)</w:t>
            </w:r>
          </w:p>
        </w:tc>
      </w:tr>
      <w:tr>
        <w:trPr/>
        <w:tc>
          <w:tcPr>
            <w:tcW w:w="4882" w:type="dxa"/>
            <w:tcBorders/>
          </w:tcPr>
          <w:p>
            <w:pPr>
              <w:pStyle w:val="TableContents"/>
              <w:bidi w:val="0"/>
              <w:spacing w:before="0" w:after="283"/>
              <w:jc w:val="left"/>
              <w:rPr/>
            </w:pPr>
            <w:r>
              <w:rPr/>
              <w:t>Parent Real Estate Leases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4.11</w:t>
            </w:r>
          </w:p>
        </w:tc>
      </w:tr>
      <w:tr>
        <w:trPr/>
        <w:tc>
          <w:tcPr>
            <w:tcW w:w="4882" w:type="dxa"/>
            <w:tcBorders/>
          </w:tcPr>
          <w:p>
            <w:pPr>
              <w:pStyle w:val="TableContents"/>
              <w:bidi w:val="0"/>
              <w:spacing w:before="0" w:after="283"/>
              <w:jc w:val="left"/>
              <w:rPr/>
            </w:pPr>
            <w:r>
              <w:rPr/>
              <w:t>Parent Regulatory Permits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4.14(d)</w:t>
            </w:r>
          </w:p>
        </w:tc>
      </w:tr>
      <w:tr>
        <w:trPr/>
        <w:tc>
          <w:tcPr>
            <w:tcW w:w="4882" w:type="dxa"/>
            <w:tcBorders/>
          </w:tcPr>
          <w:p>
            <w:pPr>
              <w:pStyle w:val="TableContents"/>
              <w:bidi w:val="0"/>
              <w:spacing w:before="0" w:after="283"/>
              <w:jc w:val="left"/>
              <w:rPr/>
            </w:pPr>
            <w:r>
              <w:rPr/>
              <w:t>Parent SEC Documents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4.7(a)</w:t>
            </w:r>
          </w:p>
        </w:tc>
      </w:tr>
      <w:tr>
        <w:trPr/>
        <w:tc>
          <w:tcPr>
            <w:tcW w:w="4882" w:type="dxa"/>
            <w:tcBorders/>
          </w:tcPr>
          <w:p>
            <w:pPr>
              <w:pStyle w:val="TableContents"/>
              <w:bidi w:val="0"/>
              <w:spacing w:before="0" w:after="283"/>
              <w:jc w:val="left"/>
              <w:rPr/>
            </w:pPr>
            <w:r>
              <w:rPr/>
              <w:t>Parent Shareholder Matters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6.3(a)</w:t>
            </w:r>
          </w:p>
        </w:tc>
      </w:tr>
      <w:tr>
        <w:trPr/>
        <w:tc>
          <w:tcPr>
            <w:tcW w:w="4882" w:type="dxa"/>
            <w:tcBorders/>
          </w:tcPr>
          <w:p>
            <w:pPr>
              <w:pStyle w:val="TableContents"/>
              <w:bidi w:val="0"/>
              <w:spacing w:before="0" w:after="283"/>
              <w:jc w:val="left"/>
              <w:rPr/>
            </w:pPr>
            <w:r>
              <w:rPr/>
              <w:t>Parent Shareholder Meeting</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6.3(a)</w:t>
            </w:r>
          </w:p>
        </w:tc>
      </w:tr>
      <w:tr>
        <w:trPr/>
        <w:tc>
          <w:tcPr>
            <w:tcW w:w="4882" w:type="dxa"/>
            <w:tcBorders/>
          </w:tcPr>
          <w:p>
            <w:pPr>
              <w:pStyle w:val="TableContents"/>
              <w:bidi w:val="0"/>
              <w:spacing w:before="0" w:after="283"/>
              <w:jc w:val="left"/>
              <w:rPr/>
            </w:pPr>
            <w:r>
              <w:rPr/>
              <w:t>Parent Shareholder Support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Parent Stock Plans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4.6(c)</w:t>
            </w:r>
          </w:p>
        </w:tc>
      </w:tr>
      <w:tr>
        <w:trPr/>
        <w:tc>
          <w:tcPr>
            <w:tcW w:w="4882" w:type="dxa"/>
            <w:tcBorders/>
          </w:tcPr>
          <w:p>
            <w:pPr>
              <w:pStyle w:val="TableContents"/>
              <w:bidi w:val="0"/>
              <w:spacing w:before="0" w:after="283"/>
              <w:jc w:val="left"/>
              <w:rPr/>
            </w:pPr>
            <w:r>
              <w:rPr/>
              <w:t>PHSA</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3.14(c)</w:t>
            </w:r>
          </w:p>
        </w:tc>
      </w:tr>
      <w:tr>
        <w:trPr/>
        <w:tc>
          <w:tcPr>
            <w:tcW w:w="4882" w:type="dxa"/>
            <w:tcBorders/>
          </w:tcPr>
          <w:p>
            <w:pPr>
              <w:pStyle w:val="TableContents"/>
              <w:bidi w:val="0"/>
              <w:spacing w:before="0" w:after="283"/>
              <w:jc w:val="left"/>
              <w:rPr/>
            </w:pPr>
            <w:r>
              <w:rPr/>
              <w:t>Post-Closing Welfare Plan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6.6(b)</w:t>
            </w:r>
          </w:p>
        </w:tc>
      </w:tr>
      <w:tr>
        <w:trPr/>
        <w:tc>
          <w:tcPr>
            <w:tcW w:w="4882" w:type="dxa"/>
            <w:tcBorders/>
          </w:tcPr>
          <w:p>
            <w:pPr>
              <w:pStyle w:val="TableContents"/>
              <w:bidi w:val="0"/>
              <w:spacing w:before="0" w:after="283"/>
              <w:jc w:val="left"/>
              <w:rPr/>
            </w:pPr>
            <w:r>
              <w:rPr/>
              <w:t>Pre-Closing Period</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5.1(a)</w:t>
            </w:r>
          </w:p>
        </w:tc>
      </w:tr>
      <w:tr>
        <w:trPr/>
        <w:tc>
          <w:tcPr>
            <w:tcW w:w="4882" w:type="dxa"/>
            <w:tcBorders/>
          </w:tcPr>
          <w:p>
            <w:pPr>
              <w:pStyle w:val="TableContents"/>
              <w:bidi w:val="0"/>
              <w:spacing w:before="0" w:after="283"/>
              <w:jc w:val="left"/>
              <w:rPr/>
            </w:pPr>
            <w:r>
              <w:rPr/>
              <w:t>Pre-Funded Warrants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2.5(a)(ii)</w:t>
            </w:r>
          </w:p>
        </w:tc>
      </w:tr>
      <w:tr>
        <w:trPr/>
        <w:tc>
          <w:tcPr>
            <w:tcW w:w="4882" w:type="dxa"/>
            <w:tcBorders/>
          </w:tcPr>
          <w:p>
            <w:pPr>
              <w:pStyle w:val="TableContents"/>
              <w:bidi w:val="0"/>
              <w:spacing w:before="0" w:after="283"/>
              <w:jc w:val="left"/>
              <w:rPr/>
            </w:pPr>
            <w:r>
              <w:rPr/>
              <w:t>Privacy Policies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3.22</w:t>
            </w:r>
          </w:p>
        </w:tc>
      </w:tr>
      <w:tr>
        <w:trPr/>
        <w:tc>
          <w:tcPr>
            <w:tcW w:w="4882" w:type="dxa"/>
            <w:tcBorders/>
          </w:tcPr>
          <w:p>
            <w:pPr>
              <w:pStyle w:val="TableContents"/>
              <w:bidi w:val="0"/>
              <w:spacing w:before="0" w:after="283"/>
              <w:jc w:val="left"/>
              <w:rPr/>
            </w:pPr>
            <w:r>
              <w:rPr/>
              <w:t>Proxy Statement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6.1(a)</w:t>
            </w:r>
          </w:p>
        </w:tc>
      </w:tr>
      <w:tr>
        <w:trPr/>
        <w:tc>
          <w:tcPr>
            <w:tcW w:w="4882" w:type="dxa"/>
            <w:tcBorders/>
          </w:tcPr>
          <w:p>
            <w:pPr>
              <w:pStyle w:val="TableContents"/>
              <w:bidi w:val="0"/>
              <w:spacing w:before="0" w:after="283"/>
              <w:jc w:val="left"/>
              <w:rPr/>
            </w:pPr>
            <w:r>
              <w:rPr/>
              <w:t>Registration Statement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6.1(a)</w:t>
            </w:r>
          </w:p>
        </w:tc>
      </w:tr>
      <w:tr>
        <w:trPr/>
        <w:tc>
          <w:tcPr>
            <w:tcW w:w="4882" w:type="dxa"/>
            <w:tcBorders/>
          </w:tcPr>
          <w:p>
            <w:pPr>
              <w:pStyle w:val="TableContents"/>
              <w:bidi w:val="0"/>
              <w:spacing w:before="0" w:after="283"/>
              <w:jc w:val="left"/>
              <w:rPr/>
            </w:pPr>
            <w:r>
              <w:rPr/>
              <w:t>Remaining Entitlement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2.5(a)(ii)</w:t>
            </w:r>
          </w:p>
        </w:tc>
      </w:tr>
      <w:tr>
        <w:trPr/>
        <w:tc>
          <w:tcPr>
            <w:tcW w:w="4882" w:type="dxa"/>
            <w:tcBorders/>
          </w:tcPr>
          <w:p>
            <w:pPr>
              <w:pStyle w:val="TableContents"/>
              <w:bidi w:val="0"/>
              <w:spacing w:before="0" w:after="283"/>
              <w:jc w:val="left"/>
              <w:rPr/>
            </w:pPr>
            <w:r>
              <w:rPr/>
              <w:t>Required Company Stockholder Vote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3.4</w:t>
            </w:r>
          </w:p>
        </w:tc>
      </w:tr>
      <w:tr>
        <w:trPr/>
        <w:tc>
          <w:tcPr>
            <w:tcW w:w="4882" w:type="dxa"/>
            <w:tcBorders/>
          </w:tcPr>
          <w:p>
            <w:pPr>
              <w:pStyle w:val="TableContents"/>
              <w:bidi w:val="0"/>
              <w:spacing w:before="0" w:after="283"/>
              <w:jc w:val="left"/>
              <w:rPr/>
            </w:pPr>
            <w:r>
              <w:rPr/>
              <w:t>Required Parent Shareholder Vote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4.4</w:t>
            </w:r>
          </w:p>
        </w:tc>
      </w:tr>
      <w:tr>
        <w:trPr/>
        <w:tc>
          <w:tcPr>
            <w:tcW w:w="4882" w:type="dxa"/>
            <w:tcBorders/>
          </w:tcPr>
          <w:p>
            <w:pPr>
              <w:pStyle w:val="TableContents"/>
              <w:bidi w:val="0"/>
              <w:spacing w:before="0" w:after="283"/>
              <w:jc w:val="left"/>
              <w:rPr/>
            </w:pPr>
            <w:r>
              <w:rPr/>
              <w:t>Response Date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2.8(c)</w:t>
            </w:r>
          </w:p>
        </w:tc>
      </w:tr>
      <w:tr>
        <w:trPr/>
        <w:tc>
          <w:tcPr>
            <w:tcW w:w="4882" w:type="dxa"/>
            <w:tcBorders/>
          </w:tcPr>
          <w:p>
            <w:pPr>
              <w:pStyle w:val="TableContents"/>
              <w:bidi w:val="0"/>
              <w:spacing w:before="0" w:after="283"/>
              <w:jc w:val="left"/>
              <w:rPr/>
            </w:pPr>
            <w:r>
              <w:rPr/>
              <w:t>SEC Documents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6.16</w:t>
            </w:r>
          </w:p>
        </w:tc>
      </w:tr>
      <w:tr>
        <w:trPr/>
        <w:tc>
          <w:tcPr>
            <w:tcW w:w="4882" w:type="dxa"/>
            <w:tcBorders/>
          </w:tcPr>
          <w:p>
            <w:pPr>
              <w:pStyle w:val="TableContents"/>
              <w:bidi w:val="0"/>
              <w:spacing w:before="0" w:after="283"/>
              <w:jc w:val="left"/>
              <w:rPr/>
            </w:pPr>
            <w:r>
              <w:rPr/>
              <w:t>Second Certificate of Merger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2.3</w:t>
            </w:r>
          </w:p>
        </w:tc>
      </w:tr>
      <w:tr>
        <w:trPr/>
        <w:tc>
          <w:tcPr>
            <w:tcW w:w="4882" w:type="dxa"/>
            <w:tcBorders/>
          </w:tcPr>
          <w:p>
            <w:pPr>
              <w:pStyle w:val="TableContents"/>
              <w:bidi w:val="0"/>
              <w:spacing w:before="0" w:after="283"/>
              <w:jc w:val="left"/>
              <w:rPr/>
            </w:pPr>
            <w:r>
              <w:rPr/>
              <w:t>Second Effective Time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2.3</w:t>
            </w:r>
          </w:p>
        </w:tc>
      </w:tr>
      <w:tr>
        <w:trPr/>
        <w:tc>
          <w:tcPr>
            <w:tcW w:w="4882" w:type="dxa"/>
            <w:tcBorders/>
          </w:tcPr>
          <w:p>
            <w:pPr>
              <w:pStyle w:val="TableContents"/>
              <w:bidi w:val="0"/>
              <w:spacing w:before="0" w:after="283"/>
              <w:jc w:val="left"/>
              <w:rPr/>
            </w:pPr>
            <w:r>
              <w:rPr/>
              <w:t>Second Merger</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Securities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2.5(g)</w:t>
            </w:r>
          </w:p>
        </w:tc>
      </w:tr>
      <w:tr>
        <w:trPr/>
        <w:tc>
          <w:tcPr>
            <w:tcW w:w="4882" w:type="dxa"/>
            <w:tcBorders/>
          </w:tcPr>
          <w:p>
            <w:pPr>
              <w:pStyle w:val="TableContents"/>
              <w:bidi w:val="0"/>
              <w:spacing w:before="0" w:after="283"/>
              <w:jc w:val="left"/>
              <w:rPr/>
            </w:pPr>
            <w:r>
              <w:rPr/>
              <w:t>Stockholder Notice</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6.2(b)</w:t>
            </w:r>
          </w:p>
        </w:tc>
      </w:tr>
      <w:tr>
        <w:trPr/>
        <w:tc>
          <w:tcPr>
            <w:tcW w:w="4882" w:type="dxa"/>
            <w:tcBorders/>
          </w:tcPr>
          <w:p>
            <w:pPr>
              <w:pStyle w:val="TableContents"/>
              <w:bidi w:val="0"/>
              <w:spacing w:before="0" w:after="283"/>
              <w:jc w:val="left"/>
              <w:rPr/>
            </w:pPr>
            <w:r>
              <w:rPr/>
              <w:t>Subscription Agreement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Recital</w:t>
            </w:r>
          </w:p>
        </w:tc>
      </w:tr>
      <w:tr>
        <w:trPr/>
        <w:tc>
          <w:tcPr>
            <w:tcW w:w="4882" w:type="dxa"/>
            <w:tcBorders/>
          </w:tcPr>
          <w:p>
            <w:pPr>
              <w:pStyle w:val="TableContents"/>
              <w:bidi w:val="0"/>
              <w:spacing w:before="0" w:after="283"/>
              <w:jc w:val="left"/>
              <w:rPr/>
            </w:pPr>
            <w:r>
              <w:rPr/>
              <w:t>Surviving Entity</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2.1</w:t>
            </w:r>
          </w:p>
        </w:tc>
      </w:tr>
      <w:tr>
        <w:trPr/>
        <w:tc>
          <w:tcPr>
            <w:tcW w:w="4882" w:type="dxa"/>
            <w:tcBorders/>
          </w:tcPr>
          <w:p>
            <w:pPr>
              <w:pStyle w:val="TableContents"/>
              <w:bidi w:val="0"/>
              <w:spacing w:before="0" w:after="283"/>
              <w:jc w:val="left"/>
              <w:rPr/>
            </w:pPr>
            <w:r>
              <w:rPr/>
              <w:t>Tax Certificates</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6.10(c)</w:t>
            </w:r>
          </w:p>
        </w:tc>
      </w:tr>
      <w:tr>
        <w:trPr/>
        <w:tc>
          <w:tcPr>
            <w:tcW w:w="4882" w:type="dxa"/>
            <w:tcBorders/>
          </w:tcPr>
          <w:p>
            <w:pPr>
              <w:pStyle w:val="TableContents"/>
              <w:bidi w:val="0"/>
              <w:spacing w:before="0" w:after="283"/>
              <w:jc w:val="left"/>
              <w:rPr/>
            </w:pPr>
            <w:r>
              <w:rPr/>
              <w:t>Transaction Litigation</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6.4(c)</w:t>
            </w:r>
          </w:p>
        </w:tc>
      </w:tr>
      <w:tr>
        <w:trPr/>
        <w:tc>
          <w:tcPr>
            <w:tcW w:w="4882" w:type="dxa"/>
            <w:tcBorders/>
          </w:tcPr>
          <w:p>
            <w:pPr>
              <w:pStyle w:val="TableContents"/>
              <w:bidi w:val="0"/>
              <w:spacing w:before="0" w:after="283"/>
              <w:jc w:val="left"/>
              <w:rPr/>
            </w:pPr>
            <w:r>
              <w:rPr/>
              <w:t>WARN Act</w:t>
            </w:r>
          </w:p>
        </w:tc>
        <w:tc>
          <w:tcPr>
            <w:tcW w:w="187"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283"/>
              <w:jc w:val="left"/>
              <w:rPr/>
            </w:pPr>
            <w:r>
              <w:rPr/>
              <w:t>3.17(k)</w:t>
            </w:r>
          </w:p>
        </w:tc>
      </w:tr>
    </w:tbl>
    <w:p>
      <w:pPr>
        <w:pStyle w:val="TextBody"/>
        <w:bidi w:val="0"/>
        <w:spacing w:before="240" w:after="0"/>
        <w:jc w:val="left"/>
        <w:rPr>
          <w:rFonts w:ascii="Times New Roman" w:hAnsi="Times New Roman"/>
          <w:sz w:val="20"/>
        </w:rPr>
      </w:pPr>
      <w:bookmarkStart w:id="75" w:name="anxa111069_3"/>
      <w:bookmarkEnd w:id="75"/>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Letter or the Parent Disclosure Letter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76" w:name="anxa111069_4"/>
      <w:bookmarkEnd w:id="76"/>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7" w:name="anxa111069_5"/>
      <w:bookmarkEnd w:id="77"/>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hAnsi="Times New Roman"/>
          <w:b/>
          <w:sz w:val="20"/>
        </w:rPr>
        <w:t>First Step</w:t>
      </w:r>
      <w:r>
        <w:rPr>
          <w:rFonts w:ascii="Times New Roman" w:hAnsi="Times New Roman"/>
          <w:sz w:val="20"/>
        </w:rPr>
        <w:t xml:space="preserve"> </w:t>
      </w:r>
      <w:r>
        <w:rPr>
          <w:rFonts w:ascii="Times New Roman" w:hAnsi="Times New Roman"/>
          <w:b/>
          <w:sz w:val="20"/>
        </w:rPr>
        <w:t>Surviving Corporation</w:t>
      </w:r>
      <w:r>
        <w:rPr>
          <w:rFonts w:ascii="Times New Roman" w:hAnsi="Times New Roman"/>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sz w:val="20"/>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8" w:name="anxa111069_6"/>
      <w:bookmarkEnd w:id="78"/>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 </w:t>
      </w:r>
    </w:p>
    <w:p>
      <w:pPr>
        <w:pStyle w:val="TextBody"/>
        <w:bidi w:val="0"/>
        <w:spacing w:before="240" w:after="0"/>
        <w:jc w:val="left"/>
        <w:rPr>
          <w:rFonts w:ascii="Times New Roman" w:hAnsi="Times New Roman"/>
          <w:sz w:val="20"/>
        </w:rPr>
      </w:pPr>
      <w:bookmarkStart w:id="79" w:name="anxa111069_7"/>
      <w:bookmarkEnd w:id="79"/>
      <w:r>
        <w:rPr>
          <w:rFonts w:ascii="Times New Roman" w:hAnsi="Times New Roman"/>
          <w:sz w:val="20"/>
        </w:rPr>
        <w:t xml:space="preserve">2.3 </w:t>
      </w:r>
      <w:r>
        <w:rPr>
          <w:rFonts w:ascii="Times New Roman" w:hAnsi="Times New Roman"/>
          <w:sz w:val="20"/>
          <w:u w:val="single"/>
        </w:rPr>
        <w:t>Closing; First Effective Time; Second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hAnsi="Times New Roman"/>
          <w:sz w:val="20"/>
          <w:u w:val="single"/>
        </w:rPr>
        <w:t>Exhibit D-1</w:t>
      </w:r>
      <w:r>
        <w:rPr>
          <w:rFonts w:ascii="Times New Roman" w:hAnsi="Times New Roman"/>
          <w:sz w:val="20"/>
        </w:rPr>
        <w:t xml:space="preserve"> and incorporated herein by reference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Certificate of Merger</w:t>
      </w:r>
      <w:r>
        <w:rPr>
          <w:rFonts w:ascii="Times New Roman" w:hAnsi="Times New Roman"/>
          <w:sz w:val="20"/>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hAnsi="Times New Roman"/>
          <w:sz w:val="20"/>
          <w:u w:val="single"/>
        </w:rPr>
        <w:t>Exhibit D-2</w:t>
      </w:r>
      <w:r>
        <w:rPr>
          <w:rFonts w:ascii="Times New Roman" w:hAnsi="Times New Roman"/>
          <w:sz w:val="20"/>
        </w:rPr>
        <w:t xml:space="preserve"> and incorporated herein by reference (the “</w:t>
      </w:r>
      <w:r>
        <w:rPr>
          <w:rFonts w:ascii="Times New Roman" w:hAnsi="Times New Roman"/>
          <w:b/>
          <w:sz w:val="20"/>
        </w:rPr>
        <w:t>Second Certificate of Merger</w:t>
      </w:r>
      <w:r>
        <w:rPr>
          <w:rFonts w:ascii="Times New Roman" w:hAnsi="Times New Roman"/>
          <w:sz w:val="20"/>
        </w:rPr>
        <w:t>” and together with the First Certificate of Merger, the “</w:t>
      </w:r>
      <w:r>
        <w:rPr>
          <w:rFonts w:ascii="Times New Roman" w:hAnsi="Times New Roman"/>
          <w:b/>
          <w:sz w:val="20"/>
        </w:rPr>
        <w:t>Certificate of Merger</w:t>
      </w:r>
      <w:r>
        <w:rPr>
          <w:rFonts w:ascii="Times New Roman" w:hAnsi="Times New Roman"/>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sz w:val="20"/>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80" w:name="anxa111069_8"/>
      <w:bookmarkEnd w:id="80"/>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First Step Surviving Corporation shall be amended and restated in the Merger to read as set forth on </w:t>
      </w:r>
      <w:r>
        <w:rPr>
          <w:rFonts w:ascii="Times New Roman" w:hAnsi="Times New Roman"/>
          <w:sz w:val="20"/>
          <w:u w:val="single"/>
        </w:rPr>
        <w:t>Exhibit A</w:t>
      </w:r>
      <w:r>
        <w:rPr>
          <w:rFonts w:ascii="Times New Roman" w:hAnsi="Times New Roman"/>
          <w:sz w:val="20"/>
        </w:rPr>
        <w:t xml:space="preserve"> to the First Certificate of Merger, until thereafter amended as provided by the DGCL and such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bylaws of the First Step Surviving Corporation shall be identical to the bylaws of the Company as in effect immediately prior to the First Effective Time, until thereafter amended as provided by the DGCL and such bylaws;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directors and officers of the First Step Surviving Corporation, each to hold office in accordance with the certificate of incorporation and bylaws of the First Step Surviving Corporation, shall be such persons as are set forth in </w:t>
      </w:r>
      <w:r>
        <w:rPr>
          <w:rFonts w:ascii="Times New Roman" w:hAnsi="Times New Roman"/>
          <w:sz w:val="20"/>
          <w:u w:val="single"/>
        </w:rPr>
        <w:t>Section 6.12</w:t>
      </w:r>
      <w:r>
        <w:rPr>
          <w:rFonts w:ascii="Times New Roman" w:hAnsi="Times New Roman"/>
          <w:sz w:val="20"/>
        </w:rPr>
        <w:t xml:space="preserve"> of the Company Disclosure Letter, unless otherwise designated by the Company prior to the First Effective Time. </w:t>
      </w:r>
    </w:p>
    <w:p>
      <w:pPr>
        <w:pStyle w:val="TextBody"/>
        <w:bidi w:val="0"/>
        <w:spacing w:before="240" w:after="0"/>
        <w:jc w:val="left"/>
        <w:rPr>
          <w:rFonts w:ascii="Times New Roman" w:hAnsi="Times New Roman"/>
          <w:sz w:val="20"/>
        </w:rPr>
      </w:pP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 xml:space="preserve">At the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Second Effective Time (as part of the Second Certificate of Merger), the certificate of formation shall be amended to (A) change the name of the Surviving Entity to “Korsana Biosciences Operating Company LLC,” and (B) make such other changes as are directed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the Second Effective Time (but as soon thereafter as practicable), the limited liability company agreement shall be amended to change the name of the Surviving Entity to “Korsana Biosciences Operating Company LLC”; </w:t>
      </w:r>
    </w:p>
    <w:p>
      <w:pPr>
        <w:pStyle w:val="TextBody"/>
        <w:bidi w:val="0"/>
        <w:spacing w:before="120" w:after="0"/>
        <w:jc w:val="left"/>
        <w:rPr>
          <w:rFonts w:ascii="Times New Roman" w:hAnsi="Times New Roman"/>
          <w:sz w:val="20"/>
        </w:rPr>
      </w:pPr>
      <w:r>
        <w:rPr>
          <w:rFonts w:ascii="Times New Roman" w:hAnsi="Times New Roman"/>
          <w:sz w:val="20"/>
        </w:rPr>
        <w:t xml:space="preserve">(iii) 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hAnsi="Times New Roman"/>
          <w:b/>
          <w:sz w:val="20"/>
        </w:rPr>
        <w:t>Parent Articles of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directors and officers of Parent, each to hold office in accordance with the articles of organization and bylaws of Parent, shall be as set forth in </w:t>
      </w:r>
      <w:r>
        <w:rPr>
          <w:rFonts w:ascii="Times New Roman" w:hAnsi="Times New Roman"/>
          <w:sz w:val="20"/>
          <w:u w:val="single"/>
        </w:rPr>
        <w:t>Section 6.12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 </w:t>
      </w:r>
    </w:p>
    <w:p>
      <w:pPr>
        <w:pStyle w:val="TextBody"/>
        <w:bidi w:val="0"/>
        <w:spacing w:before="240" w:after="0"/>
        <w:jc w:val="left"/>
        <w:rPr>
          <w:rFonts w:ascii="Times New Roman" w:hAnsi="Times New Roman"/>
          <w:sz w:val="20"/>
        </w:rPr>
      </w:pPr>
      <w:bookmarkStart w:id="81" w:name="anxa111069_9"/>
      <w:bookmarkEnd w:id="81"/>
      <w:r>
        <w:rPr>
          <w:rFonts w:ascii="Times New Roman" w:hAnsi="Times New Roman"/>
          <w:sz w:val="20"/>
        </w:rPr>
        <w:t xml:space="preserve">2.5 </w:t>
      </w:r>
      <w:r>
        <w:rPr>
          <w:rFonts w:ascii="Times New Roman" w:hAnsi="Times New Roman"/>
          <w:sz w:val="20"/>
          <w:u w:val="single"/>
        </w:rPr>
        <w:t>Conversion of Company, First Merger Sub and Second Merger Sub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by virtue of the Merger and without any further action on the part of Parent, Merger Subs, the Company or any stockholder of the Company or shareholder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First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and </w:t>
      </w:r>
      <w:r>
        <w:rPr>
          <w:rFonts w:ascii="Times New Roman" w:hAnsi="Times New Roman"/>
          <w:sz w:val="20"/>
          <w:u w:val="single"/>
        </w:rPr>
        <w:t>Section 2.5(a)(iii)</w:t>
      </w:r>
      <w:r>
        <w:rPr>
          <w:rFonts w:ascii="Times New Roman" w:hAnsi="Times New Roman"/>
          <w:sz w:val="20"/>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Common Stock equal to the Exchange Ratio (the “</w:t>
      </w:r>
      <w:r>
        <w:rPr>
          <w:rFonts w:ascii="Times New Roman" w:hAnsi="Times New Roman"/>
          <w:b/>
          <w:sz w:val="20"/>
        </w:rPr>
        <w:t>Parent Common Stock Payment Shares</w:t>
      </w:r>
      <w:r>
        <w:rPr>
          <w:rFonts w:ascii="Times New Roman" w:hAnsi="Times New Roman"/>
          <w:sz w:val="20"/>
        </w:rPr>
        <w:t>”); provided, however,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pre-funded warrants, substantially in the form attached hereto as Exhibit G (“</w:t>
      </w:r>
      <w:r>
        <w:rPr>
          <w:rFonts w:ascii="Times New Roman" w:hAnsi="Times New Roman"/>
          <w:b/>
          <w:sz w:val="20"/>
        </w:rPr>
        <w:t>Pre-Funded Warrants</w:t>
      </w:r>
      <w:r>
        <w:rPr>
          <w:rFonts w:ascii="Times New Roman" w:hAnsi="Times New Roman"/>
          <w:sz w:val="20"/>
        </w:rPr>
        <w:t xml:space="preserve">”), to purchase a number of shares of Parent Common Stock upon exercise of such Pre-Funded Warrants equal to the Remaining Entitlement, in such manner to provide any such holder of Company Capital Stock with the same economic effect as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2.5(c)</w:t>
      </w:r>
      <w:r>
        <w:rPr>
          <w:rFonts w:ascii="Times New Roman" w:hAnsi="Times New Roman"/>
          <w:sz w:val="20"/>
        </w:rPr>
        <w:t xml:space="preserve"> and notwithstanding </w:t>
      </w:r>
      <w:r>
        <w:rPr>
          <w:rFonts w:ascii="Times New Roman" w:hAnsi="Times New Roman"/>
          <w:sz w:val="20"/>
          <w:u w:val="single"/>
        </w:rPr>
        <w:t>Section 2.5(a)(ii)</w:t>
      </w:r>
      <w:r>
        <w:rPr>
          <w:rFonts w:ascii="Times New Roman" w:hAnsi="Times New Roman"/>
          <w:sz w:val="20"/>
        </w:rPr>
        <w:t xml:space="preserve"> above, each share of Company Series Seed Preferred Stock outstanding immediately prior to the First Effective Time (excluding shares of Company Series Seed Preferred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Convertible Preferred Stock equal to (x) the Exchange Ratio </w:t>
      </w:r>
      <w:r>
        <w:rPr>
          <w:rFonts w:ascii="Times New Roman" w:hAnsi="Times New Roman"/>
          <w:i/>
          <w:sz w:val="20"/>
          <w:u w:val="single"/>
        </w:rPr>
        <w:t>divided by</w:t>
      </w:r>
      <w:r>
        <w:rPr>
          <w:rFonts w:ascii="Times New Roman" w:hAnsi="Times New Roman"/>
          <w:sz w:val="20"/>
        </w:rPr>
        <w:t xml:space="preserve"> (y) 1,000 (such shares of Parent Convertible Preferred Stock, together with the Parent Common Stock Payment Shares and Pre-Funded Warrants described in </w:t>
      </w:r>
      <w:r>
        <w:rPr>
          <w:rFonts w:ascii="Times New Roman" w:hAnsi="Times New Roman"/>
          <w:sz w:val="20"/>
          <w:u w:val="single"/>
        </w:rPr>
        <w:t>Section 2.5(a)(ii)</w:t>
      </w:r>
      <w:r>
        <w:rPr>
          <w:rFonts w:ascii="Times New Roman" w:hAnsi="Times New Roman"/>
          <w:sz w:val="20"/>
        </w:rPr>
        <w:t>,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rounded up to the nearest whole share of Parent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(including any Service Provider Grants) outstanding immediately prior to the First Effective Time shall be treated in accordance with </w:t>
      </w:r>
      <w:r>
        <w:rPr>
          <w:rFonts w:ascii="Times New Roman" w:hAnsi="Times New Roman"/>
          <w:sz w:val="20"/>
          <w:u w:val="single"/>
        </w:rPr>
        <w:t>Section 6.5(a)</w:t>
      </w:r>
      <w:r>
        <w:rPr>
          <w:rFonts w:ascii="Times New Roman" w:hAnsi="Times New Roman"/>
          <w:sz w:val="20"/>
        </w:rPr>
        <w:t>. All Company Warrants outstanding immediately prior to the First Effective Time shall be treated in accordance with </w:t>
      </w:r>
      <w:r>
        <w:rPr>
          <w:rFonts w:ascii="Times New Roman" w:hAnsi="Times New Roman"/>
          <w:sz w:val="20"/>
          <w:u w:val="single"/>
        </w:rPr>
        <w:t>Section 6.5(c)</w:t>
      </w:r>
      <w:r>
        <w:rPr>
          <w:rFonts w:ascii="Times New Roman" w:hAnsi="Times New Roman"/>
          <w:sz w:val="20"/>
        </w:rPr>
        <w:t>. All Company RSUs outstanding immediately prior to the First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For purposes of this Agreement, the “</w:t>
      </w:r>
      <w:r>
        <w:rPr>
          <w:rFonts w:ascii="Times New Roman" w:hAnsi="Times New Roman"/>
          <w:b/>
          <w:sz w:val="20"/>
        </w:rPr>
        <w:t>Beneficial Ownership Limitation</w:t>
      </w:r>
      <w:r>
        <w:rPr>
          <w:rFonts w:ascii="Times New Roman" w:hAnsi="Times New Roman"/>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hAnsi="Times New Roman"/>
          <w:b/>
          <w:sz w:val="20"/>
        </w:rPr>
        <w:t>Securities</w:t>
      </w:r>
      <w:r>
        <w:rPr>
          <w:rFonts w:ascii="Times New Roman" w:hAnsi="Times New Roman"/>
          <w:sz w:val="20"/>
        </w:rPr>
        <w:t xml:space="preserve">”);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2.5(h)</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82" w:name="anxa111069_10"/>
      <w:bookmarkEnd w:id="82"/>
      <w:r>
        <w:rPr>
          <w:rFonts w:ascii="Times New Roman" w:hAnsi="Times New Roman"/>
          <w:sz w:val="20"/>
        </w:rPr>
        <w:t xml:space="preserve">2.6 </w:t>
      </w:r>
      <w:r>
        <w:rPr>
          <w:rFonts w:ascii="Times New Roman" w:hAnsi="Times New Roman"/>
          <w:sz w:val="20"/>
          <w:u w:val="single"/>
        </w:rPr>
        <w:t>Closing of the Company’s Transfer Books</w:t>
      </w:r>
      <w:r>
        <w:rPr>
          <w:rFonts w:ascii="Times New Roman" w:hAnsi="Times New Roman"/>
          <w:sz w:val="20"/>
        </w:rPr>
        <w:t xml:space="preserve">. At the First Effective Time: (a) all Company Capital Stock outstanding immediately prior to the First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 </w:t>
      </w:r>
    </w:p>
    <w:p>
      <w:pPr>
        <w:pStyle w:val="TextBody"/>
        <w:bidi w:val="0"/>
        <w:spacing w:before="240" w:after="0"/>
        <w:jc w:val="left"/>
        <w:rPr>
          <w:rFonts w:ascii="Times New Roman" w:hAnsi="Times New Roman"/>
          <w:sz w:val="20"/>
        </w:rPr>
      </w:pPr>
      <w:bookmarkStart w:id="83" w:name="anxa111069_11"/>
      <w:bookmarkEnd w:id="83"/>
      <w:r>
        <w:rPr>
          <w:rFonts w:ascii="Times New Roman" w:hAnsi="Times New Roman"/>
          <w:sz w:val="20"/>
        </w:rPr>
        <w:t xml:space="preserve">2.7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First Effective Time, Parent shall deposit with the Exchange Agent evidence of book-entry shares representing the shares of Parent Capital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hAnsi="Times New Roman"/>
          <w:b/>
          <w:sz w:val="20"/>
        </w:rPr>
        <w:t>Company Stock Certificates</w:t>
      </w:r>
      <w:r>
        <w:rPr>
          <w:rFonts w:ascii="Times New Roman" w:hAnsi="Times New Roman"/>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2.7(b)</w:t>
      </w:r>
      <w:r>
        <w:rPr>
          <w:rFonts w:ascii="Times New Roman" w:hAnsi="Times New Roman"/>
          <w:sz w:val="20"/>
        </w:rPr>
        <w:t xml:space="preserve">,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lost, stolen or destroyed Company Stock Certificate or any Parent Capital Stock issued in exchange therefor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2.7</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hAnsi="Times New Roman"/>
          <w:sz w:val="20"/>
          <w:u w:val="single"/>
        </w:rPr>
        <w:t>Section 2.7</w:t>
      </w:r>
      <w:r>
        <w:rPr>
          <w:rFonts w:ascii="Times New Roman" w:hAnsi="Times New Roman"/>
          <w:sz w:val="20"/>
        </w:rPr>
        <w:t xml:space="preserve"> shall thereafter look only to Parent for satisfaction of their claims for Parent Capital Stock and any dividends or distributions with respect to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84" w:name="anxa111069_12"/>
      <w:bookmarkEnd w:id="84"/>
      <w:r>
        <w:rPr>
          <w:rFonts w:ascii="Times New Roman" w:hAnsi="Times New Roman"/>
          <w:sz w:val="20"/>
        </w:rPr>
        <w:t xml:space="preserve">2.8 </w:t>
      </w:r>
      <w:r>
        <w:rPr>
          <w:rFonts w:ascii="Times New Roman" w:hAnsi="Times New Roman"/>
          <w:sz w:val="20"/>
          <w:u w:val="single"/>
        </w:rPr>
        <w:t>Calculation of Parent Net Cash and Company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date of the Parent Shareholder Meeting set forth in the Proxy Statement (the “</w:t>
      </w:r>
      <w:r>
        <w:rPr>
          <w:rFonts w:ascii="Times New Roman" w:hAnsi="Times New Roman"/>
          <w:b/>
          <w:sz w:val="20"/>
        </w:rPr>
        <w:t>Calculation Date</w:t>
      </w:r>
      <w:r>
        <w:rPr>
          <w:rFonts w:ascii="Times New Roman" w:hAnsi="Times New Roman"/>
          <w:sz w:val="20"/>
        </w:rPr>
        <w:t>”), Parent will deliver to the Company a schedule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Parent’s good faith, estimated calculation of the components of Parent Net Cash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and the date of delivery of such schedule being the “</w:t>
      </w:r>
      <w:r>
        <w:rPr>
          <w:rFonts w:ascii="Times New Roman" w:hAnsi="Times New Roman"/>
          <w:b/>
          <w:sz w:val="20"/>
        </w:rPr>
        <w:t>Parent Net Cash Schedule Delivery Date</w:t>
      </w:r>
      <w:r>
        <w:rPr>
          <w:rFonts w:ascii="Times New Roman" w:hAnsi="Times New Roman"/>
          <w:sz w:val="20"/>
        </w:rPr>
        <w:t>”) as of 11:59 p.m. on the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w:t>
      </w:r>
      <w:r>
        <w:rPr>
          <w:rFonts w:ascii="Times New Roman" w:hAnsi="Times New Roman"/>
          <w:sz w:val="20"/>
          <w:u w:val="single"/>
        </w:rPr>
        <w:t>Section 1.1(b)</w:t>
      </w:r>
      <w:r>
        <w:rPr>
          <w:rFonts w:ascii="Times New Roman" w:hAnsi="Times New Roman"/>
          <w:sz w:val="20"/>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 </w:t>
      </w:r>
    </w:p>
    <w:p>
      <w:pPr>
        <w:pStyle w:val="TextBody"/>
        <w:bidi w:val="0"/>
        <w:spacing w:before="240" w:after="0"/>
        <w:jc w:val="left"/>
        <w:rPr>
          <w:rFonts w:ascii="Times New Roman" w:hAnsi="Times New Roman"/>
          <w:sz w:val="20"/>
        </w:rPr>
      </w:pPr>
      <w:r>
        <w:rPr>
          <w:rFonts w:ascii="Times New Roman" w:hAnsi="Times New Roman"/>
          <w:sz w:val="20"/>
        </w:rPr>
        <w:t>(b) No later than the Calculation Date, the Company will deliver to Parent a schedule (the “</w:t>
      </w:r>
      <w:r>
        <w:rPr>
          <w:rFonts w:ascii="Times New Roman" w:hAnsi="Times New Roman"/>
          <w:b/>
          <w:sz w:val="20"/>
        </w:rPr>
        <w:t>Company Valuation Schedule</w:t>
      </w:r>
      <w:r>
        <w:rPr>
          <w:rFonts w:ascii="Times New Roman" w:hAnsi="Times New Roman"/>
          <w:sz w:val="20"/>
        </w:rPr>
        <w:t>”) setting forth, in reasonable detail, the Company’s good faith, estimated calculations of the components of the Company Valuation (the “</w:t>
      </w:r>
      <w:r>
        <w:rPr>
          <w:rFonts w:ascii="Times New Roman" w:hAnsi="Times New Roman"/>
          <w:b/>
          <w:sz w:val="20"/>
        </w:rPr>
        <w:t>Company Valuation Calculation</w:t>
      </w:r>
      <w:r>
        <w:rPr>
          <w:rFonts w:ascii="Times New Roman" w:hAnsi="Times New Roman"/>
          <w:sz w:val="20"/>
        </w:rPr>
        <w:t>,” and the date of delivery of such schedule being the “</w:t>
      </w:r>
      <w:r>
        <w:rPr>
          <w:rFonts w:ascii="Times New Roman" w:hAnsi="Times New Roman"/>
          <w:b/>
          <w:sz w:val="20"/>
        </w:rPr>
        <w:t>Company Valuation Delivery Date</w:t>
      </w:r>
      <w:r>
        <w:rPr>
          <w:rFonts w:ascii="Times New Roman" w:hAnsi="Times New Roman"/>
          <w:sz w:val="20"/>
        </w:rPr>
        <w:t xml:space="preserve">”) as of 11:59 p.m. on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Day prior to the Anticipated Closing Date (the “</w:t>
      </w:r>
      <w:r>
        <w:rPr>
          <w:rFonts w:ascii="Times New Roman" w:hAnsi="Times New Roman"/>
          <w:b/>
          <w:sz w:val="20"/>
        </w:rPr>
        <w:t>Company Valuation Determination Time</w:t>
      </w:r>
      <w:r>
        <w:rPr>
          <w:rFonts w:ascii="Times New Roman" w:hAnsi="Times New Roman"/>
          <w:sz w:val="20"/>
        </w:rPr>
        <w:t xml:space="preserve">”)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 </w:t>
      </w:r>
    </w:p>
    <w:p>
      <w:pPr>
        <w:pStyle w:val="TextBody"/>
        <w:bidi w:val="0"/>
        <w:spacing w:before="240" w:after="0"/>
        <w:jc w:val="left"/>
        <w:rPr>
          <w:rFonts w:ascii="Times New Roman" w:hAnsi="Times New Roman"/>
          <w:sz w:val="20"/>
        </w:rPr>
      </w:pPr>
      <w:r>
        <w:rPr>
          <w:rFonts w:ascii="Times New Roman" w:hAnsi="Times New Roman"/>
          <w:sz w:val="20"/>
        </w:rPr>
        <w:t>(c) No later than three (3) Business Days after the Parent Net Cash Schedule Delivery Date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(d) No later than three (3) Business Days after the Company Valuation Delivery Date (the last day of such period, the “</w:t>
      </w:r>
      <w:r>
        <w:rPr>
          <w:rFonts w:ascii="Times New Roman" w:hAnsi="Times New Roman"/>
          <w:b/>
          <w:sz w:val="20"/>
        </w:rPr>
        <w:t>Company Valuation Response Date</w:t>
      </w:r>
      <w:r>
        <w:rPr>
          <w:rFonts w:ascii="Times New Roman" w:hAnsi="Times New Roman"/>
          <w:sz w:val="20"/>
        </w:rPr>
        <w:t>”), Parent shall have the right to dispute any part of the Company Valuation Calculation by delivering a written notice to that effect to the Company (a “</w:t>
      </w:r>
      <w:r>
        <w:rPr>
          <w:rFonts w:ascii="Times New Roman" w:hAnsi="Times New Roman"/>
          <w:b/>
          <w:sz w:val="20"/>
        </w:rPr>
        <w:t>Company Valuation Dispute Notice</w:t>
      </w:r>
      <w:r>
        <w:rPr>
          <w:rFonts w:ascii="Times New Roman" w:hAnsi="Times New Roman"/>
          <w:sz w:val="20"/>
        </w:rPr>
        <w:t xml:space="preserve">”)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(e)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2.8(c)</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hAnsi="Times New Roman"/>
          <w:sz w:val="20"/>
          <w:u w:val="single"/>
        </w:rPr>
        <w:t>Section 2.8(d)</w:t>
      </w:r>
      <w:r>
        <w:rPr>
          <w:rFonts w:ascii="Times New Roman" w:hAnsi="Times New Roman"/>
          <w:sz w:val="20"/>
        </w:rPr>
        <w:t xml:space="preserve">, then the Company Valuation Calculation as set forth in the Company Valuation Schedule shall be deemed to have been finally determined for purposes of this Agreement and to represent the Company Valuation at the Company Valuation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hAnsi="Times New Roman"/>
          <w:sz w:val="20"/>
          <w:u w:val="single"/>
        </w:rPr>
        <w:t>Section 2.8(g)</w:t>
      </w:r>
      <w:r>
        <w:rPr>
          <w:rFonts w:ascii="Times New Roman" w:hAnsi="Times New Roman"/>
          <w:sz w:val="20"/>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hAnsi="Times New Roman"/>
          <w:sz w:val="20"/>
          <w:u w:val="single"/>
        </w:rPr>
        <w:t>Section 2.8(h)</w:t>
      </w:r>
      <w:r>
        <w:rPr>
          <w:rFonts w:ascii="Times New Roman" w:hAnsi="Times New Roman"/>
          <w:sz w:val="20"/>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hAnsi="Times New Roman"/>
          <w:sz w:val="20"/>
          <w:u w:val="single"/>
        </w:rPr>
        <w:t>Section 2.8(h)</w:t>
      </w:r>
      <w:r>
        <w:rPr>
          <w:rFonts w:ascii="Times New Roman" w:hAnsi="Times New Roman"/>
          <w:sz w:val="20"/>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hAnsi="Times New Roman"/>
          <w:sz w:val="20"/>
          <w:u w:val="single"/>
        </w:rPr>
        <w:t>Section 2.8(h)</w:t>
      </w:r>
      <w:r>
        <w:rPr>
          <w:rFonts w:ascii="Times New Roman" w:hAnsi="Times New Roman"/>
          <w:sz w:val="20"/>
        </w:rPr>
        <w:t xml:space="preserve">,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 </w:t>
      </w:r>
    </w:p>
    <w:p>
      <w:pPr>
        <w:pStyle w:val="TextBody"/>
        <w:bidi w:val="0"/>
        <w:spacing w:before="240" w:after="0"/>
        <w:jc w:val="left"/>
        <w:rPr>
          <w:rFonts w:ascii="Times New Roman" w:hAnsi="Times New Roman"/>
          <w:sz w:val="20"/>
        </w:rPr>
      </w:pPr>
      <w:bookmarkStart w:id="85" w:name="anxa111069_13"/>
      <w:bookmarkEnd w:id="85"/>
      <w:r>
        <w:rPr>
          <w:rFonts w:ascii="Times New Roman" w:hAnsi="Times New Roman"/>
          <w:sz w:val="20"/>
        </w:rPr>
        <w:t xml:space="preserve">2.9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First Effective Time, Parent shall declare a distribution (the “</w:t>
      </w:r>
      <w:r>
        <w:rPr>
          <w:rFonts w:ascii="Times New Roman" w:hAnsi="Times New Roman"/>
          <w:b/>
          <w:sz w:val="20"/>
        </w:rPr>
        <w:t>Closing Distribution</w:t>
      </w:r>
      <w:r>
        <w:rPr>
          <w:rFonts w:ascii="Times New Roman" w:hAnsi="Times New Roman"/>
          <w:sz w:val="20"/>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hAnsi="Times New Roman"/>
          <w:sz w:val="20"/>
          <w:u w:val="single"/>
        </w:rPr>
        <w:t>Section 6.6(e))</w:t>
      </w:r>
      <w:r>
        <w:rPr>
          <w:rFonts w:ascii="Times New Roman" w:hAnsi="Times New Roman"/>
          <w:sz w:val="20"/>
        </w:rPr>
        <w:t xml:space="preserve"> of the right to receive one contingent value right (each, a “</w:t>
      </w:r>
      <w:r>
        <w:rPr>
          <w:rFonts w:ascii="Times New Roman" w:hAnsi="Times New Roman"/>
          <w:b/>
          <w:sz w:val="20"/>
        </w:rPr>
        <w:t>CVR</w:t>
      </w:r>
      <w:r>
        <w:rPr>
          <w:rFonts w:ascii="Times New Roman" w:hAnsi="Times New Roman"/>
          <w:sz w:val="20"/>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hAnsi="Times New Roman"/>
          <w:b/>
          <w:sz w:val="20"/>
        </w:rPr>
        <w:t>CVR Agreement</w:t>
      </w:r>
      <w:r>
        <w:rPr>
          <w:rFonts w:ascii="Times New Roman" w:hAnsi="Times New Roman"/>
          <w:sz w:val="20"/>
        </w:rPr>
        <w:t xml:space="preserve">”). The record date for the Closing Distribution shall be the close of business on the Business Day prior to the date on which the First Effective Time occurs and the payment date for which shall be three (3) Business Days after the First Effective Time; provided that the payment of such distribution may be conditioned upon the occurrence of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pay all costs and fees associated with any action contemplated by this </w:t>
      </w:r>
      <w:r>
        <w:rPr>
          <w:rFonts w:ascii="Times New Roman" w:hAnsi="Times New Roman"/>
          <w:sz w:val="20"/>
          <w:u w:val="single"/>
        </w:rPr>
        <w:t>Section 2.9</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86" w:name="anxa111069_14"/>
      <w:bookmarkEnd w:id="86"/>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 </w:t>
      </w:r>
    </w:p>
    <w:p>
      <w:pPr>
        <w:pStyle w:val="TextBody"/>
        <w:bidi w:val="0"/>
        <w:spacing w:before="240" w:after="0"/>
        <w:jc w:val="left"/>
        <w:rPr>
          <w:rFonts w:ascii="Times New Roman" w:hAnsi="Times New Roman"/>
          <w:sz w:val="20"/>
        </w:rPr>
      </w:pPr>
      <w:bookmarkStart w:id="87" w:name="anxa111069_15"/>
      <w:bookmarkEnd w:id="87"/>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1.368-3(a). </w:t>
      </w:r>
    </w:p>
    <w:p>
      <w:pPr>
        <w:pStyle w:val="TextBody"/>
        <w:bidi w:val="0"/>
        <w:spacing w:before="240" w:after="0"/>
        <w:jc w:val="left"/>
        <w:rPr>
          <w:rFonts w:ascii="Times New Roman" w:hAnsi="Times New Roman"/>
          <w:sz w:val="20"/>
        </w:rPr>
      </w:pPr>
      <w:bookmarkStart w:id="88" w:name="anxa111069_16"/>
      <w:bookmarkEnd w:id="88"/>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 </w:t>
      </w:r>
    </w:p>
    <w:p>
      <w:pPr>
        <w:pStyle w:val="TextBody"/>
        <w:bidi w:val="0"/>
        <w:spacing w:before="240" w:after="0"/>
        <w:jc w:val="left"/>
        <w:rPr>
          <w:rFonts w:ascii="Times New Roman" w:hAnsi="Times New Roman"/>
          <w:sz w:val="20"/>
        </w:rPr>
      </w:pPr>
      <w:bookmarkStart w:id="89" w:name="anxa111069_17"/>
      <w:bookmarkEnd w:id="89"/>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prompt written notice of any demands by dissenting stockholders or beneficial owners received by the Company, withdrawals of such demands and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90" w:name="anxa111069_18"/>
      <w:bookmarkEnd w:id="90"/>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document delivered by the Company to Parent (the “</w:t>
      </w:r>
      <w:r>
        <w:rPr>
          <w:rFonts w:ascii="Times New Roman" w:hAnsi="Times New Roman"/>
          <w:b/>
          <w:sz w:val="20"/>
        </w:rPr>
        <w:t>Company Disclosure Letter</w:t>
      </w:r>
      <w:r>
        <w:rPr>
          <w:rFonts w:ascii="Times New Roman" w:hAnsi="Times New Roman"/>
          <w:sz w:val="20"/>
        </w:rPr>
        <w:t xml:space="preserve">”) concurrently with the execution of this Agreement, the Company represents and warrants to Parent and Merger Subs as follows: </w:t>
      </w:r>
    </w:p>
    <w:p>
      <w:pPr>
        <w:pStyle w:val="TextBody"/>
        <w:bidi w:val="0"/>
        <w:spacing w:before="120" w:after="0"/>
        <w:jc w:val="left"/>
        <w:rPr>
          <w:rFonts w:ascii="Times New Roman" w:hAnsi="Times New Roman"/>
          <w:sz w:val="20"/>
        </w:rPr>
      </w:pPr>
      <w:bookmarkStart w:id="91" w:name="anxa111069_19"/>
      <w:bookmarkEnd w:id="91"/>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92" w:name="anxa111069_20"/>
      <w:bookmarkEnd w:id="92"/>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93" w:name="anxa111069_21"/>
      <w:bookmarkEnd w:id="93"/>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sz w:val="20"/>
        </w:rPr>
        <w:t xml:space="preserve">.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94" w:name="anxa111069_22"/>
      <w:bookmarkEnd w:id="94"/>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xml:space="preserve">. The affirmative vote (or written consent) of the holders of (a) a majority of the shares of Company Capital Stock outstanding on the record date, voting as a single class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5" w:name="anxa111069_23"/>
      <w:bookmarkEnd w:id="95"/>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representations set forth in </w:t>
      </w:r>
      <w:r>
        <w:rPr>
          <w:rFonts w:ascii="Times New Roman" w:hAnsi="Times New Roman"/>
          <w:sz w:val="20"/>
          <w:u w:val="single"/>
        </w:rPr>
        <w:t>Section 4.5</w:t>
      </w:r>
      <w:r>
        <w:rPr>
          <w:rFonts w:ascii="Times New Roman" w:hAnsi="Times New Roman"/>
          <w:sz w:val="20"/>
        </w:rPr>
        <w:t xml:space="preserve"> hereof, except (i) as set forth in </w:t>
      </w:r>
      <w:r>
        <w:rPr>
          <w:rFonts w:ascii="Times New Roman" w:hAnsi="Times New Roman"/>
          <w:sz w:val="20"/>
          <w:u w:val="single"/>
        </w:rPr>
        <w:t>Section 3.5(a)</w:t>
      </w:r>
      <w:r>
        <w:rPr>
          <w:rFonts w:ascii="Times New Roman" w:hAnsi="Times New Roman"/>
          <w:sz w:val="20"/>
        </w:rPr>
        <w:t xml:space="preserve"> of the Company Disclosure Letter, (ii) the Required Company Stockholder Vote, (iii) compliance with any applicable requirements of the HSR Act (if applicable) and (iv) 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hAnsi="Times New Roman"/>
          <w:sz w:val="20"/>
          <w:u w:val="single"/>
        </w:rPr>
        <w:t>Section 3.5(b)</w:t>
      </w:r>
      <w:r>
        <w:rPr>
          <w:rFonts w:ascii="Times New Roman" w:hAnsi="Times New Roman"/>
          <w:sz w:val="20"/>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state takeover statute or similar Law applies or purports to apply to the Merger, this Agreement, the Company Stockholder Support Agreements or any of the Contemplated Transactions. </w:t>
      </w:r>
    </w:p>
    <w:p>
      <w:pPr>
        <w:pStyle w:val="TextBody"/>
        <w:bidi w:val="0"/>
        <w:spacing w:before="240" w:after="0"/>
        <w:jc w:val="left"/>
        <w:rPr>
          <w:rFonts w:ascii="Times New Roman" w:hAnsi="Times New Roman"/>
          <w:sz w:val="20"/>
        </w:rPr>
      </w:pPr>
      <w:bookmarkStart w:id="96" w:name="anxa111069_24"/>
      <w:bookmarkEnd w:id="96"/>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(i) 122,363,552 shares of Company Common Stock of which 6,000,000 shares have been issued and are outstanding as of the date hereof, and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hAnsi="Times New Roman"/>
          <w:sz w:val="20"/>
          <w:u w:val="single"/>
        </w:rPr>
        <w:t>Section 3.6(a)</w:t>
      </w:r>
      <w:r>
        <w:rPr>
          <w:rFonts w:ascii="Times New Roman" w:hAnsi="Times New Roman"/>
          <w:sz w:val="20"/>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hAnsi="Times New Roman"/>
          <w:sz w:val="20"/>
          <w:u w:val="single"/>
        </w:rPr>
        <w:t>Section 3.6(c)</w:t>
      </w:r>
      <w:r>
        <w:rPr>
          <w:rFonts w:ascii="Times New Roman" w:hAnsi="Times New Roman"/>
          <w:sz w:val="20"/>
        </w:rPr>
        <w:t xml:space="preserve"> of the Company Disclosure Letter, the Company does not have any stock option plan or any other plan, program, agreement or arrangement providing for any equity-based compensation for any Person. </w:t>
      </w:r>
      <w:r>
        <w:rPr>
          <w:rFonts w:ascii="Times New Roman" w:hAnsi="Times New Roman"/>
          <w:sz w:val="20"/>
          <w:u w:val="single"/>
        </w:rPr>
        <w:t>Section 3.6(c)</w:t>
      </w:r>
      <w:r>
        <w:rPr>
          <w:rFonts w:ascii="Times New Roman" w:hAnsi="Times New Roman"/>
          <w:sz w:val="20"/>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97" w:name="anxa111069_25"/>
      <w:bookmarkEnd w:id="97"/>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delivered to Parent accurate and complete copies of its unaudited financial statements for the period ended December 31, 2025 (the “</w:t>
      </w:r>
      <w:r>
        <w:rPr>
          <w:rFonts w:ascii="Times New Roman" w:hAnsi="Times New Roman"/>
          <w:b/>
          <w:sz w:val="20"/>
        </w:rPr>
        <w:t>Balance Sheet Date</w:t>
      </w:r>
      <w:r>
        <w:rPr>
          <w:rFonts w:ascii="Times New Roman" w:hAnsi="Times New Roman"/>
          <w:sz w:val="20"/>
        </w:rPr>
        <w:t>”) (collectively, the “</w:t>
      </w:r>
      <w:r>
        <w:rPr>
          <w:rFonts w:ascii="Times New Roman" w:hAnsi="Times New Roman"/>
          <w:b/>
          <w:sz w:val="20"/>
        </w:rPr>
        <w:t>Company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98" w:name="anxa111069_26"/>
      <w:bookmarkEnd w:id="98"/>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99" w:name="anxa111069_27"/>
      <w:bookmarkEnd w:id="99"/>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Since the Balance Sheet Date,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except for: (a) Liabilities disclosed, reflected or reserved against (or to be disclosed, reflected or reserved against) in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hAnsi="Times New Roman"/>
          <w:sz w:val="20"/>
          <w:u w:val="single"/>
        </w:rPr>
        <w:t>Section 3.9</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0" w:name="anxa111069_28"/>
      <w:bookmarkEnd w:id="100"/>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101" w:name="anxa111069_29"/>
      <w:bookmarkEnd w:id="101"/>
      <w:r>
        <w:rPr>
          <w:rFonts w:ascii="Times New Roman" w:hAnsi="Times New Roman"/>
          <w:sz w:val="20"/>
        </w:rPr>
        <w:t xml:space="preserve">3.11 </w:t>
      </w:r>
      <w:r>
        <w:rPr>
          <w:rFonts w:ascii="Times New Roman" w:hAnsi="Times New Roman"/>
          <w:sz w:val="20"/>
          <w:u w:val="single"/>
        </w:rPr>
        <w:t>Real Property; Leasehold</w:t>
      </w:r>
      <w:r>
        <w:rPr>
          <w:rFonts w:ascii="Times New Roman" w:hAnsi="Times New Roman"/>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the Company or to the Company’s Knowledge, the other party thereto. </w:t>
      </w:r>
    </w:p>
    <w:p>
      <w:pPr>
        <w:pStyle w:val="TextBody"/>
        <w:bidi w:val="0"/>
        <w:spacing w:before="240" w:after="0"/>
        <w:jc w:val="left"/>
        <w:rPr>
          <w:rFonts w:ascii="Times New Roman" w:hAnsi="Times New Roman"/>
          <w:sz w:val="20"/>
        </w:rPr>
      </w:pPr>
      <w:bookmarkStart w:id="102" w:name="anxa111069_30"/>
      <w:bookmarkEnd w:id="102"/>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Letter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3.12(c)</w:t>
      </w:r>
      <w:r>
        <w:rPr>
          <w:rFonts w:ascii="Times New Roman" w:hAnsi="Times New Roman"/>
          <w:sz w:val="20"/>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exclusively owns all right, title and interest to and in Company IP Rights (other than (i) Company IP Rights licensed to the Company, or co-owned rights each as identified in </w:t>
      </w:r>
      <w:r>
        <w:rPr>
          <w:rFonts w:ascii="Times New Roman" w:hAnsi="Times New Roman"/>
          <w:sz w:val="20"/>
          <w:u w:val="single"/>
        </w:rPr>
        <w:t>Section 3.12(e)</w:t>
      </w:r>
      <w:r>
        <w:rPr>
          <w:rFonts w:ascii="Times New Roman" w:hAnsi="Times New Roman"/>
          <w:sz w:val="20"/>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240" w:after="0"/>
        <w:jc w:val="left"/>
        <w:rPr>
          <w:rFonts w:ascii="Times New Roman" w:hAnsi="Times New Roman"/>
          <w:sz w:val="20"/>
        </w:rPr>
      </w:pPr>
      <w:r>
        <w:rPr>
          <w:rFonts w:ascii="Times New Roman" w:hAnsi="Times New Roman"/>
          <w:sz w:val="20"/>
        </w:rPr>
        <w:t xml:space="preserve">(i)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Sections 3.12(b)</w:t>
      </w:r>
      <w:r>
        <w:rPr>
          <w:rFonts w:ascii="Times New Roman" w:hAnsi="Times New Roman"/>
          <w:sz w:val="20"/>
        </w:rPr>
        <w:t xml:space="preserve">, </w:t>
      </w:r>
      <w:r>
        <w:rPr>
          <w:rFonts w:ascii="Times New Roman" w:hAnsi="Times New Roman"/>
          <w:sz w:val="20"/>
          <w:u w:val="single"/>
        </w:rPr>
        <w:t>3.12(c)</w:t>
      </w:r>
      <w:r>
        <w:rPr>
          <w:rFonts w:ascii="Times New Roman" w:hAnsi="Times New Roman"/>
          <w:sz w:val="20"/>
        </w:rPr>
        <w:t xml:space="preserve"> or </w:t>
      </w:r>
      <w:r>
        <w:rPr>
          <w:rFonts w:ascii="Times New Roman" w:hAnsi="Times New Roman"/>
          <w:sz w:val="20"/>
          <w:u w:val="single"/>
        </w:rPr>
        <w:t>3.12(k)</w:t>
      </w:r>
      <w:r>
        <w:rPr>
          <w:rFonts w:ascii="Times New Roman" w:hAnsi="Times New Roman"/>
          <w:sz w:val="20"/>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bookmarkStart w:id="103" w:name="anxa111069_31"/>
      <w:bookmarkEnd w:id="103"/>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Letter lists the following Company Contracts in effect as of the date of this Agreement other than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Company Contract relating to capital expenditures and requiring payments after the date of this Agreement in excess of $250,000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containing any royalty, dividend or similar arrangement based on the revenues or profits of the Company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to which the Company is a party or by which any of its assets and properties is currently bound, which involves annual obligations of payment by, or annual payments to, the Company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entered into in settlement of any Legal Proceeding or other dispute pursuant to which the Company has outstanding obligations to pay consideration in excess of $250,000;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(xiii) Company Real Estate Leases.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104" w:name="anxa111069_32"/>
      <w:bookmarkEnd w:id="104"/>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hAnsi="Times New Roman"/>
          <w:b/>
          <w:sz w:val="20"/>
        </w:rPr>
        <w:t>Drug/Device Regulatory Agency</w:t>
      </w:r>
      <w:r>
        <w:rPr>
          <w:rFonts w:ascii="Times New Roman" w:hAnsi="Times New Roman"/>
          <w:sz w:val="20"/>
        </w:rPr>
        <w:t>”), the Company holds all required Governmental Authorizations for the operation of the business of the Company as 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w:t>
      </w:r>
      <w:r>
        <w:rPr>
          <w:rFonts w:ascii="Times New Roman" w:hAnsi="Times New Roman"/>
          <w:b/>
          <w:sz w:val="20"/>
        </w:rPr>
        <w:t>FDCA</w:t>
      </w:r>
      <w:r>
        <w:rPr>
          <w:rFonts w:ascii="Times New Roman" w:hAnsi="Times New Roman"/>
          <w:sz w:val="20"/>
        </w:rPr>
        <w:t>”), the Public Health Service Act (“</w:t>
      </w:r>
      <w:r>
        <w:rPr>
          <w:rFonts w:ascii="Times New Roman" w:hAnsi="Times New Roman"/>
          <w:b/>
          <w:sz w:val="20"/>
        </w:rPr>
        <w:t>PHSA</w:t>
      </w:r>
      <w:r>
        <w:rPr>
          <w:rFonts w:ascii="Times New Roman" w:hAnsi="Times New Roman"/>
          <w:sz w:val="20"/>
        </w:rPr>
        <w:t xml:space="preserve">”),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hAnsi="Times New Roman"/>
          <w:b/>
          <w:sz w:val="20"/>
        </w:rPr>
        <w:t>Company Product Candidates</w:t>
      </w:r>
      <w:r>
        <w:rPr>
          <w:rFonts w:ascii="Times New Roman" w:hAnsi="Times New Roman"/>
          <w:sz w:val="20"/>
        </w:rPr>
        <w:t>”) (collectively, the “</w:t>
      </w:r>
      <w:r>
        <w:rPr>
          <w:rFonts w:ascii="Times New Roman" w:hAnsi="Times New Roman"/>
          <w:b/>
          <w:sz w:val="20"/>
        </w:rPr>
        <w:t>Company Regulatory Permits</w:t>
      </w:r>
      <w:r>
        <w:rPr>
          <w:rFonts w:ascii="Times New Roman" w:hAnsi="Times New Roman"/>
          <w:sz w:val="20"/>
        </w:rPr>
        <w:t xml:space="preserve">”), and no such Company Regulatory Permit has been (i) revoked, withdrawn, suspended, cancelled or terminated or (ii) modified in any adverse manner, other than immaterial adverse modifications. </w:t>
      </w:r>
      <w:r>
        <w:rPr>
          <w:rFonts w:ascii="Times New Roman" w:hAnsi="Times New Roman"/>
          <w:sz w:val="20"/>
          <w:u w:val="single"/>
        </w:rPr>
        <w:t>Section 3.14(d)</w:t>
      </w:r>
      <w:r>
        <w:rPr>
          <w:rFonts w:ascii="Times New Roman" w:hAnsi="Times New Roman"/>
          <w:sz w:val="20"/>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 </w:t>
      </w:r>
    </w:p>
    <w:p>
      <w:pPr>
        <w:pStyle w:val="TextBody"/>
        <w:bidi w:val="0"/>
        <w:spacing w:before="240" w:after="0"/>
        <w:jc w:val="left"/>
        <w:rPr>
          <w:rFonts w:ascii="Times New Roman" w:hAnsi="Times New Roman"/>
          <w:sz w:val="20"/>
        </w:rPr>
      </w:pPr>
      <w:bookmarkStart w:id="105" w:name="anxa111069_33"/>
      <w:bookmarkEnd w:id="105"/>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 </w:t>
      </w:r>
    </w:p>
    <w:p>
      <w:pPr>
        <w:pStyle w:val="TextBody"/>
        <w:bidi w:val="0"/>
        <w:spacing w:before="240" w:after="0"/>
        <w:jc w:val="left"/>
        <w:rPr>
          <w:rFonts w:ascii="Times New Roman" w:hAnsi="Times New Roman"/>
          <w:sz w:val="20"/>
        </w:rPr>
      </w:pPr>
      <w:bookmarkStart w:id="106" w:name="anxa111069_34"/>
      <w:bookmarkEnd w:id="106"/>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aware of any facts or circumstances and has not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107" w:name="anxa111069_35"/>
      <w:bookmarkEnd w:id="107"/>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employees is terminable by the Company at will. The Company has made available to Parent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(k)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the Company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w:t>
      </w:r>
    </w:p>
    <w:p>
      <w:pPr>
        <w:pStyle w:val="TextBody"/>
        <w:bidi w:val="0"/>
        <w:spacing w:before="240" w:after="0"/>
        <w:jc w:val="left"/>
        <w:rPr>
          <w:rFonts w:ascii="Times New Roman" w:hAnsi="Times New Roman"/>
          <w:sz w:val="20"/>
        </w:rPr>
      </w:pPr>
      <w:bookmarkStart w:id="108" w:name="anxa111069_36"/>
      <w:bookmarkEnd w:id="108"/>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9" w:name="anxa111069_37"/>
      <w:bookmarkEnd w:id="109"/>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110" w:name="anxa111069_38"/>
      <w:bookmarkEnd w:id="110"/>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111" w:name="anxa111069_39"/>
      <w:bookmarkEnd w:id="111"/>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112" w:name="anxa111069_40"/>
      <w:bookmarkEnd w:id="112"/>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hAnsi="Times New Roman"/>
          <w:b/>
          <w:sz w:val="20"/>
        </w:rPr>
        <w:t>Privacy Policies</w:t>
      </w:r>
      <w:r>
        <w:rPr>
          <w:rFonts w:ascii="Times New Roman" w:hAnsi="Times New Roman"/>
          <w:sz w:val="20"/>
        </w:rPr>
        <w:t xml:space="preserve">”)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3" w:name="anxa111069_41"/>
      <w:bookmarkEnd w:id="113"/>
      <w:r>
        <w:rPr>
          <w:rFonts w:ascii="Times New Roman" w:hAnsi="Times New Roman"/>
          <w:sz w:val="20"/>
        </w:rPr>
        <w:t xml:space="preserve">3.23 </w:t>
      </w:r>
      <w:r>
        <w:rPr>
          <w:rFonts w:ascii="Times New Roman" w:hAnsi="Times New Roman"/>
          <w:sz w:val="20"/>
          <w:u w:val="single"/>
        </w:rPr>
        <w:t>Trade Control Laws</w:t>
      </w:r>
      <w:r>
        <w:rPr>
          <w:rFonts w:ascii="Times New Roman" w:hAnsi="Times New Roman"/>
          <w:sz w:val="20"/>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hAnsi="Times New Roman"/>
          <w:b/>
          <w:sz w:val="20"/>
        </w:rPr>
        <w:t>Trade Laws</w:t>
      </w:r>
      <w:r>
        <w:rPr>
          <w:rFonts w:ascii="Times New Roman" w:hAnsi="Times New Roman"/>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hAnsi="Times New Roman"/>
          <w:b/>
          <w:sz w:val="20"/>
        </w:rPr>
        <w:t>Trade Approvals</w:t>
      </w:r>
      <w:r>
        <w:rPr>
          <w:rFonts w:ascii="Times New Roman" w:hAnsi="Times New Roman"/>
          <w:sz w:val="20"/>
        </w:rPr>
        <w:t xml:space="preserve">”). There are no pending or threatened claims against the Company,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14" w:name="anxa111069_42"/>
      <w:bookmarkEnd w:id="114"/>
      <w:r>
        <w:rPr>
          <w:rFonts w:ascii="Times New Roman" w:hAnsi="Times New Roman"/>
          <w:sz w:val="20"/>
        </w:rPr>
        <w:t xml:space="preserve">3.24 </w:t>
      </w:r>
      <w:r>
        <w:rPr>
          <w:rFonts w:ascii="Times New Roman" w:hAnsi="Times New Roman"/>
          <w:sz w:val="20"/>
          <w:u w:val="single"/>
        </w:rPr>
        <w:t>Ownership of Parent Capital Stock</w:t>
      </w:r>
      <w:r>
        <w:rPr>
          <w:rFonts w:ascii="Times New Roman" w:hAnsi="Times New Roman"/>
          <w:sz w:val="20"/>
        </w:rPr>
        <w:t xml:space="preserve">.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 </w:t>
      </w:r>
    </w:p>
    <w:p>
      <w:pPr>
        <w:pStyle w:val="TextBody"/>
        <w:bidi w:val="0"/>
        <w:spacing w:before="240" w:after="0"/>
        <w:jc w:val="left"/>
        <w:rPr>
          <w:rFonts w:ascii="Times New Roman" w:hAnsi="Times New Roman"/>
          <w:sz w:val="20"/>
        </w:rPr>
      </w:pPr>
      <w:bookmarkStart w:id="115" w:name="anxa111069_43"/>
      <w:bookmarkEnd w:id="115"/>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Letter))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116" w:name="anxa111069_44"/>
      <w:bookmarkEnd w:id="116"/>
      <w:r>
        <w:rPr>
          <w:rFonts w:ascii="Times New Roman" w:hAnsi="Times New Roman"/>
          <w:sz w:val="20"/>
        </w:rPr>
        <w:t xml:space="preserve">Section 4. </w:t>
      </w:r>
      <w:r>
        <w:rPr>
          <w:rFonts w:ascii="Times New Roman" w:hAnsi="Times New Roman"/>
          <w:sz w:val="20"/>
          <w:u w:val="single"/>
        </w:rPr>
        <w:t>Representations and Warranties of Parent, First Merger Sub and Second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document delivered by Parent to the Company (the “</w:t>
      </w:r>
      <w:r>
        <w:rPr>
          <w:rFonts w:ascii="Times New Roman" w:hAnsi="Times New Roman"/>
          <w:b/>
          <w:sz w:val="20"/>
        </w:rPr>
        <w:t>Parent Disclosure Letter</w:t>
      </w:r>
      <w:r>
        <w:rPr>
          <w:rFonts w:ascii="Times New Roman" w:hAnsi="Times New Roman"/>
          <w:sz w:val="20"/>
        </w:rPr>
        <w:t xml:space="preserve">”)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 </w:t>
      </w:r>
    </w:p>
    <w:p>
      <w:pPr>
        <w:pStyle w:val="TextBody"/>
        <w:bidi w:val="0"/>
        <w:spacing w:before="240" w:after="0"/>
        <w:jc w:val="left"/>
        <w:rPr>
          <w:rFonts w:ascii="Times New Roman" w:hAnsi="Times New Roman"/>
          <w:sz w:val="20"/>
        </w:rPr>
      </w:pPr>
      <w:bookmarkStart w:id="117" w:name="anxa111069_45"/>
      <w:bookmarkEnd w:id="117"/>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its incorporation, Merger Subs have not engaged in any activities other than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hAnsi="Times New Roman"/>
          <w:sz w:val="20"/>
          <w:u w:val="single"/>
        </w:rPr>
        <w:t>Section 4.1(c)</w:t>
      </w:r>
      <w:r>
        <w:rPr>
          <w:rFonts w:ascii="Times New Roman" w:hAnsi="Times New Roman"/>
          <w:sz w:val="20"/>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118" w:name="anxa111069_46"/>
      <w:bookmarkEnd w:id="118"/>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Parent’s Organizational Documents. Parent is not in breach or violation of its Organizational Documents in any material respect. </w:t>
      </w:r>
    </w:p>
    <w:p>
      <w:pPr>
        <w:pStyle w:val="TextBody"/>
        <w:bidi w:val="0"/>
        <w:spacing w:before="240" w:after="0"/>
        <w:jc w:val="left"/>
        <w:rPr>
          <w:rFonts w:ascii="Times New Roman" w:hAnsi="Times New Roman"/>
          <w:sz w:val="20"/>
        </w:rPr>
      </w:pPr>
      <w:bookmarkStart w:id="119" w:name="anxa111069_47"/>
      <w:bookmarkEnd w:id="119"/>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hAnsi="Times New Roman"/>
          <w:sz w:val="20"/>
          <w:u w:val="single"/>
        </w:rPr>
        <w:t>Section 3.24</w:t>
      </w:r>
      <w:r>
        <w:rPr>
          <w:rFonts w:ascii="Times New Roman" w:hAnsi="Times New Roman"/>
          <w:sz w:val="20"/>
        </w:rPr>
        <w:t xml:space="preserve">, constitutes the legal, valid and binding obligation of Parent and Merger Subs, enforceable against each of Parent and Merger Subs in accordance with its terms, subject to the Enforceability Exceptions. </w:t>
      </w:r>
    </w:p>
    <w:p>
      <w:pPr>
        <w:pStyle w:val="TextBody"/>
        <w:bidi w:val="0"/>
        <w:spacing w:before="240" w:after="0"/>
        <w:jc w:val="left"/>
        <w:rPr>
          <w:rFonts w:ascii="Times New Roman" w:hAnsi="Times New Roman"/>
          <w:sz w:val="20"/>
        </w:rPr>
      </w:pPr>
      <w:bookmarkStart w:id="120" w:name="anxa111069_48"/>
      <w:bookmarkEnd w:id="120"/>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xml:space="preserve">,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change of control of Parent resulting from the Contemplated Transactions, in each case pursuant to the Nasdaq rules and (b) clauses (ii) through (vi)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1" w:name="anxa111069_49"/>
      <w:bookmarkEnd w:id="121"/>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hAnsi="Times New Roman"/>
          <w:sz w:val="20"/>
          <w:u w:val="single"/>
        </w:rPr>
        <w:t>Section 3.5</w:t>
      </w:r>
      <w:r>
        <w:rPr>
          <w:rFonts w:ascii="Times New Roman" w:hAnsi="Times New Roman"/>
          <w:sz w:val="20"/>
        </w:rPr>
        <w:t xml:space="preserve"> hereof, neither (x) the execution, delivery or performance of this Agreement by Parent or Merger Subs,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4.5(a)</w:t>
      </w:r>
      <w:r>
        <w:rPr>
          <w:rFonts w:ascii="Times New Roman" w:hAnsi="Times New Roman"/>
          <w:sz w:val="20"/>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122" w:name="anxa111069_50"/>
      <w:bookmarkEnd w:id="122"/>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Parent Capital Stock consists of (i) 400,000,000 shares of Parent Common Stock, no par value per share, of which 4,330,314 shares have been issued and are outstanding as of March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2026 (the “</w:t>
      </w:r>
      <w:r>
        <w:rPr>
          <w:rFonts w:ascii="Times New Roman" w:hAnsi="Times New Roman"/>
          <w:b/>
          <w:sz w:val="20"/>
        </w:rPr>
        <w:t>Capitalization Date</w:t>
      </w:r>
      <w:r>
        <w:rPr>
          <w:rFonts w:ascii="Times New Roman" w:hAnsi="Times New Roman"/>
          <w:sz w:val="20"/>
        </w:rPr>
        <w:t xml:space="preserve">”),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the 2019 Equity Incentive Plan and Amended and Restated 2010 Employee, Director and Consultant Equity Incentive Plan (as may be amended from time to time, the “</w:t>
      </w:r>
      <w:r>
        <w:rPr>
          <w:rFonts w:ascii="Times New Roman" w:hAnsi="Times New Roman"/>
          <w:b/>
          <w:sz w:val="20"/>
        </w:rPr>
        <w:t>Parent Stock Plans</w:t>
      </w:r>
      <w:r>
        <w:rPr>
          <w:rFonts w:ascii="Times New Roman" w:hAnsi="Times New Roman"/>
          <w:sz w:val="20"/>
        </w:rPr>
        <w:t xml:space="preserve">”), the Parent 2019 Employee Stock Purchase Plan and except as set forth on </w:t>
      </w:r>
      <w:r>
        <w:rPr>
          <w:rFonts w:ascii="Times New Roman" w:hAnsi="Times New Roman"/>
          <w:sz w:val="20"/>
          <w:u w:val="single"/>
        </w:rPr>
        <w:t>Section 4.6(c)</w:t>
      </w:r>
      <w:r>
        <w:rPr>
          <w:rFonts w:ascii="Times New Roman" w:hAnsi="Times New Roman"/>
          <w:sz w:val="20"/>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hAnsi="Times New Roman"/>
          <w:sz w:val="20"/>
          <w:u w:val="single"/>
        </w:rPr>
        <w:t>Section 4.6(c)</w:t>
      </w:r>
      <w:r>
        <w:rPr>
          <w:rFonts w:ascii="Times New Roman" w:hAnsi="Times New Roman"/>
          <w:sz w:val="20"/>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Except for outstanding shares of (x) Parent Preferred Stock, (y) Parent Options or Parent Restricted Stock Awards, or (z) as set forth on </w:t>
      </w:r>
      <w:r>
        <w:rPr>
          <w:rFonts w:ascii="Times New Roman" w:hAnsi="Times New Roman"/>
          <w:sz w:val="20"/>
          <w:u w:val="single"/>
        </w:rPr>
        <w:t>Section 4.6(d)</w:t>
      </w:r>
      <w:r>
        <w:rPr>
          <w:rFonts w:ascii="Times New Roman" w:hAnsi="Times New Roman"/>
          <w:sz w:val="20"/>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hAnsi="Times New Roman"/>
          <w:sz w:val="20"/>
          <w:u w:val="single"/>
        </w:rPr>
        <w:t>Section 4.6(d)</w:t>
      </w:r>
      <w:r>
        <w:rPr>
          <w:rFonts w:ascii="Times New Roman" w:hAnsi="Times New Roman"/>
          <w:sz w:val="20"/>
        </w:rPr>
        <w:t xml:space="preserve"> of the Parent Disclosure Letter,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hAnsi="Times New Roman"/>
          <w:b/>
          <w:sz w:val="20"/>
        </w:rPr>
        <w:t>Parent Grant Date</w:t>
      </w:r>
      <w:r>
        <w:rPr>
          <w:rFonts w:ascii="Times New Roman" w:hAnsi="Times New Roman"/>
          <w:sz w:val="20"/>
        </w:rPr>
        <w:t xml:space="preserv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 </w:t>
      </w:r>
    </w:p>
    <w:p>
      <w:pPr>
        <w:pStyle w:val="TextBody"/>
        <w:bidi w:val="0"/>
        <w:spacing w:before="240" w:after="0"/>
        <w:jc w:val="left"/>
        <w:rPr>
          <w:rFonts w:ascii="Times New Roman" w:hAnsi="Times New Roman"/>
          <w:sz w:val="20"/>
        </w:rPr>
      </w:pPr>
      <w:bookmarkStart w:id="123" w:name="anxa111069_51"/>
      <w:bookmarkEnd w:id="123"/>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Parent Disclosure Letter (“</w:t>
      </w:r>
      <w:r>
        <w:rPr>
          <w:rFonts w:ascii="Times New Roman" w:hAnsi="Times New Roman"/>
          <w:b/>
          <w:sz w:val="20"/>
        </w:rPr>
        <w:t>Prior Nasdaq Notice</w:t>
      </w:r>
      <w:r>
        <w:rPr>
          <w:rFonts w:ascii="Times New Roman" w:hAnsi="Times New Roman"/>
          <w:sz w:val="20"/>
        </w:rPr>
        <w:t xml:space="preserve">”), Parent has not received any comment letter from the SEC or the staff thereof or any correspondence from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bookmarkStart w:id="124" w:name="anxa111069_52"/>
      <w:bookmarkEnd w:id="124"/>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25" w:name="anxa111069_53"/>
      <w:bookmarkEnd w:id="125"/>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w:t>
      </w:r>
      <w:r>
        <w:rPr>
          <w:rFonts w:ascii="Times New Roman" w:hAnsi="Times New Roman"/>
          <w:sz w:val="20"/>
          <w:u w:val="single"/>
        </w:rPr>
        <w:t>Section 4.9</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26" w:name="anxa111069_54"/>
      <w:bookmarkEnd w:id="126"/>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127" w:name="anxa111069_55"/>
      <w:bookmarkEnd w:id="127"/>
      <w:r>
        <w:rPr>
          <w:rFonts w:ascii="Times New Roman" w:hAnsi="Times New Roman"/>
          <w:sz w:val="20"/>
        </w:rPr>
        <w:t xml:space="preserve">4.11 </w:t>
      </w:r>
      <w:r>
        <w:rPr>
          <w:rFonts w:ascii="Times New Roman" w:hAnsi="Times New Roman"/>
          <w:sz w:val="20"/>
          <w:u w:val="single"/>
        </w:rPr>
        <w:t>Real Property</w:t>
      </w:r>
      <w:r>
        <w:rPr>
          <w:rFonts w:ascii="Times New Roman" w:hAnsi="Times New Roman"/>
          <w:sz w:val="20"/>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Parent or its Subsidiaries or, to Parent’s Knowledge, the other party thereto. </w:t>
      </w:r>
    </w:p>
    <w:p>
      <w:pPr>
        <w:pStyle w:val="TextBody"/>
        <w:bidi w:val="0"/>
        <w:spacing w:before="240" w:after="0"/>
        <w:jc w:val="left"/>
        <w:rPr>
          <w:rFonts w:ascii="Times New Roman" w:hAnsi="Times New Roman"/>
          <w:sz w:val="20"/>
        </w:rPr>
      </w:pPr>
      <w:bookmarkStart w:id="128" w:name="anxa111069_56"/>
      <w:bookmarkEnd w:id="128"/>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Letter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4.12(c)</w:t>
      </w:r>
      <w:r>
        <w:rPr>
          <w:rFonts w:ascii="Times New Roman" w:hAnsi="Times New Roman"/>
          <w:sz w:val="20"/>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Parent or one of its Subsidiaries exclusively owns all right, title, and interest to and in the Parent IP Rights (other than (i) Parent IP Rights licensed to Parent, or co-owned rights each as identified in </w:t>
      </w:r>
      <w:r>
        <w:rPr>
          <w:rFonts w:ascii="Times New Roman" w:hAnsi="Times New Roman"/>
          <w:sz w:val="20"/>
          <w:u w:val="single"/>
        </w:rPr>
        <w:t>Section 4.12(e)</w:t>
      </w:r>
      <w:r>
        <w:rPr>
          <w:rFonts w:ascii="Times New Roman" w:hAnsi="Times New Roman"/>
          <w:sz w:val="20"/>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any of its Subsidiaries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each of its Subsidiaries has taken reasonable steps to maintain the confidentiality of and otherwise protect and enforce its rights in all proprietary information that Parent or such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Parent or any of its Subsidiaries has not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Parent has delivered, or made available to the Company, a complete and accurate copy of all material Parent IP Rights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p>
    <w:p>
      <w:pPr>
        <w:pStyle w:val="TextBody"/>
        <w:bidi w:val="0"/>
        <w:spacing w:before="240" w:after="0"/>
        <w:jc w:val="left"/>
        <w:rPr>
          <w:rFonts w:ascii="Times New Roman" w:hAnsi="Times New Roman"/>
          <w:sz w:val="20"/>
        </w:rPr>
      </w:pPr>
      <w:r>
        <w:rPr>
          <w:rFonts w:ascii="Times New Roman" w:hAnsi="Times New Roman"/>
          <w:sz w:val="20"/>
        </w:rPr>
        <w:t xml:space="preserve">(j) Except as may be set forth in the Contracts listed on </w:t>
      </w:r>
      <w:r>
        <w:rPr>
          <w:rFonts w:ascii="Times New Roman" w:hAnsi="Times New Roman"/>
          <w:sz w:val="20"/>
          <w:u w:val="single"/>
        </w:rPr>
        <w:t>Section 4.12(b)</w:t>
      </w:r>
      <w:r>
        <w:rPr>
          <w:rFonts w:ascii="Times New Roman" w:hAnsi="Times New Roman"/>
          <w:sz w:val="20"/>
        </w:rPr>
        <w:t xml:space="preserve">, </w:t>
      </w:r>
      <w:r>
        <w:rPr>
          <w:rFonts w:ascii="Times New Roman" w:hAnsi="Times New Roman"/>
          <w:sz w:val="20"/>
          <w:u w:val="single"/>
        </w:rPr>
        <w:t>4.12(c)</w:t>
      </w:r>
      <w:r>
        <w:rPr>
          <w:rFonts w:ascii="Times New Roman" w:hAnsi="Times New Roman"/>
          <w:sz w:val="20"/>
        </w:rPr>
        <w:t xml:space="preserve"> or </w:t>
      </w:r>
      <w:r>
        <w:rPr>
          <w:rFonts w:ascii="Times New Roman" w:hAnsi="Times New Roman"/>
          <w:sz w:val="20"/>
          <w:u w:val="single"/>
        </w:rPr>
        <w:t>4.12(k)</w:t>
      </w:r>
      <w:r>
        <w:rPr>
          <w:rFonts w:ascii="Times New Roman" w:hAnsi="Times New Roman"/>
          <w:sz w:val="20"/>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bookmarkStart w:id="129" w:name="anxa111069_57"/>
      <w:bookmarkEnd w:id="129"/>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w:t>
      </w:r>
      <w:r>
        <w:rPr>
          <w:rFonts w:ascii="Times New Roman" w:hAnsi="Times New Roman"/>
          <w:sz w:val="20"/>
        </w:rPr>
        <w:t xml:space="preserve"> of the Parent Disclosure Letter identifies each Parent Contract that is in effect as of the date of this Agreement other than a Parent Employee Plan (each, an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containing any royalty, dividend or similar arrangement based on the revenues or profits of Parent,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relating to the disposition or acquisition of material assets or any ownership interest in any Entity, in each case, involving payments in excess of $100,000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entered into in settlement of any Legal Proceeding or other dispute pursuant to which Parent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(xii)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(xiii) any Parent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Letter;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bookmarkStart w:id="130" w:name="anxa111069_58"/>
      <w:bookmarkEnd w:id="130"/>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sale, marketing, advertising, distribution and importation or exportation, as currently conducted, of any of its product candidates (the “</w:t>
      </w:r>
      <w:r>
        <w:rPr>
          <w:rFonts w:ascii="Times New Roman" w:hAnsi="Times New Roman"/>
          <w:b/>
          <w:sz w:val="20"/>
        </w:rPr>
        <w:t>Parent Product Candidates</w:t>
      </w:r>
      <w:r>
        <w:rPr>
          <w:rFonts w:ascii="Times New Roman" w:hAnsi="Times New Roman"/>
          <w:sz w:val="20"/>
        </w:rPr>
        <w:t>”) (the “</w:t>
      </w:r>
      <w:r>
        <w:rPr>
          <w:rFonts w:ascii="Times New Roman" w:hAnsi="Times New Roman"/>
          <w:b/>
          <w:sz w:val="20"/>
        </w:rPr>
        <w:t>Parent Regulatory Permits</w:t>
      </w:r>
      <w:r>
        <w:rPr>
          <w:rFonts w:ascii="Times New Roman" w:hAnsi="Times New Roman"/>
          <w:sz w:val="20"/>
        </w:rPr>
        <w:t xml:space="preserve">”), and no such Parent Regulatory Permit has been (i) revoked, withdrawn, suspended, cancelled or terminated or (ii) modified in any adverse manner other than immaterial adverse modifications. </w:t>
      </w:r>
      <w:r>
        <w:rPr>
          <w:rFonts w:ascii="Times New Roman" w:hAnsi="Times New Roman"/>
          <w:sz w:val="20"/>
          <w:u w:val="single"/>
        </w:rPr>
        <w:t>Section 4.14(d)</w:t>
      </w:r>
      <w:r>
        <w:rPr>
          <w:rFonts w:ascii="Times New Roman" w:hAnsi="Times New Roman"/>
          <w:sz w:val="20"/>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threatened against Parent, any of its Subsidiaries, and to the Knowledge of the Parent, any contract manufacturer with respect to any Parent Product Candidate, or any of its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 </w:t>
      </w:r>
    </w:p>
    <w:p>
      <w:pPr>
        <w:pStyle w:val="TextBody"/>
        <w:bidi w:val="0"/>
        <w:spacing w:before="240" w:after="0"/>
        <w:jc w:val="left"/>
        <w:rPr>
          <w:rFonts w:ascii="Times New Roman" w:hAnsi="Times New Roman"/>
          <w:sz w:val="20"/>
        </w:rPr>
      </w:pPr>
      <w:bookmarkStart w:id="131" w:name="anxa111069_59"/>
      <w:bookmarkEnd w:id="131"/>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 </w:t>
      </w:r>
    </w:p>
    <w:p>
      <w:pPr>
        <w:pStyle w:val="TextBody"/>
        <w:bidi w:val="0"/>
        <w:spacing w:before="240" w:after="0"/>
        <w:jc w:val="left"/>
        <w:rPr>
          <w:rFonts w:ascii="Times New Roman" w:hAnsi="Times New Roman"/>
          <w:sz w:val="20"/>
        </w:rPr>
      </w:pPr>
      <w:bookmarkStart w:id="132" w:name="anxa111069_60"/>
      <w:bookmarkEnd w:id="132"/>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or any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Parent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is aware of any facts or circumstances or has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133" w:name="anxa111069_61"/>
      <w:bookmarkEnd w:id="133"/>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Parent or any of its Subsidiaries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 </w:t>
      </w:r>
    </w:p>
    <w:p>
      <w:pPr>
        <w:pStyle w:val="TextBody"/>
        <w:bidi w:val="0"/>
        <w:spacing w:before="240" w:after="0"/>
        <w:jc w:val="left"/>
        <w:rPr>
          <w:rFonts w:ascii="Times New Roman" w:hAnsi="Times New Roman"/>
          <w:sz w:val="20"/>
        </w:rPr>
      </w:pPr>
      <w:bookmarkStart w:id="134" w:name="anxa111069_62"/>
      <w:bookmarkEnd w:id="134"/>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documents in the Parent’s possession or control relating to the Parent and its Subsidiaries, including the Parent’s and its Subsidiaries’ business and current or former facilities. </w:t>
      </w:r>
    </w:p>
    <w:p>
      <w:pPr>
        <w:pStyle w:val="TextBody"/>
        <w:bidi w:val="0"/>
        <w:spacing w:before="240" w:after="0"/>
        <w:jc w:val="left"/>
        <w:rPr>
          <w:rFonts w:ascii="Times New Roman" w:hAnsi="Times New Roman"/>
          <w:sz w:val="20"/>
        </w:rPr>
      </w:pPr>
      <w:bookmarkStart w:id="135" w:name="anxa111069_63"/>
      <w:bookmarkEnd w:id="135"/>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bookmarkStart w:id="136" w:name="anxa111069_64"/>
      <w:bookmarkEnd w:id="136"/>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p>
    <w:p>
      <w:pPr>
        <w:pStyle w:val="TextBody"/>
        <w:bidi w:val="0"/>
        <w:spacing w:before="240" w:after="0"/>
        <w:jc w:val="left"/>
        <w:rPr>
          <w:rFonts w:ascii="Times New Roman" w:hAnsi="Times New Roman"/>
          <w:sz w:val="20"/>
        </w:rPr>
      </w:pPr>
      <w:bookmarkStart w:id="137" w:name="anxa111069_65"/>
      <w:bookmarkEnd w:id="137"/>
      <w:r>
        <w:rPr>
          <w:rFonts w:ascii="Times New Roman" w:hAnsi="Times New Roman"/>
          <w:sz w:val="20"/>
        </w:rPr>
        <w:t xml:space="preserve">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bookmarkStart w:id="138" w:name="anxa111069_66"/>
      <w:bookmarkEnd w:id="138"/>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 </w:t>
      </w:r>
    </w:p>
    <w:p>
      <w:pPr>
        <w:pStyle w:val="TextBody"/>
        <w:bidi w:val="0"/>
        <w:spacing w:before="240" w:after="0"/>
        <w:jc w:val="left"/>
        <w:rPr>
          <w:rFonts w:ascii="Times New Roman" w:hAnsi="Times New Roman"/>
          <w:sz w:val="20"/>
        </w:rPr>
      </w:pPr>
      <w:bookmarkStart w:id="139" w:name="anxa111069_67"/>
      <w:bookmarkEnd w:id="139"/>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 </w:t>
      </w:r>
    </w:p>
    <w:p>
      <w:pPr>
        <w:pStyle w:val="TextBody"/>
        <w:bidi w:val="0"/>
        <w:spacing w:before="240" w:after="0"/>
        <w:jc w:val="left"/>
        <w:rPr>
          <w:rFonts w:ascii="Times New Roman" w:hAnsi="Times New Roman"/>
          <w:sz w:val="20"/>
        </w:rPr>
      </w:pPr>
      <w:bookmarkStart w:id="140" w:name="anxa111069_68"/>
      <w:bookmarkEnd w:id="140"/>
      <w:r>
        <w:rPr>
          <w:rFonts w:ascii="Times New Roman" w:hAnsi="Times New Roman"/>
          <w:sz w:val="20"/>
        </w:rPr>
        <w:t xml:space="preserve">4.24 </w:t>
      </w:r>
      <w:r>
        <w:rPr>
          <w:rFonts w:ascii="Times New Roman" w:hAnsi="Times New Roman"/>
          <w:sz w:val="20"/>
          <w:u w:val="single"/>
        </w:rPr>
        <w:t>Trade Control Laws</w:t>
      </w:r>
      <w:r>
        <w:rPr>
          <w:rFonts w:ascii="Times New Roman" w:hAnsi="Times New Roman"/>
          <w:sz w:val="20"/>
        </w:rPr>
        <w:t xml:space="preserve">.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41" w:name="anxa111069_69"/>
      <w:bookmarkEnd w:id="141"/>
      <w:r>
        <w:rPr>
          <w:rFonts w:ascii="Times New Roman" w:hAnsi="Times New Roman"/>
          <w:sz w:val="20"/>
        </w:rPr>
        <w:t xml:space="preserve">4.25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Letter)) none of Parent, Merger Subs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142" w:name="anxa111069_70"/>
      <w:bookmarkEnd w:id="142"/>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3" w:name="anxa111069_71"/>
      <w:bookmarkEnd w:id="143"/>
      <w:r>
        <w:rPr>
          <w:rFonts w:ascii="Times New Roman" w:hAnsi="Times New Roman"/>
          <w:sz w:val="20"/>
        </w:rPr>
        <w:t xml:space="preserve">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in </w:t>
      </w:r>
      <w:r>
        <w:rPr>
          <w:rFonts w:ascii="Times New Roman" w:hAnsi="Times New Roman"/>
          <w:sz w:val="20"/>
          <w:u w:val="single"/>
        </w:rPr>
        <w:t>Section 5.1(a)</w:t>
      </w:r>
      <w:r>
        <w:rPr>
          <w:rFonts w:ascii="Times New Roman" w:hAnsi="Times New Roman"/>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First Effective Time (the “</w:t>
      </w:r>
      <w:r>
        <w:rPr>
          <w:rFonts w:ascii="Times New Roman" w:hAnsi="Times New Roman"/>
          <w:b/>
          <w:sz w:val="20"/>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 </w:t>
      </w:r>
    </w:p>
    <w:p>
      <w:pPr>
        <w:pStyle w:val="TextBody"/>
        <w:bidi w:val="0"/>
        <w:spacing w:before="120" w:after="0"/>
        <w:jc w:val="left"/>
        <w:rPr>
          <w:rFonts w:ascii="Times New Roman" w:hAnsi="Times New Roman"/>
          <w:sz w:val="20"/>
        </w:rPr>
      </w:pPr>
      <w:r>
        <w:rPr>
          <w:rFonts w:ascii="Times New Roman" w:hAnsi="Times New Roman"/>
          <w:sz w:val="20"/>
        </w:rPr>
        <w:t xml:space="preserve">(vii)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sell, assign, transfer, license, sublicense or otherwise dispose of any material Parent IP Rights (other than pursuant to non-exclusive licenses in the Ordinary Course of Business or pursuant to the consummation of any Parent Legacy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(xiii)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delay or fail to repay when due any material obligation, including accounts payable and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enter into, amend in a manner adverse to Parent or terminate any Parent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xml:space="preserve">), Parent: </w:t>
      </w:r>
    </w:p>
    <w:p>
      <w:pPr>
        <w:pStyle w:val="TextBody"/>
        <w:bidi w:val="0"/>
        <w:spacing w:before="120" w:after="0"/>
        <w:jc w:val="left"/>
        <w:rPr>
          <w:rFonts w:ascii="Times New Roman" w:hAnsi="Times New Roman"/>
          <w:sz w:val="20"/>
        </w:rPr>
      </w:pPr>
      <w:r>
        <w:rPr>
          <w:rFonts w:ascii="Times New Roman" w:hAnsi="Times New Roman"/>
          <w:sz w:val="20"/>
        </w:rPr>
        <w:t>(i) 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hAnsi="Times New Roman"/>
          <w:b/>
          <w:sz w:val="20"/>
        </w:rPr>
        <w:t>Parent Legacy Transaction</w:t>
      </w:r>
      <w:r>
        <w:rPr>
          <w:rFonts w:ascii="Times New Roman" w:hAnsi="Times New Roman"/>
          <w:sz w:val="20"/>
        </w:rPr>
        <w:t xml:space="preserve">”) and, in connection with any Parent Legacy Transaction, (A) 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 </w:t>
      </w:r>
    </w:p>
    <w:p>
      <w:pPr>
        <w:pStyle w:val="TextBody"/>
        <w:bidi w:val="0"/>
        <w:spacing w:before="120" w:after="0"/>
        <w:jc w:val="left"/>
        <w:rPr>
          <w:rFonts w:ascii="Times New Roman" w:hAnsi="Times New Roman"/>
          <w:sz w:val="20"/>
        </w:rPr>
      </w:pPr>
      <w:r>
        <w:rPr>
          <w:rFonts w:ascii="Times New Roman" w:hAnsi="Times New Roman"/>
          <w:sz w:val="20"/>
        </w:rPr>
        <w:t xml:space="preserve">(ii) 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hAnsi="Times New Roman"/>
          <w:sz w:val="20"/>
          <w:u w:val="single"/>
        </w:rPr>
        <w:t>Section 2.8</w:t>
      </w:r>
      <w:r>
        <w:rPr>
          <w:rFonts w:ascii="Times New Roman" w:hAnsi="Times New Roman"/>
          <w:sz w:val="20"/>
        </w:rPr>
        <w:t>, equal to the aggregate of Parent’s reasonable, good faith approximation of the amount by which Parent Net Cash will exceed $0 (such dividend, the “</w:t>
      </w:r>
      <w:r>
        <w:rPr>
          <w:rFonts w:ascii="Times New Roman" w:hAnsi="Times New Roman"/>
          <w:b/>
          <w:sz w:val="20"/>
        </w:rPr>
        <w:t>Parent Pre-Closing Dividend</w:t>
      </w:r>
      <w:r>
        <w:rPr>
          <w:rFonts w:ascii="Times New Roman" w:hAnsi="Times New Roman"/>
          <w:sz w:val="20"/>
        </w:rPr>
        <w:t>” and such amount, the “</w:t>
      </w:r>
      <w:r>
        <w:rPr>
          <w:rFonts w:ascii="Times New Roman" w:hAnsi="Times New Roman"/>
          <w:b/>
          <w:sz w:val="20"/>
        </w:rPr>
        <w:t>Parent Pre-Closing Dividend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4" w:name="anxa111069_72"/>
      <w:bookmarkEnd w:id="144"/>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or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5.2</w:t>
      </w:r>
      <w:r>
        <w:rPr>
          <w:rFonts w:ascii="Times New Roman" w:hAnsi="Times New Roman"/>
          <w:sz w:val="20"/>
        </w:rPr>
        <w:t xml:space="preserve"> shall be construed to permit the Company to take any action that is expressly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or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Letter, (iii) as required by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other than in the Ordinary Course of Business,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or (C) guarantee any debt securities of others;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license or otherwise irrevocably dispose of any of its assets or properties, or grant any Encumbrance with respect to such assets or properties,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assign, transfer, license, sublicense or otherwise dispose of any material Company IP Rights (other than pursuant to non-exclusive licenses); </w:t>
      </w:r>
    </w:p>
    <w:p>
      <w:pPr>
        <w:pStyle w:val="TextBody"/>
        <w:bidi w:val="0"/>
        <w:spacing w:before="120" w:after="0"/>
        <w:jc w:val="left"/>
        <w:rPr>
          <w:rFonts w:ascii="Times New Roman" w:hAnsi="Times New Roman"/>
          <w:sz w:val="20"/>
        </w:rPr>
      </w:pPr>
      <w:r>
        <w:rPr>
          <w:rFonts w:ascii="Times New Roman" w:hAnsi="Times New Roman"/>
          <w:sz w:val="20"/>
        </w:rPr>
        <w:t xml:space="preserve">(viii)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in a manner adverse to the Company or terminate any Company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45" w:name="anxa111069_73"/>
      <w:bookmarkEnd w:id="145"/>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146" w:name="anxa111069_74"/>
      <w:bookmarkEnd w:id="146"/>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hAnsi="Times New Roman"/>
          <w:sz w:val="20"/>
          <w:u w:val="single"/>
        </w:rPr>
        <w:t>Section 5.4</w:t>
      </w:r>
      <w:r>
        <w:rPr>
          <w:rFonts w:ascii="Times New Roman" w:hAnsi="Times New Roman"/>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 however</w:t>
      </w:r>
      <w:r>
        <w:rPr>
          <w:rFonts w:ascii="Times New Roman" w:hAnsi="Times New Roman"/>
          <w:sz w:val="20"/>
        </w:rPr>
        <w:t xml:space="preserve">, that, (x) any public disclosures made in compliance with </w:t>
      </w:r>
      <w:r>
        <w:rPr>
          <w:rFonts w:ascii="Times New Roman" w:hAnsi="Times New Roman"/>
          <w:sz w:val="20"/>
          <w:u w:val="single"/>
        </w:rPr>
        <w:t>Section 6.3</w:t>
      </w:r>
      <w:r>
        <w:rPr>
          <w:rFonts w:ascii="Times New Roman" w:hAnsi="Times New Roman"/>
          <w:sz w:val="20"/>
        </w:rPr>
        <w:t xml:space="preserve">(e) shall not constitute a violation of this </w:t>
      </w:r>
      <w:r>
        <w:rPr>
          <w:rFonts w:ascii="Times New Roman" w:hAnsi="Times New Roman"/>
          <w:sz w:val="20"/>
          <w:u w:val="single"/>
        </w:rPr>
        <w:t>Section 5.4</w:t>
      </w:r>
      <w:r>
        <w:rPr>
          <w:rFonts w:ascii="Times New Roman" w:hAnsi="Times New Roman"/>
          <w:sz w:val="20"/>
        </w:rPr>
        <w:t xml:space="preserve"> and (y)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 </w:t>
      </w:r>
    </w:p>
    <w:p>
      <w:pPr>
        <w:pStyle w:val="TextBody"/>
        <w:bidi w:val="0"/>
        <w:spacing w:before="240" w:after="0"/>
        <w:jc w:val="left"/>
        <w:rPr>
          <w:rFonts w:ascii="Times New Roman" w:hAnsi="Times New Roman"/>
          <w:sz w:val="20"/>
        </w:rPr>
      </w:pPr>
      <w:bookmarkStart w:id="147" w:name="anxa111069_75"/>
      <w:bookmarkEnd w:id="147"/>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made with such Party’s Knowledge that such failure to provide notice would reasonably be expected to constitute a breach of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8" w:name="anxa111069_76"/>
      <w:bookmarkEnd w:id="148"/>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9" w:name="anxa111069_77"/>
      <w:bookmarkEnd w:id="149"/>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Parent,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a proxy statement relating to the Parent Shareholder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under the Securities Act of the shares of Parent Common Stock (including any Parent Common Stock issuable upon (I) conversion of the Parent Convertible Preferred Stock or (II)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bookmarkStart w:id="150" w:name="anxa111069_78"/>
      <w:bookmarkEnd w:id="150"/>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shall be subject to Parent’s advance review (the period of time starting upon delivery of any such materials to Parent and ending upon resolution of any good faith comments raised by Parent, the “</w:t>
      </w:r>
      <w:r>
        <w:rPr>
          <w:rFonts w:ascii="Times New Roman" w:hAnsi="Times New Roman"/>
          <w:b/>
          <w:sz w:val="20"/>
        </w:rPr>
        <w:t>Company Stockholder Consent Review Period</w:t>
      </w:r>
      <w:r>
        <w:rPr>
          <w:rFonts w:ascii="Times New Roman" w:hAnsi="Times New Roman"/>
          <w:sz w:val="20"/>
        </w:rPr>
        <w:t xml:space="preserve">”), and the Company shall consider in good faith any comments raised by Parent in connection with Parent’s review.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subject to </w:t>
      </w:r>
      <w:r>
        <w:rPr>
          <w:rFonts w:ascii="Times New Roman" w:hAnsi="Times New Roman"/>
          <w:sz w:val="20"/>
          <w:u w:val="single"/>
        </w:rPr>
        <w:t>Section 6.2(d)</w:t>
      </w:r>
      <w:r>
        <w:rPr>
          <w:rFonts w:ascii="Times New Roman" w:hAnsi="Times New Roman"/>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hAnsi="Times New Roman"/>
          <w:b/>
          <w:sz w:val="20"/>
        </w:rPr>
        <w:t>Company Intervening Event</w:t>
      </w:r>
      <w:r>
        <w:rPr>
          <w:rFonts w:ascii="Times New Roman" w:hAnsi="Times New Roman"/>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 w:hAnsi="Times New Roman"/>
          <w:b/>
          <w:sz w:val="20"/>
        </w:rPr>
        <w:t>Company Board Adverse Recommendation Change</w:t>
      </w:r>
      <w:r>
        <w:rPr>
          <w:rFonts w:ascii="Times New Roman" w:hAnsi="Times New Roman"/>
          <w:sz w:val="20"/>
        </w:rPr>
        <w:t>”)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hAnsi="Times New Roman"/>
          <w:sz w:val="20"/>
          <w:u w:val="single"/>
        </w:rPr>
        <w:t>Section 6.2(d)</w:t>
      </w:r>
      <w:r>
        <w:rPr>
          <w:rFonts w:ascii="Times New Roman" w:hAnsi="Times New Roman"/>
          <w:sz w:val="20"/>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 </w:t>
      </w:r>
    </w:p>
    <w:p>
      <w:pPr>
        <w:pStyle w:val="TextBody"/>
        <w:bidi w:val="0"/>
        <w:spacing w:before="240" w:after="0"/>
        <w:jc w:val="left"/>
        <w:rPr>
          <w:rFonts w:ascii="Times New Roman" w:hAnsi="Times New Roman"/>
          <w:sz w:val="20"/>
        </w:rPr>
      </w:pPr>
      <w:bookmarkStart w:id="151" w:name="anxa111069_79"/>
      <w:bookmarkEnd w:id="151"/>
      <w:r>
        <w:rPr>
          <w:rFonts w:ascii="Times New Roman" w:hAnsi="Times New Roman"/>
          <w:sz w:val="20"/>
        </w:rPr>
        <w:t xml:space="preserve">6.3 </w:t>
      </w:r>
      <w:r>
        <w:rPr>
          <w:rFonts w:ascii="Times New Roman" w:hAnsi="Times New Roman"/>
          <w:sz w:val="20"/>
          <w:u w:val="single"/>
        </w:rPr>
        <w:t>Parent Shareholder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hAnsi="Times New Roman"/>
          <w:b/>
          <w:sz w:val="20"/>
        </w:rPr>
        <w:t>Parent Shareholder Matters</w:t>
      </w:r>
      <w:r>
        <w:rPr>
          <w:rFonts w:ascii="Times New Roman" w:hAnsi="Times New Roman"/>
          <w:sz w:val="20"/>
        </w:rPr>
        <w:t>” and such meeting, the “</w:t>
      </w:r>
      <w:r>
        <w:rPr>
          <w:rFonts w:ascii="Times New Roman" w:hAnsi="Times New Roman"/>
          <w:b/>
          <w:sz w:val="20"/>
        </w:rPr>
        <w:t>Parent Shareholder Meeting</w:t>
      </w:r>
      <w:r>
        <w:rPr>
          <w:rFonts w:ascii="Times New Roman" w:hAnsi="Times New Roman"/>
          <w:sz w:val="20"/>
        </w:rPr>
        <w:t xml:space="preserve">”). The Parent Shareholder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 </w:t>
      </w:r>
    </w:p>
    <w:p>
      <w:pPr>
        <w:pStyle w:val="TextBody"/>
        <w:bidi w:val="0"/>
        <w:spacing w:before="24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statement to the effect that the Parent Board recommends that Parent’s shareholders vote to approve the Parent Shareholder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Section 6.3(b),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Parent Board may withhold, amend, withdraw or modify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Board Recommendation (or publicly propose to withhold, amend, withdraw or modify the Parent Board Recommendation) in a manner adverse to the Company (a “</w:t>
      </w:r>
      <w:r>
        <w:rPr>
          <w:rFonts w:ascii="Times New Roman" w:hAnsi="Times New Roman"/>
          <w:b/>
          <w:sz w:val="20"/>
        </w:rPr>
        <w:t>Parent Board Adverse Recommendation Change</w:t>
      </w:r>
      <w:r>
        <w:rPr>
          <w:rFonts w:ascii="Times New Roman" w:hAnsi="Times New Roman"/>
          <w:sz w:val="20"/>
        </w:rPr>
        <w:t>”) if, at any time prior to approval and adoption of this Agreement by the Required Parent Shareholder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hAnsi="Times New Roman"/>
          <w:b/>
          <w:sz w:val="20"/>
        </w:rPr>
        <w:t>Parent Intervening Event</w:t>
      </w:r>
      <w:r>
        <w:rPr>
          <w:rFonts w:ascii="Times New Roman" w:hAnsi="Times New Roman"/>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Shareholder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Acquisition Proposal or Acquisition Inquiry,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(i)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hAnsi="Times New Roman"/>
          <w:sz w:val="20"/>
          <w:u w:val="single"/>
        </w:rPr>
        <w:t>Section 5.4</w:t>
      </w:r>
      <w:r>
        <w:rPr>
          <w:rFonts w:ascii="Times New Roman" w:hAnsi="Times New Roman"/>
          <w:sz w:val="20"/>
        </w:rPr>
        <w:t xml:space="preserve">;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 </w:t>
      </w:r>
    </w:p>
    <w:p>
      <w:pPr>
        <w:pStyle w:val="TextBody"/>
        <w:bidi w:val="0"/>
        <w:spacing w:before="240" w:after="0"/>
        <w:jc w:val="left"/>
        <w:rPr>
          <w:rFonts w:ascii="Times New Roman" w:hAnsi="Times New Roman"/>
          <w:sz w:val="20"/>
        </w:rPr>
      </w:pPr>
      <w:bookmarkStart w:id="152" w:name="anxa111069_80"/>
      <w:bookmarkEnd w:id="152"/>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hAnsi="Times New Roman"/>
          <w:b/>
          <w:sz w:val="20"/>
        </w:rPr>
        <w:t>Antitrust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hAnsi="Times New Roman"/>
          <w:sz w:val="20"/>
          <w:u w:val="single"/>
        </w:rPr>
        <w:t>provided</w:t>
      </w:r>
      <w:r>
        <w:rPr>
          <w:rFonts w:ascii="Times New Roman" w:hAnsi="Times New Roman"/>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 </w:t>
      </w:r>
    </w:p>
    <w:p>
      <w:pPr>
        <w:pStyle w:val="TextBody"/>
        <w:bidi w:val="0"/>
        <w:spacing w:before="240" w:after="0"/>
        <w:jc w:val="left"/>
        <w:rPr>
          <w:rFonts w:ascii="Times New Roman" w:hAnsi="Times New Roman"/>
          <w:sz w:val="20"/>
        </w:rPr>
      </w:pPr>
      <w:bookmarkStart w:id="153" w:name="anxa111069_81"/>
      <w:bookmarkEnd w:id="153"/>
      <w:r>
        <w:rPr>
          <w:rFonts w:ascii="Times New Roman" w:hAnsi="Times New Roman"/>
          <w:sz w:val="20"/>
        </w:rPr>
        <w:t xml:space="preserve">6.5 </w:t>
      </w:r>
      <w:r>
        <w:rPr>
          <w:rFonts w:ascii="Times New Roman" w:hAnsi="Times New Roman"/>
          <w:sz w:val="20"/>
          <w:u w:val="single"/>
        </w:rPr>
        <w:t>Company Options; Company RSUs; Company 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hAnsi="Times New Roman"/>
          <w:b/>
          <w:sz w:val="20"/>
        </w:rPr>
        <w:t>Assumed RSU Award</w:t>
      </w:r>
      <w:r>
        <w:rPr>
          <w:rFonts w:ascii="Times New Roman" w:hAnsi="Times New Roman"/>
          <w:sz w:val="20"/>
        </w:rPr>
        <w:t xml:space="preserve">”),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w:t>
      </w:r>
      <w:r>
        <w:rPr>
          <w:rFonts w:ascii="Times New Roman" w:hAnsi="Times New Roman"/>
          <w:sz w:val="20"/>
          <w:u w:val="single"/>
        </w:rPr>
        <w:t>provided</w:t>
      </w:r>
      <w:r>
        <w:rPr>
          <w:rFonts w:ascii="Times New Roman" w:hAnsi="Times New Roman"/>
          <w:sz w:val="20"/>
        </w:rPr>
        <w:t xml:space="preserve">,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(c) 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hAnsi="Times New Roman"/>
          <w:b/>
          <w:sz w:val="20"/>
        </w:rPr>
        <w:t>Assumed Warrant</w:t>
      </w:r>
      <w:r>
        <w:rPr>
          <w:rFonts w:ascii="Times New Roman" w:hAnsi="Times New Roman"/>
          <w:sz w:val="20"/>
        </w:rPr>
        <w:t xml:space="preserve">”),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bookmarkStart w:id="154" w:name="anxa111069_82"/>
      <w:bookmarkEnd w:id="154"/>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(b) From and after the First Effective Time, with respect to each benefit plan maintained by Parent or the Surviving Entity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401(k) Plan</w:t>
      </w:r>
      <w:r>
        <w:rPr>
          <w:rFonts w:ascii="Times New Roman" w:hAnsi="Times New Roman"/>
          <w:sz w:val="20"/>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hAnsi="Times New Roman"/>
          <w:b/>
          <w:sz w:val="20"/>
        </w:rPr>
        <w:t>401(k) Plans</w:t>
      </w:r>
      <w:r>
        <w:rPr>
          <w:rFonts w:ascii="Times New Roman" w:hAnsi="Times New Roman"/>
          <w:sz w:val="20"/>
        </w:rPr>
        <w:t xml:space="preserve">”)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Options</w:t>
      </w:r>
      <w:r>
        <w:rPr>
          <w:rFonts w:ascii="Times New Roman" w:hAnsi="Times New Roman"/>
          <w:sz w:val="20"/>
        </w:rPr>
        <w:t xml:space="preserve">.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 w:hAnsi="Times New Roman"/>
          <w:b/>
          <w:sz w:val="20"/>
        </w:rPr>
        <w:t>Parent Stock Option Cash Consideration</w:t>
      </w:r>
      <w:r>
        <w:rPr>
          <w:rFonts w:ascii="Times New Roman" w:hAnsi="Times New Roman"/>
          <w:sz w:val="20"/>
        </w:rPr>
        <w:t xml:space="preserve">”).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Restricted Stock Awards</w:t>
      </w:r>
      <w:r>
        <w:rPr>
          <w:rFonts w:ascii="Times New Roman" w:hAnsi="Times New Roman"/>
          <w:sz w:val="20"/>
        </w:rPr>
        <w:t xml:space="preserve">.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bookmarkStart w:id="155" w:name="anxa111069_83"/>
      <w:bookmarkEnd w:id="155"/>
      <w:r>
        <w:rPr>
          <w:rFonts w:ascii="Times New Roman" w:hAnsi="Times New Roman"/>
          <w:sz w:val="20"/>
        </w:rPr>
        <w:t xml:space="preserve">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Parent, to the 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First Effective Time, Parent shall pay all expenses, including reasonable attorneys’ fees, that are incurred by the persons referred to in this </w:t>
      </w:r>
      <w:r>
        <w:rPr>
          <w:rFonts w:ascii="Times New Roman" w:hAnsi="Times New Roman"/>
          <w:sz w:val="20"/>
          <w:u w:val="single"/>
        </w:rPr>
        <w:t>Section 6.7</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6.7</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6.7</w:t>
      </w:r>
      <w:r>
        <w:rPr>
          <w:rFonts w:ascii="Times New Roman" w:hAnsi="Times New Roman"/>
          <w:sz w:val="20"/>
        </w:rPr>
        <w:t xml:space="preserve">. Parent shall cause the Surviving Entity to perform all of the obligations of the Surviving Entity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6" w:name="anxa111069_84"/>
      <w:bookmarkEnd w:id="156"/>
      <w:r>
        <w:rPr>
          <w:rFonts w:ascii="Times New Roman" w:hAnsi="Times New Roman"/>
          <w:sz w:val="20"/>
        </w:rPr>
        <w:t xml:space="preserve">6.8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statements made by the Company or Parent in compliance with this </w:t>
      </w:r>
      <w:r>
        <w:rPr>
          <w:rFonts w:ascii="Times New Roman" w:hAnsi="Times New Roman"/>
          <w:sz w:val="20"/>
          <w:u w:val="single"/>
        </w:rPr>
        <w:t>Section 6.8</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7" w:name="anxa111069_85"/>
      <w:bookmarkEnd w:id="157"/>
      <w:r>
        <w:rPr>
          <w:rFonts w:ascii="Times New Roman" w:hAnsi="Times New Roman"/>
          <w:sz w:val="20"/>
        </w:rPr>
        <w:t xml:space="preserve">6.9 </w:t>
      </w:r>
      <w:r>
        <w:rPr>
          <w:rFonts w:ascii="Times New Roman" w:hAnsi="Times New Roman"/>
          <w:sz w:val="20"/>
          <w:u w:val="single"/>
        </w:rPr>
        <w:t>Listing</w:t>
      </w:r>
      <w:r>
        <w:rPr>
          <w:rFonts w:ascii="Times New Roman" w:hAnsi="Times New Roman"/>
          <w:sz w:val="20"/>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6.9</w:t>
      </w:r>
      <w:r>
        <w:rPr>
          <w:rFonts w:ascii="Times New Roman" w:hAnsi="Times New Roman"/>
          <w:sz w:val="20"/>
        </w:rPr>
        <w:t xml:space="preserve">. The Company and Parent shall each pay 50% of Nasdaq fees associated with any action contemplated by this </w:t>
      </w:r>
      <w:r>
        <w:rPr>
          <w:rFonts w:ascii="Times New Roman" w:hAnsi="Times New Roman"/>
          <w:sz w:val="20"/>
          <w:u w:val="single"/>
        </w:rPr>
        <w:t>Section 6.9</w:t>
      </w:r>
      <w:r>
        <w:rPr>
          <w:rFonts w:ascii="Times New Roman" w:hAnsi="Times New Roman"/>
          <w:sz w:val="20"/>
        </w:rPr>
        <w:t>, including any fees related to the engagement of a consultant (the “</w:t>
      </w:r>
      <w:r>
        <w:rPr>
          <w:rFonts w:ascii="Times New Roman" w:hAnsi="Times New Roman"/>
          <w:b/>
          <w:sz w:val="20"/>
        </w:rPr>
        <w:t>Nasdaq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8" w:name="anxa111069_86"/>
      <w:bookmarkEnd w:id="158"/>
      <w:r>
        <w:rPr>
          <w:rFonts w:ascii="Times New Roman" w:hAnsi="Times New Roman"/>
          <w:sz w:val="20"/>
        </w:rPr>
        <w:t xml:space="preserve">6.10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hAnsi="Times New Roman"/>
          <w:b/>
          <w:sz w:val="20"/>
        </w:rPr>
        <w:t>Tax Certificates</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bookmarkStart w:id="159" w:name="anxa111069_87"/>
      <w:bookmarkEnd w:id="159"/>
      <w:r>
        <w:rPr>
          <w:rFonts w:ascii="Times New Roman" w:hAnsi="Times New Roman"/>
          <w:sz w:val="20"/>
        </w:rPr>
        <w:t xml:space="preserve">6.11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 </w:t>
      </w:r>
    </w:p>
    <w:p>
      <w:pPr>
        <w:pStyle w:val="TextBody"/>
        <w:bidi w:val="0"/>
        <w:spacing w:before="240" w:after="0"/>
        <w:jc w:val="left"/>
        <w:rPr>
          <w:rFonts w:ascii="Times New Roman" w:hAnsi="Times New Roman"/>
          <w:sz w:val="20"/>
        </w:rPr>
      </w:pPr>
      <w:bookmarkStart w:id="160" w:name="anxa111069_88"/>
      <w:bookmarkEnd w:id="160"/>
      <w:r>
        <w:rPr>
          <w:rFonts w:ascii="Times New Roman" w:hAnsi="Times New Roman"/>
          <w:sz w:val="20"/>
        </w:rPr>
        <w:t xml:space="preserve">6.12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take all necessary action so that the Persons listed on </w:t>
      </w:r>
      <w:r>
        <w:rPr>
          <w:rFonts w:ascii="Times New Roman" w:hAnsi="Times New Roman"/>
          <w:sz w:val="20"/>
          <w:u w:val="single"/>
        </w:rPr>
        <w:t>Section 6.12</w:t>
      </w:r>
      <w:r>
        <w:rPr>
          <w:rFonts w:ascii="Times New Roman" w:hAnsi="Times New Roman"/>
          <w:sz w:val="20"/>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hAnsi="Times New Roman"/>
          <w:sz w:val="20"/>
          <w:u w:val="single"/>
        </w:rPr>
        <w:t>Section 6.12</w:t>
      </w:r>
      <w:r>
        <w:rPr>
          <w:rFonts w:ascii="Times New Roman" w:hAnsi="Times New Roman"/>
          <w:sz w:val="20"/>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hAnsi="Times New Roman"/>
          <w:sz w:val="20"/>
          <w:u w:val="single"/>
        </w:rPr>
        <w:t>Section 6.12</w:t>
      </w:r>
      <w:r>
        <w:rPr>
          <w:rFonts w:ascii="Times New Roman" w:hAnsi="Times New Roman"/>
          <w:sz w:val="20"/>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61" w:name="anxa111069_89"/>
      <w:bookmarkEnd w:id="161"/>
      <w:r>
        <w:rPr>
          <w:rFonts w:ascii="Times New Roman" w:hAnsi="Times New Roman"/>
          <w:sz w:val="20"/>
        </w:rPr>
        <w:t xml:space="preserve">6.13 </w:t>
      </w:r>
      <w:r>
        <w:rPr>
          <w:rFonts w:ascii="Times New Roman" w:hAnsi="Times New Roman"/>
          <w:sz w:val="20"/>
          <w:u w:val="single"/>
        </w:rPr>
        <w:t>Termination of Certain Agreements and Rights</w:t>
      </w:r>
      <w:r>
        <w:rPr>
          <w:rFonts w:ascii="Times New Roman" w:hAnsi="Times New Roman"/>
          <w:sz w:val="20"/>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hAnsi="Times New Roman"/>
          <w:b/>
          <w:sz w:val="20"/>
        </w:rPr>
        <w:t>Investor Agreements</w:t>
      </w:r>
      <w:r>
        <w:rPr>
          <w:rFonts w:ascii="Times New Roman" w:hAnsi="Times New Roman"/>
          <w:sz w:val="20"/>
        </w:rPr>
        <w:t xml:space="preserve">”),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 </w:t>
      </w:r>
    </w:p>
    <w:p>
      <w:pPr>
        <w:pStyle w:val="TextBody"/>
        <w:bidi w:val="0"/>
        <w:spacing w:before="240" w:after="0"/>
        <w:jc w:val="left"/>
        <w:rPr>
          <w:rFonts w:ascii="Times New Roman" w:hAnsi="Times New Roman"/>
          <w:sz w:val="20"/>
        </w:rPr>
      </w:pPr>
      <w:bookmarkStart w:id="162" w:name="anxa111069_90"/>
      <w:bookmarkEnd w:id="162"/>
      <w:r>
        <w:rPr>
          <w:rFonts w:ascii="Times New Roman" w:hAnsi="Times New Roman"/>
          <w:sz w:val="20"/>
        </w:rPr>
        <w:t xml:space="preserve">6.14 </w:t>
      </w:r>
      <w:r>
        <w:rPr>
          <w:rFonts w:ascii="Times New Roman" w:hAnsi="Times New Roman"/>
          <w:sz w:val="20"/>
          <w:u w:val="single"/>
        </w:rPr>
        <w:t>Section 16 Matters</w:t>
      </w:r>
      <w:r>
        <w:rPr>
          <w:rFonts w:ascii="Times New Roman" w:hAnsi="Times New Roman"/>
          <w:sz w:val="20"/>
        </w:rPr>
        <w:t xml:space="preserve">.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63" w:name="anxa111069_91"/>
      <w:bookmarkEnd w:id="163"/>
      <w:r>
        <w:rPr>
          <w:rFonts w:ascii="Times New Roman" w:hAnsi="Times New Roman"/>
          <w:sz w:val="20"/>
        </w:rPr>
        <w:t xml:space="preserve">6.15 </w:t>
      </w:r>
      <w:r>
        <w:rPr>
          <w:rFonts w:ascii="Times New Roman" w:hAnsi="Times New Roman"/>
          <w:sz w:val="20"/>
          <w:u w:val="single"/>
        </w:rPr>
        <w:t>Allocation Information</w:t>
      </w:r>
      <w:r>
        <w:rPr>
          <w:rFonts w:ascii="Times New Roman" w:hAnsi="Times New Roman"/>
          <w:sz w:val="20"/>
        </w:rPr>
        <w:t xml:space="preserve">. The Company will prepare and deliver to Parent prior to the Closing a spreadsheet setting forth (as of immediately prior to the First Effective Time) (a) each holder of (i)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4" w:name="anxa111069_92"/>
      <w:bookmarkEnd w:id="164"/>
      <w:r>
        <w:rPr>
          <w:rFonts w:ascii="Times New Roman" w:hAnsi="Times New Roman"/>
          <w:sz w:val="20"/>
        </w:rPr>
        <w:t xml:space="preserve">6.16 </w:t>
      </w:r>
      <w:r>
        <w:rPr>
          <w:rFonts w:ascii="Times New Roman" w:hAnsi="Times New Roman"/>
          <w:sz w:val="20"/>
          <w:u w:val="single"/>
        </w:rPr>
        <w:t>Parent SEC Documents</w:t>
      </w:r>
      <w:r>
        <w:rPr>
          <w:rFonts w:ascii="Times New Roman" w:hAnsi="Times New Roman"/>
          <w:sz w:val="20"/>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bookmarkStart w:id="165" w:name="anxa111069_93"/>
      <w:bookmarkEnd w:id="165"/>
      <w:r>
        <w:rPr>
          <w:rFonts w:ascii="Times New Roman" w:hAnsi="Times New Roman"/>
          <w:sz w:val="20"/>
        </w:rPr>
        <w:t xml:space="preserve">6.17 </w:t>
      </w:r>
      <w:r>
        <w:rPr>
          <w:rFonts w:ascii="Times New Roman" w:hAnsi="Times New Roman"/>
          <w:sz w:val="20"/>
          <w:u w:val="single"/>
        </w:rPr>
        <w:t>Obligations of Merger Subs</w:t>
      </w:r>
      <w:r>
        <w:rPr>
          <w:rFonts w:ascii="Times New Roman" w:hAnsi="Times New Roman"/>
          <w:sz w:val="20"/>
        </w:rPr>
        <w:t xml:space="preserve">. Parent will take all action necessary to cause each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66" w:name="anxa111069_94"/>
      <w:bookmarkEnd w:id="166"/>
      <w:r>
        <w:rPr>
          <w:rFonts w:ascii="Times New Roman" w:hAnsi="Times New Roman"/>
          <w:sz w:val="20"/>
        </w:rPr>
        <w:t xml:space="preserve">6.18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 </w:t>
      </w:r>
    </w:p>
    <w:p>
      <w:pPr>
        <w:pStyle w:val="TextBody"/>
        <w:bidi w:val="0"/>
        <w:spacing w:before="240" w:after="0"/>
        <w:jc w:val="left"/>
        <w:rPr>
          <w:rFonts w:ascii="Times New Roman" w:hAnsi="Times New Roman"/>
          <w:sz w:val="20"/>
        </w:rPr>
      </w:pPr>
      <w:bookmarkStart w:id="167" w:name="anxa111069_95"/>
      <w:bookmarkEnd w:id="167"/>
      <w:r>
        <w:rPr>
          <w:rFonts w:ascii="Times New Roman" w:hAnsi="Times New Roman"/>
          <w:sz w:val="20"/>
        </w:rPr>
        <w:t xml:space="preserve">6.19 </w:t>
      </w:r>
      <w:r>
        <w:rPr>
          <w:rFonts w:ascii="Times New Roman" w:hAnsi="Times New Roman"/>
          <w:sz w:val="20"/>
          <w:u w:val="single"/>
        </w:rPr>
        <w:t>Company Pre-Closing Financing</w:t>
      </w:r>
      <w:r>
        <w:rPr>
          <w:rFonts w:ascii="Times New Roman" w:hAnsi="Times New Roman"/>
          <w:sz w:val="20"/>
        </w:rPr>
        <w:t xml:space="preserve">.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 </w:t>
      </w:r>
    </w:p>
    <w:p>
      <w:pPr>
        <w:pStyle w:val="TextBody"/>
        <w:bidi w:val="0"/>
        <w:spacing w:before="240" w:after="0"/>
        <w:jc w:val="left"/>
        <w:rPr>
          <w:rFonts w:ascii="Times New Roman" w:hAnsi="Times New Roman"/>
          <w:sz w:val="20"/>
        </w:rPr>
      </w:pPr>
      <w:bookmarkStart w:id="168" w:name="anxa111069_96"/>
      <w:bookmarkEnd w:id="168"/>
      <w:r>
        <w:rPr>
          <w:rFonts w:ascii="Times New Roman" w:hAnsi="Times New Roman"/>
          <w:sz w:val="20"/>
        </w:rPr>
        <w:t xml:space="preserve">6.20 </w:t>
      </w:r>
      <w:r>
        <w:rPr>
          <w:rFonts w:ascii="Times New Roman" w:hAnsi="Times New Roman"/>
          <w:sz w:val="20"/>
          <w:u w:val="single"/>
        </w:rPr>
        <w:t>Termination of Certain Agreements</w:t>
      </w:r>
      <w:r>
        <w:rPr>
          <w:rFonts w:ascii="Times New Roman" w:hAnsi="Times New Roman"/>
          <w:sz w:val="20"/>
        </w:rPr>
        <w:t xml:space="preserve">. Promptly following the date hereof, Parent will take all action necessary to terminate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69" w:name="anxa111069_97"/>
      <w:bookmarkEnd w:id="169"/>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bookmarkStart w:id="170" w:name="anxa111069_98"/>
      <w:bookmarkEnd w:id="170"/>
      <w:r>
        <w:rPr>
          <w:rFonts w:ascii="Times New Roman" w:hAnsi="Times New Roman"/>
          <w:sz w:val="20"/>
        </w:rPr>
        <w:t xml:space="preserve">7.1 </w:t>
      </w:r>
      <w:r>
        <w:rPr>
          <w:rFonts w:ascii="Times New Roman" w:hAnsi="Times New Roman"/>
          <w:sz w:val="20"/>
          <w:u w:val="single"/>
        </w:rPr>
        <w:t>Regulatory Approvals</w:t>
      </w:r>
      <w:r>
        <w:rPr>
          <w:rFonts w:ascii="Times New Roman" w:hAnsi="Times New Roman"/>
          <w:sz w:val="20"/>
        </w:rPr>
        <w:t xml:space="preserve">. Any applicable waiting periods (or any extensions thereof) under the HSR Act and any applicable foreign Law relating to antitrust or competition matters shall have expired or otherwise been terminated. </w:t>
      </w:r>
    </w:p>
    <w:p>
      <w:pPr>
        <w:pStyle w:val="TextBody"/>
        <w:bidi w:val="0"/>
        <w:spacing w:before="240" w:after="0"/>
        <w:jc w:val="left"/>
        <w:rPr>
          <w:rFonts w:ascii="Times New Roman" w:hAnsi="Times New Roman"/>
          <w:sz w:val="20"/>
        </w:rPr>
      </w:pPr>
      <w:bookmarkStart w:id="171" w:name="anxa111069_99"/>
      <w:bookmarkEnd w:id="171"/>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172" w:name="anxa111069_100"/>
      <w:bookmarkEnd w:id="172"/>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Parent shall have obtained the Required Parent Shareholder Vote (but solely with respect to such items as are necessary to consummate the transactions contemplated by this Agreement) and (b) the Company shall have obtained the Required Company Stockholder Vote. </w:t>
      </w:r>
    </w:p>
    <w:p>
      <w:pPr>
        <w:pStyle w:val="TextBody"/>
        <w:bidi w:val="0"/>
        <w:spacing w:before="240" w:after="0"/>
        <w:jc w:val="left"/>
        <w:rPr>
          <w:rFonts w:ascii="Times New Roman" w:hAnsi="Times New Roman"/>
          <w:sz w:val="20"/>
        </w:rPr>
      </w:pPr>
      <w:bookmarkStart w:id="173" w:name="anxa111069_101"/>
      <w:bookmarkEnd w:id="173"/>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Nasdaq Listing Application shall have been approved by Nasdaq. </w:t>
      </w:r>
    </w:p>
    <w:p>
      <w:pPr>
        <w:pStyle w:val="TextBody"/>
        <w:bidi w:val="0"/>
        <w:spacing w:before="240" w:after="0"/>
        <w:jc w:val="left"/>
        <w:rPr>
          <w:rFonts w:ascii="Times New Roman" w:hAnsi="Times New Roman"/>
          <w:sz w:val="20"/>
        </w:rPr>
      </w:pPr>
      <w:bookmarkStart w:id="174" w:name="anxa111069_102"/>
      <w:bookmarkEnd w:id="174"/>
      <w:r>
        <w:rPr>
          <w:rFonts w:ascii="Times New Roman" w:hAnsi="Times New Roman"/>
          <w:sz w:val="20"/>
        </w:rPr>
        <w:t xml:space="preserve">7.5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175" w:name="anxa111069_103"/>
      <w:bookmarkEnd w:id="175"/>
      <w:r>
        <w:rPr>
          <w:rFonts w:ascii="Times New Roman" w:hAnsi="Times New Roman"/>
          <w:sz w:val="20"/>
        </w:rPr>
        <w:t xml:space="preserve">Section 8. </w:t>
      </w:r>
      <w:r>
        <w:rPr>
          <w:rFonts w:ascii="Times New Roman" w:hAnsi="Times New Roman"/>
          <w:sz w:val="20"/>
          <w:u w:val="single"/>
        </w:rPr>
        <w:t>Additional Conditions Precedent to Obligations of Parent and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Subs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bookmarkStart w:id="176" w:name="anxa111069_104"/>
      <w:bookmarkEnd w:id="176"/>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77" w:name="anxa111069_105"/>
      <w:bookmarkEnd w:id="177"/>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8" w:name="anxa111069_106"/>
      <w:bookmarkEnd w:id="178"/>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6.15</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Valuation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duly executed by the Persons listed on Section B of the Company Disclosure Letter, which shall be in full force and effect. </w:t>
      </w:r>
    </w:p>
    <w:p>
      <w:pPr>
        <w:pStyle w:val="TextBody"/>
        <w:bidi w:val="0"/>
        <w:spacing w:before="240" w:after="0"/>
        <w:jc w:val="left"/>
        <w:rPr>
          <w:rFonts w:ascii="Times New Roman" w:hAnsi="Times New Roman"/>
          <w:sz w:val="20"/>
        </w:rPr>
      </w:pPr>
      <w:bookmarkStart w:id="179" w:name="anxa111069_107"/>
      <w:bookmarkEnd w:id="179"/>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240" w:after="0"/>
        <w:jc w:val="left"/>
        <w:rPr>
          <w:rFonts w:ascii="Times New Roman" w:hAnsi="Times New Roman"/>
          <w:sz w:val="20"/>
        </w:rPr>
      </w:pPr>
      <w:bookmarkStart w:id="180" w:name="anxa111069_108"/>
      <w:bookmarkEnd w:id="180"/>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collectively constituting the Required Company Stockholder Vote shall have been obtained and remain in full force and effect. </w:t>
      </w:r>
    </w:p>
    <w:p>
      <w:pPr>
        <w:pStyle w:val="TextBody"/>
        <w:bidi w:val="0"/>
        <w:spacing w:before="240" w:after="0"/>
        <w:jc w:val="left"/>
        <w:rPr>
          <w:rFonts w:ascii="Times New Roman" w:hAnsi="Times New Roman"/>
          <w:sz w:val="20"/>
        </w:rPr>
      </w:pPr>
      <w:bookmarkStart w:id="181" w:name="anxa111069_109"/>
      <w:bookmarkEnd w:id="181"/>
      <w:r>
        <w:rPr>
          <w:rFonts w:ascii="Times New Roman" w:hAnsi="Times New Roman"/>
          <w:sz w:val="20"/>
        </w:rPr>
        <w:t xml:space="preserve">8.6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 </w:t>
      </w:r>
    </w:p>
    <w:p>
      <w:pPr>
        <w:pStyle w:val="TextBody"/>
        <w:bidi w:val="0"/>
        <w:spacing w:before="240" w:after="0"/>
        <w:jc w:val="left"/>
        <w:rPr>
          <w:rFonts w:ascii="Times New Roman" w:hAnsi="Times New Roman"/>
          <w:sz w:val="20"/>
        </w:rPr>
      </w:pPr>
      <w:bookmarkStart w:id="182" w:name="anxa111069_110"/>
      <w:bookmarkEnd w:id="182"/>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bookmarkStart w:id="183" w:name="anxa111069_111"/>
      <w:bookmarkEnd w:id="183"/>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84" w:name="anxa111069_112"/>
      <w:bookmarkEnd w:id="184"/>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Parent and Merger Subs shall have performed or complied with in all material respects all of their agreements and covenants required to be performed or complied with by each of them under this Agreement at or prior to the First Effective Time. </w:t>
      </w:r>
    </w:p>
    <w:p>
      <w:pPr>
        <w:pStyle w:val="TextBody"/>
        <w:bidi w:val="0"/>
        <w:spacing w:before="240" w:after="0"/>
        <w:jc w:val="left"/>
        <w:rPr>
          <w:rFonts w:ascii="Times New Roman" w:hAnsi="Times New Roman"/>
          <w:sz w:val="20"/>
        </w:rPr>
      </w:pPr>
      <w:bookmarkStart w:id="185" w:name="anxa111069_113"/>
      <w:bookmarkEnd w:id="185"/>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 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6.12</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bookmarkStart w:id="186" w:name="anxa111069_114"/>
      <w:bookmarkEnd w:id="186"/>
      <w:r>
        <w:rPr>
          <w:rFonts w:ascii="Times New Roman" w:hAnsi="Times New Roman"/>
          <w:sz w:val="20"/>
        </w:rPr>
        <w:t xml:space="preserve">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that is continuing. </w:t>
      </w:r>
    </w:p>
    <w:p>
      <w:pPr>
        <w:pStyle w:val="TextBody"/>
        <w:bidi w:val="0"/>
        <w:spacing w:before="240" w:after="0"/>
        <w:jc w:val="left"/>
        <w:rPr>
          <w:rFonts w:ascii="Times New Roman" w:hAnsi="Times New Roman"/>
          <w:sz w:val="20"/>
        </w:rPr>
      </w:pPr>
      <w:bookmarkStart w:id="187" w:name="anxa111069_115"/>
      <w:bookmarkEnd w:id="187"/>
      <w:r>
        <w:rPr>
          <w:rFonts w:ascii="Times New Roman" w:hAnsi="Times New Roman"/>
          <w:sz w:val="20"/>
        </w:rPr>
        <w:t xml:space="preserve">9.5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 </w:t>
      </w:r>
    </w:p>
    <w:p>
      <w:pPr>
        <w:pStyle w:val="TextBody"/>
        <w:bidi w:val="0"/>
        <w:spacing w:before="240" w:after="0"/>
        <w:jc w:val="left"/>
        <w:rPr>
          <w:rFonts w:ascii="Times New Roman" w:hAnsi="Times New Roman"/>
          <w:sz w:val="20"/>
        </w:rPr>
      </w:pPr>
      <w:bookmarkStart w:id="188" w:name="anxa111069_116"/>
      <w:bookmarkEnd w:id="188"/>
      <w:r>
        <w:rPr>
          <w:rFonts w:ascii="Times New Roman" w:hAnsi="Times New Roman"/>
          <w:sz w:val="20"/>
        </w:rPr>
        <w:t xml:space="preserve">9.6 </w:t>
      </w:r>
      <w:r>
        <w:rPr>
          <w:rFonts w:ascii="Times New Roman" w:hAnsi="Times New Roman"/>
          <w:sz w:val="20"/>
          <w:u w:val="single"/>
        </w:rPr>
        <w:t>Parent Articles of Amendment</w:t>
      </w:r>
      <w:r>
        <w:rPr>
          <w:rFonts w:ascii="Times New Roman" w:hAnsi="Times New Roman"/>
          <w:sz w:val="20"/>
        </w:rPr>
        <w:t xml:space="preserve">. The Parent Articles of Amendment shall have been duly filed with the Secretary of the Commonwealth of Massachusetts, containing at least such amendments as are necessary to consummate the transactions contemplated by this Agreement. </w:t>
      </w:r>
    </w:p>
    <w:p>
      <w:pPr>
        <w:pStyle w:val="TextBody"/>
        <w:bidi w:val="0"/>
        <w:spacing w:before="240" w:after="0"/>
        <w:jc w:val="left"/>
        <w:rPr>
          <w:rFonts w:ascii="Times New Roman" w:hAnsi="Times New Roman"/>
          <w:sz w:val="20"/>
        </w:rPr>
      </w:pPr>
      <w:bookmarkStart w:id="189" w:name="anxa111069_117"/>
      <w:bookmarkEnd w:id="189"/>
      <w:r>
        <w:rPr>
          <w:rFonts w:ascii="Times New Roman" w:hAnsi="Times New Roman"/>
          <w:sz w:val="20"/>
        </w:rPr>
        <w:t xml:space="preserve">9.7 </w:t>
      </w:r>
      <w:r>
        <w:rPr>
          <w:rFonts w:ascii="Times New Roman" w:hAnsi="Times New Roman"/>
          <w:sz w:val="20"/>
          <w:u w:val="single"/>
        </w:rPr>
        <w:t>Termination of Agreements</w:t>
      </w:r>
      <w:r>
        <w:rPr>
          <w:rFonts w:ascii="Times New Roman" w:hAnsi="Times New Roman"/>
          <w:sz w:val="20"/>
        </w:rPr>
        <w:t xml:space="preserve">. Parent shall have terminated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90" w:name="anxa111069_118"/>
      <w:bookmarkEnd w:id="190"/>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1" w:name="anxa111069_119"/>
      <w:bookmarkEnd w:id="191"/>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adoption of this Agreement by the Company’s stockholders and whether before or after approval of the Parent Shareholder Matters by Parent’s shareholders,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(a) by mutual written consent of Parent and the Company</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October 1, 2026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(whether timely or not),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Shareholder Matters by the Required Parent Shareholder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a Delisting Event occurs;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 w:hAnsi="Times New Roman"/>
          <w:sz w:val="20"/>
          <w:u w:val="single"/>
        </w:rPr>
        <w:t xml:space="preserve">Section 10.1(j) </w:t>
      </w:r>
      <w:r>
        <w:rPr>
          <w:rFonts w:ascii="Times New Roman" w:hAnsi="Times New Roman"/>
          <w:sz w:val="20"/>
        </w:rPr>
        <w:t xml:space="preserve">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(it being understood that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if such breach by the Company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(k) by Parent (at any time prior to the approval of the Parent Shareholder Matters by the Required Parent Shareholder Vote)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92" w:name="anxa111069_120"/>
      <w:bookmarkEnd w:id="192"/>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provided, however,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(other than </w:t>
      </w:r>
      <w:r>
        <w:rPr>
          <w:rFonts w:ascii="Times New Roman" w:hAnsi="Times New Roman"/>
          <w:sz w:val="20"/>
          <w:u w:val="single"/>
        </w:rPr>
        <w:t>Section 11.8</w:t>
      </w:r>
      <w:r>
        <w:rPr>
          <w:rFonts w:ascii="Times New Roman" w:hAnsi="Times New Roman"/>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bookmarkStart w:id="193" w:name="anxa111069_121"/>
      <w:bookmarkEnd w:id="193"/>
      <w:r>
        <w:rPr>
          <w:rFonts w:ascii="Times New Roman" w:hAnsi="Times New Roman"/>
          <w:sz w:val="20"/>
        </w:rPr>
        <w:t xml:space="preserve">10.3 Expenses; Termination Fees.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(i) this Agreement is terminated by Parent pursuant to </w:t>
      </w:r>
      <w:r>
        <w:rPr>
          <w:rFonts w:ascii="Times New Roman" w:hAnsi="Times New Roman"/>
          <w:sz w:val="20"/>
          <w:u w:val="single"/>
        </w:rPr>
        <w:t>Section 10.1(d)</w:t>
      </w:r>
      <w:r>
        <w:rPr>
          <w:rFonts w:ascii="Times New Roman" w:hAnsi="Times New Roman"/>
          <w:sz w:val="20"/>
        </w:rPr>
        <w:t xml:space="preserve"> or to </w:t>
      </w:r>
      <w:r>
        <w:rPr>
          <w:rFonts w:ascii="Times New Roman" w:hAnsi="Times New Roman"/>
          <w:sz w:val="20"/>
          <w:u w:val="single"/>
        </w:rPr>
        <w:t>Section 10.1(g)</w:t>
      </w:r>
      <w:r>
        <w:rPr>
          <w:rFonts w:ascii="Times New Roman" w:hAnsi="Times New Roman"/>
          <w:sz w:val="20"/>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10.3(e)</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4" w:name="anxa111069_122"/>
      <w:bookmarkEnd w:id="194"/>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5" w:name="anxa111069_123"/>
      <w:bookmarkEnd w:id="195"/>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sz w:val="20"/>
          <w:u w:val="single"/>
        </w:rPr>
        <w:t>Section 11</w:t>
      </w:r>
      <w:r>
        <w:rPr>
          <w:rFonts w:ascii="Times New Roman" w:hAnsi="Times New Roman"/>
          <w:sz w:val="20"/>
        </w:rPr>
        <w:t xml:space="preserve"> shall survive the First Effective Time. </w:t>
      </w:r>
    </w:p>
    <w:p>
      <w:pPr>
        <w:pStyle w:val="TextBody"/>
        <w:bidi w:val="0"/>
        <w:spacing w:before="240" w:after="0"/>
        <w:jc w:val="left"/>
        <w:rPr>
          <w:rFonts w:ascii="Times New Roman" w:hAnsi="Times New Roman"/>
          <w:sz w:val="20"/>
        </w:rPr>
      </w:pPr>
      <w:bookmarkStart w:id="196" w:name="anxa111069_124"/>
      <w:bookmarkEnd w:id="196"/>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 </w:t>
      </w:r>
    </w:p>
    <w:p>
      <w:pPr>
        <w:pStyle w:val="TextBody"/>
        <w:bidi w:val="0"/>
        <w:spacing w:before="240" w:after="0"/>
        <w:jc w:val="left"/>
        <w:rPr>
          <w:rFonts w:ascii="Times New Roman" w:hAnsi="Times New Roman"/>
          <w:sz w:val="20"/>
        </w:rPr>
      </w:pPr>
      <w:bookmarkStart w:id="197" w:name="anxa111069_125"/>
      <w:bookmarkEnd w:id="197"/>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198" w:name="anxa111069_126"/>
      <w:bookmarkEnd w:id="198"/>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199" w:name="anxa111069_127"/>
      <w:bookmarkEnd w:id="199"/>
      <w:r>
        <w:rPr>
          <w:rFonts w:ascii="Times New Roman" w:hAnsi="Times New Roman"/>
          <w:sz w:val="20"/>
        </w:rPr>
        <w:t xml:space="preserve">11.5 </w:t>
      </w:r>
      <w:r>
        <w:rPr>
          <w:rFonts w:ascii="Times New Roman" w:hAnsi="Times New Roman"/>
          <w:sz w:val="20"/>
          <w:u w:val="single"/>
        </w:rPr>
        <w:t>Applicable Law; Jurisdiction; WAIVER OF RIGHT TO TRIAL BY JURY</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hAnsi="Times New Roman"/>
          <w:sz w:val="20"/>
          <w:u w:val="single"/>
        </w:rPr>
        <w:t>provided</w:t>
      </w:r>
      <w:r>
        <w:rPr>
          <w:rFonts w:ascii="Times New Roman" w:hAnsi="Times New Roman"/>
          <w:sz w:val="20"/>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200" w:name="anxa111069_128"/>
      <w:bookmarkEnd w:id="200"/>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201" w:name="anxa111069_129"/>
      <w:bookmarkEnd w:id="201"/>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Ropes &amp; Gray LLP </w:t>
      </w:r>
    </w:p>
    <w:p>
      <w:pPr>
        <w:pStyle w:val="TextBody"/>
        <w:bidi w:val="0"/>
        <w:spacing w:before="0" w:after="0"/>
        <w:jc w:val="left"/>
        <w:rPr>
          <w:rFonts w:ascii="Times New Roman" w:hAnsi="Times New Roman"/>
          <w:sz w:val="20"/>
        </w:rPr>
      </w:pPr>
      <w:r>
        <w:rPr>
          <w:rFonts w:ascii="Times New Roman" w:hAnsi="Times New Roman"/>
          <w:sz w:val="20"/>
        </w:rPr>
        <w:t xml:space="preserve">Prudential Tower, 800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02199 </w:t>
      </w:r>
    </w:p>
    <w:p>
      <w:pPr>
        <w:pStyle w:val="TextBody"/>
        <w:bidi w:val="0"/>
        <w:spacing w:before="0" w:after="0"/>
        <w:jc w:val="left"/>
        <w:rPr>
          <w:rFonts w:ascii="Times New Roman" w:hAnsi="Times New Roman"/>
          <w:sz w:val="20"/>
        </w:rPr>
      </w:pPr>
      <w:r>
        <w:rPr>
          <w:rFonts w:ascii="Times New Roman" w:hAnsi="Times New Roman"/>
          <w:sz w:val="20"/>
        </w:rPr>
        <w:t xml:space="preserve">Attention: Zachary R. Blume; William J. Michener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221 Crescent Street Building 23, Suite 105 </w:t>
      </w:r>
    </w:p>
    <w:p>
      <w:pPr>
        <w:pStyle w:val="TextBody"/>
        <w:bidi w:val="0"/>
        <w:spacing w:before="0" w:after="0"/>
        <w:jc w:val="left"/>
        <w:rPr>
          <w:rFonts w:ascii="Times New Roman" w:hAnsi="Times New Roman"/>
          <w:sz w:val="20"/>
        </w:rPr>
      </w:pPr>
      <w:r>
        <w:rPr>
          <w:rFonts w:ascii="Times New Roman" w:hAnsi="Times New Roman"/>
          <w:sz w:val="20"/>
        </w:rPr>
        <w:t xml:space="preserve">Waltham, MA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202" w:name="anxa111069_130"/>
      <w:bookmarkEnd w:id="202"/>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203" w:name="anxa111069_131"/>
      <w:bookmarkEnd w:id="203"/>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204" w:name="anxa111069_132"/>
      <w:bookmarkEnd w:id="204"/>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205" w:name="anxa111069_133"/>
      <w:bookmarkEnd w:id="205"/>
      <w:r>
        <w:rPr>
          <w:rFonts w:ascii="Times New Roman" w:hAnsi="Times New Roman"/>
          <w:sz w:val="20"/>
        </w:rPr>
        <w:t xml:space="preserve">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6.7</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CYCLERION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Regina Graul</w:t>
            </w:r>
          </w:p>
        </w:tc>
      </w:tr>
      <w:tr>
        <w:trPr/>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Regina Graul</w:t>
            </w:r>
          </w:p>
        </w:tc>
      </w:tr>
      <w:tr>
        <w:trPr/>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Chief Executive Officer and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CARIBOOS MERGER SUB CORP.</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Regina Graul</w:t>
            </w:r>
          </w:p>
        </w:tc>
      </w:tr>
      <w:tr>
        <w:trPr/>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Regina Graul</w:t>
            </w:r>
          </w:p>
        </w:tc>
      </w:tr>
      <w:tr>
        <w:trPr/>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CARIBOOS MERGER SUB II, LLC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Regina Graul</w:t>
            </w:r>
          </w:p>
        </w:tc>
      </w:tr>
      <w:tr>
        <w:trPr/>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Regina Graul</w:t>
            </w:r>
          </w:p>
        </w:tc>
      </w:tr>
      <w:tr>
        <w:trPr/>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Chief Executive Officer and President</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Jonathan Violin</w:t>
            </w:r>
          </w:p>
        </w:tc>
      </w:tr>
      <w:tr>
        <w:trPr/>
        <w:tc>
          <w:tcPr>
            <w:tcW w:w="68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Jonathan Violin</w:t>
            </w:r>
          </w:p>
        </w:tc>
      </w:tr>
      <w:tr>
        <w:trPr/>
        <w:tc>
          <w:tcPr>
            <w:tcW w:w="68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Shareholder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First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Second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Articles of Amendment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Confidential</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AMENDMENT TO AGREEMENT AND PLAN OF MERGER AND REORGANIZATION </w:t>
      </w:r>
      <w:r>
        <w:rPr>
          <w:rFonts w:ascii="Times New Roman" w:hAnsi="Times New Roman"/>
          <w:sz w:val="20"/>
        </w:rPr>
        <w:t>(this “</w:t>
      </w:r>
      <w:r>
        <w:rPr>
          <w:rFonts w:ascii="Times New Roman" w:hAnsi="Times New Roman"/>
          <w:b/>
          <w:sz w:val="20"/>
        </w:rPr>
        <w:t>Amendment</w:t>
      </w:r>
      <w:r>
        <w:rPr>
          <w:rFonts w:ascii="Times New Roman" w:hAnsi="Times New Roman"/>
          <w:sz w:val="20"/>
        </w:rPr>
        <w:t>”) is entered into as of April 17, 2026, by and among Cyclerion Therapeutics, Inc., a Massachusetts corporation (“</w:t>
      </w:r>
      <w:r>
        <w:rPr>
          <w:rFonts w:ascii="Times New Roman" w:hAnsi="Times New Roman"/>
          <w:b/>
          <w:sz w:val="20"/>
        </w:rPr>
        <w:t>Parent</w:t>
      </w:r>
      <w:r>
        <w:rPr>
          <w:rFonts w:ascii="Times New Roman" w:hAnsi="Times New Roman"/>
          <w:sz w:val="20"/>
        </w:rPr>
        <w:t>”), Cariboos Merger Sub Corp., a Delaware corporation and a wholly owned subsidiary of Parent (“</w:t>
      </w:r>
      <w:r>
        <w:rPr>
          <w:rFonts w:ascii="Times New Roman" w:hAnsi="Times New Roman"/>
          <w:b/>
          <w:sz w:val="20"/>
        </w:rPr>
        <w:t>First Merger Sub</w:t>
      </w:r>
      <w:r>
        <w:rPr>
          <w:rFonts w:ascii="Times New Roman" w:hAnsi="Times New Roman"/>
          <w:sz w:val="20"/>
        </w:rPr>
        <w:t>”), Cariboos Merger Sub II, LLC, a Delaware limited liability company and a wholly owned subsidiary of Parent (“</w:t>
      </w:r>
      <w:r>
        <w:rPr>
          <w:rFonts w:ascii="Times New Roman" w:hAnsi="Times New Roman"/>
          <w:b/>
          <w:sz w:val="20"/>
        </w:rPr>
        <w:t>Second 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and Korsana Biosciences, Inc., a Delaware corporation (the “</w:t>
      </w:r>
      <w:r>
        <w:rPr>
          <w:rFonts w:ascii="Times New Roman" w:hAnsi="Times New Roman"/>
          <w:b/>
          <w:sz w:val="20"/>
        </w:rPr>
        <w:t>Company</w:t>
      </w:r>
      <w:r>
        <w:rPr>
          <w:rFonts w:ascii="Times New Roman" w:hAnsi="Times New Roman"/>
          <w:sz w:val="20"/>
        </w:rPr>
        <w:t>”), and this Amendment amends that certain Agreement and Plan of Merger and Reorganization, entered into as of April 1, 2026, by and among the Parent, Merger Subs and the Company (the “</w:t>
      </w:r>
      <w:r>
        <w:rPr>
          <w:rFonts w:ascii="Times New Roman" w:hAnsi="Times New Roman"/>
          <w:b/>
          <w:sz w:val="20"/>
        </w:rPr>
        <w:t>Merger Agreement</w:t>
      </w:r>
      <w:r>
        <w:rPr>
          <w:rFonts w:ascii="Times New Roman" w:hAnsi="Times New Roman"/>
          <w:sz w:val="20"/>
        </w:rPr>
        <w:t xml:space="preserve">”). Capitalized terms used in this Amendment but not defined herein shall have the meanings given such terms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accordance with </w:t>
      </w:r>
      <w:r>
        <w:rPr>
          <w:rFonts w:ascii="Times New Roman" w:hAnsi="Times New Roman"/>
          <w:sz w:val="20"/>
          <w:u w:val="single"/>
        </w:rPr>
        <w:t>Section 11.2</w:t>
      </w:r>
      <w:r>
        <w:rPr>
          <w:rFonts w:ascii="Times New Roman" w:hAnsi="Times New Roman"/>
          <w:sz w:val="20"/>
        </w:rPr>
        <w:t xml:space="preserve"> of the Merger Agreement, the parties hereto wish to amend the Merger Agreement as specified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Parent, Merger Subs and the Company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to Section 4.4</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of the Merger Agreement is deleted and replaced in its entirety with the following: </w:t>
            </w:r>
          </w:p>
        </w:tc>
      </w:tr>
    </w:tbl>
    <w:p>
      <w:pPr>
        <w:pStyle w:val="TextBody"/>
        <w:bidi w:val="0"/>
        <w:spacing w:before="120" w:after="0"/>
        <w:jc w:val="left"/>
        <w:rPr/>
      </w:pPr>
      <w:r>
        <w:rPr/>
        <w:t>“</w:t>
      </w: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(a) the affirmative vote of a majority of the shares of Parent Common Stock properly cast is the only vote of the holders of any class or series of Parent’s capital stock necessary to approve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(b) the affirmative vote of a majority of all shares of Parent Common Stock entitled to vote is the only vote of the holders of any class or series of Parent’s capital stock necessary to approve clauses (ii), (iii) and (v) of the definition of “Parent Articles of Amendment,” and (c) the affirmative vote of two-thirds of all shares of Parent Common Stock entitled to vote is the only vote of the holders of any class or series of Parent’s capital stock necessary to approve clause (iv)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Acknowledgment</w:t>
            </w:r>
            <w:r>
              <w:rPr>
                <w:rFonts w:ascii="Times New Roman" w:hAnsi="Times New Roman"/>
                <w:sz w:val="20"/>
              </w:rPr>
              <w:t xml:space="preserve">. The parties hereby acknowledge and agree that (i) the approval contemplated by clause (iv) of the definition of “Parent Articles of Amendment” is not necessary to consummate the transactions contemplated by the Merger Agreement, as such phrase is used in Section 7.3 thereof and (ii) Parent’s failure to obtain the approval contemplated by clause (iv) of the definition of “Parent Articles of Amendment,” in and of itself, shall not give rise to the Company’s ability to terminate the Merger Agreement pursuant to Section 10.1(e)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Other Terms.</w:t>
            </w:r>
            <w:r>
              <w:rPr>
                <w:rFonts w:ascii="Times New Roman" w:hAnsi="Times New Roman"/>
                <w:sz w:val="20"/>
              </w:rPr>
              <w:t xml:space="preserve"> All of the provisions of this Amendment shall be effective as of the date hereof. Except as specifically provided for in this Amendment, all of the terms of the Merger Agreement shall remain unchanged and are hereby confirmed and remain in full force and effect, and the provisions of </w:t>
            </w:r>
            <w:r>
              <w:rPr>
                <w:rFonts w:ascii="Times New Roman" w:hAnsi="Times New Roman"/>
                <w:sz w:val="20"/>
                <w:u w:val="single"/>
              </w:rPr>
              <w:t>Section 11</w:t>
            </w:r>
            <w:r>
              <w:rPr>
                <w:rFonts w:ascii="Times New Roman" w:hAnsi="Times New Roman"/>
                <w:sz w:val="20"/>
              </w:rPr>
              <w:t xml:space="preserve"> of the Merger Agreement are incorporated herein by reference and shall apply to the terms and provisions of this Amendment and the parties hereto, </w:t>
            </w:r>
            <w:r>
              <w:rPr>
                <w:rFonts w:ascii="Times New Roman" w:hAnsi="Times New Roman"/>
                <w:i/>
                <w:sz w:val="20"/>
              </w:rPr>
              <w:t>mutatis mutandis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of Amendment</w:t>
            </w:r>
            <w:r>
              <w:rPr>
                <w:rFonts w:ascii="Times New Roman" w:hAnsi="Times New Roman"/>
                <w:sz w:val="20"/>
              </w:rPr>
              <w:t xml:space="preserve">. Whenever the Merger Agreement is referred to in the Merger Agreement or in any other agreements, documents or instruments, such reference shall be deemed to be to the Merger Agreement as amended by this Amendment.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Amendment may be executed in several counterparts, each of which shall be deemed an original and all of which shall constitute one and the same instrument. The exchange of a fully executed Amendment (in counterparts or otherwise) by all parties hereto by electronic transmission in PDF format shall be sufficient to bind the Parties to the terms and conditions of this Amendment. </w:t>
            </w:r>
          </w:p>
        </w:tc>
      </w:tr>
    </w:tbl>
    <w:p>
      <w:pPr>
        <w:pStyle w:val="TextBody"/>
        <w:bidi w:val="0"/>
        <w:spacing w:before="48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intentionally left blank</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Subs and the Company have caused this Amendment to be executed as of the date first above written. </w:t>
      </w:r>
    </w:p>
    <w:p>
      <w:pPr>
        <w:pStyle w:val="TextBody"/>
        <w:bidi w:val="0"/>
        <w:spacing w:before="0" w:after="0"/>
        <w:jc w:val="left"/>
        <w:rPr/>
      </w:pPr>
      <w:r>
        <w:rPr/>
        <w:t> </w:t>
      </w:r>
    </w:p>
    <w:tbl>
      <w:tblPr>
        <w:tblW w:w="4540" w:type="dxa"/>
        <w:jc w:val="right"/>
        <w:tblInd w:w="0" w:type="dxa"/>
        <w:tblLayout w:type="fixed"/>
        <w:tblCellMar>
          <w:top w:w="0" w:type="dxa"/>
          <w:left w:w="0" w:type="dxa"/>
          <w:bottom w:w="0" w:type="dxa"/>
          <w:right w:w="0" w:type="dxa"/>
        </w:tblCellMar>
      </w:tblPr>
      <w:tblGrid>
        <w:gridCol w:w="305"/>
        <w:gridCol w:w="60"/>
        <w:gridCol w:w="417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CYCLERION THERAPEUTICS,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Chief Executive Officer and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CARIBOOS MERGER SUB CORP.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CARIBOOS MERGER SUB II,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Regina Graul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Chief Executive Officer and President</w:t>
            </w:r>
          </w:p>
        </w:tc>
      </w:tr>
      <w:tr>
        <w:trPr>
          <w:trHeight w:val="240" w:hRule="atLeast"/>
        </w:trPr>
        <w:tc>
          <w:tcPr>
            <w:tcW w:w="4540"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b/>
              </w:rPr>
            </w:pPr>
            <w:r>
              <w:rPr>
                <w:b/>
              </w:rPr>
              <w:t>KORSANA BIOSCIENCES,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Jonathan Violin</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Amendment No. 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6" w:name="tx111069_47"/>
      <w:bookmarkEnd w:id="206"/>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8"/>
        <w:gridCol w:w="203"/>
        <w:gridCol w:w="3674"/>
      </w:tblGrid>
      <w:tr>
        <w:trPr/>
        <w:tc>
          <w:tcPr>
            <w:tcW w:w="63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632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1100 Glendon Ave, 905</w:t>
            </w:r>
          </w:p>
          <w:p>
            <w:pPr>
              <w:pStyle w:val="TableContents"/>
              <w:bidi w:val="0"/>
              <w:spacing w:before="0" w:after="20"/>
              <w:jc w:val="right"/>
              <w:rPr>
                <w:rFonts w:ascii="Times New Roman" w:hAnsi="Times New Roman"/>
                <w:b/>
                <w:sz w:val="20"/>
              </w:rPr>
            </w:pPr>
            <w:r>
              <w:rPr>
                <w:rFonts w:ascii="Times New Roman" w:hAnsi="Times New Roman"/>
                <w:b/>
                <w:sz w:val="20"/>
              </w:rPr>
              <w:t>Los Angeles, CA 90024</w:t>
            </w:r>
          </w:p>
        </w:tc>
        <w:tc>
          <w:tcPr>
            <w:tcW w:w="203"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T: 310-696-4001</w:t>
            </w:r>
          </w:p>
          <w:p>
            <w:pPr>
              <w:pStyle w:val="TableContents"/>
              <w:bidi w:val="0"/>
              <w:spacing w:before="0" w:after="20"/>
              <w:jc w:val="right"/>
              <w:rPr>
                <w:rFonts w:ascii="Times New Roman" w:hAnsi="Times New Roman"/>
                <w:b/>
                <w:sz w:val="20"/>
              </w:rPr>
            </w:pPr>
            <w:r>
              <w:rPr>
                <w:rFonts w:ascii="Times New Roman" w:hAnsi="Times New Roman"/>
                <w:b/>
                <w:sz w:val="20"/>
              </w:rPr>
              <w:t>F: 310-696-4007</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March 31, 2026 </w:t>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the opinion (the “Opinion”) of Gemini Valuation Services, LLC (“GVS” and, for the avoidance of doubt, all references to pronouns such as “we” and “our”) as to the fairness from a financial point of view, of the Exchange Ratio (as defined in the Agreement and Plan of Merger and Reorganization (the “Agreement”) to be entered into by Cyclerion Therapeutics Inc. (the “Parent”), Cariboos Merger Sub Corp. (“First Merger Sub”), Cariboos Merger Sub II, LLC (“Second Merger Sub” and together with First Merger Sub, “Merger Sub”) and Korsana Biosciences, Inc. (“Korsana”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Agreement, among other things, (i) the Company will merge with and into First Merger Sub, with the Company as the surviving entity (the “First Merger”) and (ii) immediately following the First Merger, the Company will merge with and into Second Merger Sub (the “Second Merger” and, together with the First Merger, the “Merger”). Pursuant to the terms and subject to the conditions set forth in the Agreement, (a) each outstanding share of Company common stock and Company preferred stock designated as “Series A Preferred Stock” will be converted into the right to receive a number of shares of Parent common stock equal to the Exchange Ratio; provided, that in the event the aggregate number of shares of Cyclerion common stock issuable to holders of Company capital stock would result in the issuance of shares of Parent common stock to a holder in excess of a specified percentage of total outstanding shares of Parent common stock, then the Parent will issue to any such holder (x) shares of Parent common stock up to such holder’s specified percentage and (y) in lieu of any shares in excess of such holder’s specified percentage, pre-funded warrants (the “Pre-Funded Warrants”), to purchase a number of shares of Cyclerion common stock upon exercise of such Pre-Funded Warrants equal to such excess shares, (b) each outstanding share of Company preferred stock designated as “Series Seed Preferred Stock” will be converted into the right to receive a number of shares of Parent Convertible Preferred Stock (as defined in the Agreement) equal to (x) the Exchange Ratio divided by (y) 1,000, (c) each outstanding option to purchase shares of Company capital stock will be assumed by the Parent, subject to adjustment as set forth in the Agreement, (d) each outstanding restricted stock unit award for shares of Company capital stock will be assumed by the Parent, subject to adjustment as set forth in the Agreement and (e) each outstanding warrant to purchase shares of Company capital stock will be assumed by the Parent,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Parent’s underlying business decision to effect the Merger or the relative merits of the Merger as compared to any alternative business strategies or transactions that might be available to the Parent and does not constitute a recommendation to any shareholder of the Parent as to how such shareholder should vote with respect to the Merger or any other matter. At your direction, we have not been asked to, nor do we, offer any opinion as to (i) the material terms of the Agreement or the form of the Merger or any other contractual arrangement that the parties may enter into in connection with the Merger or (ii) the fairness of the Merger to, or any consideration that may be received in connection therewith by, the individual shareholders, nor do we offer any Opinion as to the relative fairness of the consideration and the consideration to be received by different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assumed, with your consent, that the representations and warranties of all parties to the Agreement are true and correct, that each party to the Agreement and Plan of Merger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Agreement, without any modifications or amendments thereto or any adjustment to the Exchange Ratio. In rendering this Opinion, we have also assumed, with your consent, that the final executed form of the Agreement does not differ in any material respect from the draft that we have examined along with the discussion on the draft. We have not been authorized to and have not solicited indications of interest in a possible transaction with the Parent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(i) reviewed the financial statements of the Company; (ii) reviewed certain internal information relating to the business, assets, liabilities, business plan and prospects of the Company furnished to us by the Parent; (iii) conducted discussions with members of senior management and representatives of the Parent concerning the matters described in clauses (i) and (ii) of this paragraph, as well as the business and prospects of the Company generally; (iv) reviewed publicly available financial and stock market data, including valuation levels, for certain other companies in lines of business of the Company that we deemed relevant; (v) reviewed a preliminary draft of the Agreement, dated March 28, 2026; and (vi)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review, we have not assumed any responsibility for independent verification of any of the financial, legal, regulatory, tax accounting and other information supplied to, discussed with, or reviewed by us for the purpose of this Opinion and have, with your consent, relied on such information being complete and accurate in all material respects. In addition, at your direction we have not made any independent evaluation or appraisal of any of the assets or liabilities (contingent, derivative, off-balance-sheet, or otherwise) of the Parent or Korsana, nor have we been furnished with any such evaluation or appraisal. You have directed us to use the assumptions provided by management of Korsana and the Parent for the purposes of our analysis and this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necessarily based on economic, monetary, market and other conditions as in effect on, and the information made available to us as of, the date hereof. In addition, you have not asked us to address, and this Opinion does not address, the fairness to, or any other consideration of, any class of creditors or other constituencies of the Parent, other than the shareholders of the Parent. We also do not express any Opinion as to the fairness of the amount or nature of any compensation to be received by any of the Parent’s officers, directors or employees, or any class of such persons, relative to the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the use and benefit of the Board of Directors of the Parent in the evaluation of the Merger. Based upon and subject to the foregoing, it is our opinion that, as the date hereof, the Exchange Ratio is fair from a financial point of view to the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GEMINI VALUATION SERVICES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Nathan Johnson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Nathan Johnson</w:t>
            </w:r>
          </w:p>
        </w:tc>
      </w:tr>
      <w:tr>
        <w:trPr/>
        <w:tc>
          <w:tcPr>
            <w:tcW w:w="4082" w:type="dxa"/>
            <w:tcBorders/>
          </w:tcPr>
          <w:p>
            <w:pPr>
              <w:pStyle w:val="TableContents"/>
              <w:bidi w:val="0"/>
              <w:spacing w:before="0" w:after="283"/>
              <w:jc w:val="left"/>
              <w:rPr/>
            </w:pPr>
            <w:r>
              <w:rPr/>
              <w:t>Its: Managing Director</w:t>
            </w:r>
          </w:p>
        </w:tc>
      </w:tr>
      <w:tr>
        <w:trPr/>
        <w:tc>
          <w:tcPr>
            <w:tcW w:w="4082" w:type="dxa"/>
            <w:tcBorders/>
          </w:tcPr>
          <w:p>
            <w:pPr>
              <w:pStyle w:val="TableContents"/>
              <w:bidi w:val="0"/>
              <w:spacing w:before="0" w:after="283"/>
              <w:jc w:val="left"/>
              <w:rPr/>
            </w:pPr>
            <w:r>
              <w:rPr/>
              <w:t>Date: 03/31/2026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7" w:name="anxc"/>
      <w:bookmarkStart w:id="208" w:name="tx111069_48"/>
      <w:bookmarkEnd w:id="207"/>
      <w:bookmarkEnd w:id="208"/>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CYCLERION SUPPORT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shareholder of Parent (the “</w:t>
      </w:r>
      <w:r>
        <w:rPr>
          <w:rFonts w:ascii="Times New Roman" w:hAnsi="Times New Roman"/>
          <w:sz w:val="20"/>
          <w:u w:val="single"/>
        </w:rPr>
        <w:t>Shareholder</w:t>
      </w:r>
      <w:r>
        <w:rPr>
          <w:rFonts w:ascii="Times New Roman" w:hAnsi="Times New Roman"/>
          <w:sz w:val="20"/>
        </w:rPr>
        <w:t>” and each of the Shareholder,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Shareholder is the beneficial owner (as defined in Rule 13d-3 under the Exchange Act) of such number of shares of Parent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the Company to enter into the Merger Agreement, Parent has required that Shareholder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Parent Capital Stock and any other equity securities of Parent beneficially owned by the Shareholder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2(d)</w:t>
      </w:r>
      <w:r>
        <w:rPr>
          <w:rFonts w:ascii="Times New Roman" w:hAnsi="Times New Roman"/>
          <w:sz w:val="20"/>
        </w:rPr>
        <w:t xml:space="preserve">, during the period commencing with the execution and delivery of this Agreement and expiring on the Expiration Date (as defined below), the Shareholder shall not Transfer any of the Shareholder’s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 (ii) 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 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 (x) such Transferred Shares shall continue to be bound by this Agreement and (y)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nothing in this Agreement shall obligate the Shareholder to exercise any option or any other right to acquire any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Shareholder Capacity Only</w:t>
      </w:r>
      <w:r>
        <w:rPr>
          <w:rFonts w:ascii="Times New Roman" w:hAnsi="Times New Roman"/>
          <w:sz w:val="20"/>
        </w:rPr>
        <w:t xml:space="preserve">.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the Company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and that such proxy is given to secure the obligations of the Shareholder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Shareholder</w:t>
      </w:r>
      <w:r>
        <w:rPr>
          <w:rFonts w:ascii="Times New Roman" w:hAnsi="Times New Roman"/>
          <w:sz w:val="20"/>
        </w:rPr>
        <w:t xml:space="preserve">. The Shareholder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Shareholder is the beneficial or record owner of the shares of Parent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Shareholder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Shareholder do not and will not require any consent, approval, authorization or permit of, action by, filing with or notification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10</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10(c)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10(h)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49"/>
        <w:gridCol w:w="147"/>
        <w:gridCol w:w="2386"/>
      </w:tblGrid>
      <w:tr>
        <w:trPr/>
        <w:tc>
          <w:tcPr>
            <w:tcW w:w="154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549" w:type="dxa"/>
            <w:tcBorders/>
            <w:vAlign w:val="center"/>
          </w:tcPr>
          <w:p>
            <w:pPr>
              <w:pStyle w:val="TableContents"/>
              <w:bidi w:val="0"/>
              <w:spacing w:before="0" w:after="283"/>
              <w:jc w:val="left"/>
              <w:rPr>
                <w:sz w:val="4"/>
                <w:szCs w:val="4"/>
              </w:rPr>
            </w:pPr>
            <w:r>
              <w:rPr>
                <w:sz w:val="4"/>
                <w:szCs w:val="4"/>
              </w:rPr>
            </w:r>
          </w:p>
        </w:tc>
        <w:tc>
          <w:tcPr>
            <w:tcW w:w="2533" w:type="dxa"/>
            <w:gridSpan w:val="2"/>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49" w:type="dxa"/>
            <w:tcBorders/>
          </w:tcPr>
          <w:p>
            <w:pPr>
              <w:pStyle w:val="TableContents"/>
              <w:bidi w:val="0"/>
              <w:spacing w:before="0" w:after="283"/>
              <w:jc w:val="left"/>
              <w:rPr/>
            </w:pPr>
            <w:r>
              <w:rPr/>
              <w:t>Name:</w:t>
            </w:r>
          </w:p>
        </w:tc>
        <w:tc>
          <w:tcPr>
            <w:tcW w:w="147"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Title:</w:t>
            </w:r>
          </w:p>
        </w:tc>
        <w:tc>
          <w:tcPr>
            <w:tcW w:w="147"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61"/>
        <w:gridCol w:w="169"/>
        <w:gridCol w:w="2152"/>
      </w:tblGrid>
      <w:tr>
        <w:trPr/>
        <w:tc>
          <w:tcPr>
            <w:tcW w:w="176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CYCLERION THERAPEUTICS, INC.</w:t>
            </w:r>
          </w:p>
        </w:tc>
      </w:tr>
      <w:tr>
        <w:trPr>
          <w:trHeight w:val="240" w:hRule="atLeast"/>
        </w:trPr>
        <w:tc>
          <w:tcPr>
            <w:tcW w:w="1761" w:type="dxa"/>
            <w:tcBorders/>
            <w:vAlign w:val="center"/>
          </w:tcPr>
          <w:p>
            <w:pPr>
              <w:pStyle w:val="TableContents"/>
              <w:bidi w:val="0"/>
              <w:spacing w:before="0" w:after="283"/>
              <w:jc w:val="left"/>
              <w:rPr>
                <w:sz w:val="4"/>
                <w:szCs w:val="4"/>
              </w:rPr>
            </w:pPr>
            <w:r>
              <w:rPr>
                <w:sz w:val="4"/>
                <w:szCs w:val="4"/>
              </w:rPr>
            </w:r>
          </w:p>
        </w:tc>
        <w:tc>
          <w:tcPr>
            <w:tcW w:w="2321" w:type="dxa"/>
            <w:gridSpan w:val="2"/>
            <w:tcBorders/>
            <w:vAlign w:val="center"/>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t>By:</w:t>
            </w:r>
          </w:p>
        </w:tc>
        <w:tc>
          <w:tcPr>
            <w:tcW w:w="169" w:type="dxa"/>
            <w:tcBorders>
              <w:bottom w:val="single" w:sz="2" w:space="0" w:color="000000"/>
            </w:tcBorders>
            <w:tcMar>
              <w:bottom w:w="28" w:type="dxa"/>
            </w:tcMar>
            <w:vAlign w:val="bottom"/>
          </w:tcPr>
          <w:p>
            <w:pPr>
              <w:pStyle w:val="TableContents"/>
              <w:bidi w:val="0"/>
              <w:spacing w:before="0" w:after="283"/>
              <w:jc w:val="left"/>
              <w:rPr/>
            </w:pPr>
            <w:r>
              <w:rPr/>
              <w:t> </w:t>
            </w:r>
          </w:p>
        </w:tc>
        <w:tc>
          <w:tcPr>
            <w:tcW w:w="2152" w:type="dxa"/>
            <w:tcBorders>
              <w:bottom w:val="single" w:sz="2" w:space="0" w:color="000000"/>
            </w:tcBorders>
            <w:tcMar>
              <w:bottom w:w="28" w:type="dxa"/>
            </w:tcMar>
          </w:tcPr>
          <w:p>
            <w:pPr>
              <w:pStyle w:val="TableContents"/>
              <w:bidi w:val="0"/>
              <w:spacing w:before="0" w:after="283"/>
              <w:jc w:val="left"/>
              <w:rPr/>
            </w:pPr>
            <w:r>
              <w:rPr/>
              <w:t> </w:t>
            </w:r>
          </w:p>
        </w:tc>
      </w:tr>
      <w:tr>
        <w:trPr/>
        <w:tc>
          <w:tcPr>
            <w:tcW w:w="1761" w:type="dxa"/>
            <w:tcBorders/>
          </w:tcPr>
          <w:p>
            <w:pPr>
              <w:pStyle w:val="TableContents"/>
              <w:bidi w:val="0"/>
              <w:spacing w:before="0" w:after="283"/>
              <w:jc w:val="left"/>
              <w:rPr/>
            </w:pPr>
            <w:r>
              <w:rPr/>
              <w:t>Name:</w:t>
            </w:r>
          </w:p>
        </w:tc>
        <w:tc>
          <w:tcPr>
            <w:tcW w:w="169" w:type="dxa"/>
            <w:tcBorders/>
            <w:vAlign w:val="bottom"/>
          </w:tcPr>
          <w:p>
            <w:pPr>
              <w:pStyle w:val="TableContents"/>
              <w:bidi w:val="0"/>
              <w:spacing w:before="0" w:after="283"/>
              <w:jc w:val="left"/>
              <w:rPr/>
            </w:pPr>
            <w:r>
              <w:rPr/>
              <w:t> </w:t>
            </w:r>
          </w:p>
        </w:tc>
        <w:tc>
          <w:tcPr>
            <w:tcW w:w="2152" w:type="dxa"/>
            <w:tcBorders/>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t>Title:</w:t>
            </w:r>
          </w:p>
        </w:tc>
        <w:tc>
          <w:tcPr>
            <w:tcW w:w="169" w:type="dxa"/>
            <w:tcBorders/>
            <w:vAlign w:val="bottom"/>
          </w:tcPr>
          <w:p>
            <w:pPr>
              <w:pStyle w:val="TableContents"/>
              <w:bidi w:val="0"/>
              <w:spacing w:before="0" w:after="283"/>
              <w:jc w:val="left"/>
              <w:rPr/>
            </w:pPr>
            <w:r>
              <w:rPr/>
              <w:t> </w:t>
            </w:r>
          </w:p>
        </w:tc>
        <w:tc>
          <w:tcPr>
            <w:tcW w:w="215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[SHAREHOLDER],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Shareholder: </w:t>
      </w:r>
    </w:p>
    <w:p>
      <w:pPr>
        <w:pStyle w:val="TextBody"/>
        <w:bidi w:val="0"/>
        <w:spacing w:before="240" w:after="0"/>
        <w:jc w:val="left"/>
        <w:rPr>
          <w:rFonts w:ascii="Times New Roman" w:hAnsi="Times New Roman"/>
          <w:sz w:val="20"/>
        </w:rPr>
      </w:pPr>
      <w:r>
        <w:rPr>
          <w:rFonts w:ascii="Times New Roman" w:hAnsi="Times New Roman"/>
          <w:sz w:val="20"/>
        </w:rPr>
        <w:t>Signature:</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9" w:name="anxd"/>
      <w:bookmarkStart w:id="210" w:name="tx111069_49"/>
      <w:bookmarkEnd w:id="209"/>
      <w:bookmarkEnd w:id="210"/>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KORSANA SUPPORT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stockholder of the Company (the “</w:t>
      </w:r>
      <w:r>
        <w:rPr>
          <w:rFonts w:ascii="Times New Roman" w:hAnsi="Times New Roman"/>
          <w:sz w:val="20"/>
          <w:u w:val="single"/>
        </w:rPr>
        <w:t>Stockholder</w:t>
      </w:r>
      <w:r>
        <w:rPr>
          <w:rFonts w:ascii="Times New Roman" w:hAnsi="Times New Roman"/>
          <w:sz w:val="20"/>
        </w:rPr>
        <w:t>” and each of the Stockholder,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Parent to enter into the Merger Agreement, Parent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and any other equity securities of the Company beneficially owned by the Stockholder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restricted stock units,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Stockholder to exercise any option or any other right to acquire any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 to (a) attend any all meetings of the Company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hAnsi="Times New Roman"/>
          <w:sz w:val="20"/>
          <w:u w:val="single"/>
        </w:rPr>
        <w:t>Appendix B</w:t>
      </w:r>
      <w:r>
        <w:rPr>
          <w:rFonts w:ascii="Times New Roman" w:hAnsi="Times New Roman"/>
          <w:sz w:val="20"/>
        </w:rPr>
        <w:t xml:space="preserve">)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other than the shares of Company Capital Stock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w:t>
      </w:r>
      <w:r>
        <w:rPr>
          <w:rFonts w:ascii="Times New Roman" w:hAnsi="Times New Roman"/>
          <w:sz w:val="20"/>
          <w:u w:val="single"/>
        </w:rPr>
        <w:t>Section 12</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 xml:space="preserve">Confidentiality. </w:t>
      </w:r>
      <w:r>
        <w:rPr>
          <w:rFonts w:ascii="Times New Roman" w:hAnsi="Times New Roman"/>
          <w:sz w:val="20"/>
        </w:rPr>
        <w:t>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49"/>
        <w:gridCol w:w="147"/>
        <w:gridCol w:w="2386"/>
      </w:tblGrid>
      <w:tr>
        <w:trPr/>
        <w:tc>
          <w:tcPr>
            <w:tcW w:w="154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549" w:type="dxa"/>
            <w:tcBorders/>
            <w:vAlign w:val="center"/>
          </w:tcPr>
          <w:p>
            <w:pPr>
              <w:pStyle w:val="TableContents"/>
              <w:bidi w:val="0"/>
              <w:spacing w:before="0" w:after="283"/>
              <w:jc w:val="left"/>
              <w:rPr>
                <w:sz w:val="4"/>
                <w:szCs w:val="4"/>
              </w:rPr>
            </w:pPr>
            <w:r>
              <w:rPr>
                <w:sz w:val="4"/>
                <w:szCs w:val="4"/>
              </w:rPr>
            </w:r>
          </w:p>
        </w:tc>
        <w:tc>
          <w:tcPr>
            <w:tcW w:w="2533" w:type="dxa"/>
            <w:gridSpan w:val="2"/>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49" w:type="dxa"/>
            <w:tcBorders/>
          </w:tcPr>
          <w:p>
            <w:pPr>
              <w:pStyle w:val="TableContents"/>
              <w:bidi w:val="0"/>
              <w:spacing w:before="0" w:after="283"/>
              <w:jc w:val="left"/>
              <w:rPr/>
            </w:pPr>
            <w:r>
              <w:rPr/>
              <w:t>Name:</w:t>
            </w:r>
          </w:p>
        </w:tc>
        <w:tc>
          <w:tcPr>
            <w:tcW w:w="147" w:type="dxa"/>
            <w:tcBorders/>
            <w:vAlign w:val="bottom"/>
          </w:tcPr>
          <w:p>
            <w:pPr>
              <w:pStyle w:val="TableContents"/>
              <w:bidi w:val="0"/>
              <w:spacing w:before="0" w:after="283"/>
              <w:jc w:val="left"/>
              <w:rPr/>
            </w:pPr>
            <w:r>
              <w:rPr/>
              <w:t> </w:t>
            </w:r>
          </w:p>
        </w:tc>
        <w:tc>
          <w:tcPr>
            <w:tcW w:w="2386" w:type="dxa"/>
            <w:tcBorders/>
            <w:vAlign w:val="bottom"/>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Title:</w:t>
            </w:r>
          </w:p>
        </w:tc>
        <w:tc>
          <w:tcPr>
            <w:tcW w:w="147" w:type="dxa"/>
            <w:tcBorders/>
            <w:vAlign w:val="bottom"/>
          </w:tcPr>
          <w:p>
            <w:pPr>
              <w:pStyle w:val="TableContents"/>
              <w:bidi w:val="0"/>
              <w:spacing w:before="0" w:after="283"/>
              <w:jc w:val="left"/>
              <w:rPr/>
            </w:pPr>
            <w:r>
              <w:rPr/>
              <w:t> </w:t>
            </w:r>
          </w:p>
        </w:tc>
        <w:tc>
          <w:tcPr>
            <w:tcW w:w="238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61"/>
        <w:gridCol w:w="169"/>
        <w:gridCol w:w="2152"/>
      </w:tblGrid>
      <w:tr>
        <w:trPr/>
        <w:tc>
          <w:tcPr>
            <w:tcW w:w="176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CYCLERION THERAPEUTICS, INC.</w:t>
            </w:r>
          </w:p>
        </w:tc>
      </w:tr>
      <w:tr>
        <w:trPr>
          <w:trHeight w:val="240" w:hRule="atLeast"/>
        </w:trPr>
        <w:tc>
          <w:tcPr>
            <w:tcW w:w="1761" w:type="dxa"/>
            <w:tcBorders/>
            <w:vAlign w:val="center"/>
          </w:tcPr>
          <w:p>
            <w:pPr>
              <w:pStyle w:val="TableContents"/>
              <w:bidi w:val="0"/>
              <w:spacing w:before="0" w:after="283"/>
              <w:jc w:val="left"/>
              <w:rPr>
                <w:sz w:val="4"/>
                <w:szCs w:val="4"/>
              </w:rPr>
            </w:pPr>
            <w:r>
              <w:rPr>
                <w:sz w:val="4"/>
                <w:szCs w:val="4"/>
              </w:rPr>
            </w:r>
          </w:p>
        </w:tc>
        <w:tc>
          <w:tcPr>
            <w:tcW w:w="2321" w:type="dxa"/>
            <w:gridSpan w:val="2"/>
            <w:tcBorders/>
            <w:vAlign w:val="center"/>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t>By:</w:t>
            </w:r>
          </w:p>
        </w:tc>
        <w:tc>
          <w:tcPr>
            <w:tcW w:w="169" w:type="dxa"/>
            <w:tcBorders>
              <w:bottom w:val="single" w:sz="2" w:space="0" w:color="000000"/>
            </w:tcBorders>
            <w:tcMar>
              <w:bottom w:w="28" w:type="dxa"/>
            </w:tcMar>
            <w:vAlign w:val="bottom"/>
          </w:tcPr>
          <w:p>
            <w:pPr>
              <w:pStyle w:val="TableContents"/>
              <w:bidi w:val="0"/>
              <w:spacing w:before="0" w:after="283"/>
              <w:jc w:val="left"/>
              <w:rPr/>
            </w:pPr>
            <w:r>
              <w:rPr/>
              <w:t> </w:t>
            </w:r>
          </w:p>
        </w:tc>
        <w:tc>
          <w:tcPr>
            <w:tcW w:w="2152" w:type="dxa"/>
            <w:tcBorders>
              <w:bottom w:val="single" w:sz="2" w:space="0" w:color="000000"/>
            </w:tcBorders>
            <w:tcMar>
              <w:bottom w:w="28" w:type="dxa"/>
            </w:tcMar>
          </w:tcPr>
          <w:p>
            <w:pPr>
              <w:pStyle w:val="TableContents"/>
              <w:bidi w:val="0"/>
              <w:spacing w:before="0" w:after="283"/>
              <w:jc w:val="left"/>
              <w:rPr/>
            </w:pPr>
            <w:r>
              <w:rPr/>
              <w:t> </w:t>
            </w:r>
          </w:p>
        </w:tc>
      </w:tr>
      <w:tr>
        <w:trPr/>
        <w:tc>
          <w:tcPr>
            <w:tcW w:w="1761" w:type="dxa"/>
            <w:tcBorders/>
          </w:tcPr>
          <w:p>
            <w:pPr>
              <w:pStyle w:val="TableContents"/>
              <w:bidi w:val="0"/>
              <w:spacing w:before="0" w:after="283"/>
              <w:jc w:val="left"/>
              <w:rPr/>
            </w:pPr>
            <w:r>
              <w:rPr/>
              <w:t>Name:</w:t>
            </w:r>
          </w:p>
        </w:tc>
        <w:tc>
          <w:tcPr>
            <w:tcW w:w="169" w:type="dxa"/>
            <w:tcBorders/>
            <w:vAlign w:val="bottom"/>
          </w:tcPr>
          <w:p>
            <w:pPr>
              <w:pStyle w:val="TableContents"/>
              <w:bidi w:val="0"/>
              <w:spacing w:before="0" w:after="283"/>
              <w:jc w:val="left"/>
              <w:rPr/>
            </w:pPr>
            <w:r>
              <w:rPr/>
              <w:t> </w:t>
            </w:r>
          </w:p>
        </w:tc>
        <w:tc>
          <w:tcPr>
            <w:tcW w:w="2152" w:type="dxa"/>
            <w:tcBorders/>
            <w:vAlign w:val="bottom"/>
          </w:tcPr>
          <w:p>
            <w:pPr>
              <w:pStyle w:val="TableContents"/>
              <w:bidi w:val="0"/>
              <w:spacing w:before="0" w:after="283"/>
              <w:jc w:val="left"/>
              <w:rPr>
                <w:sz w:val="4"/>
                <w:szCs w:val="4"/>
              </w:rPr>
            </w:pPr>
            <w:r>
              <w:rPr>
                <w:sz w:val="4"/>
                <w:szCs w:val="4"/>
              </w:rPr>
            </w:r>
          </w:p>
        </w:tc>
      </w:tr>
      <w:tr>
        <w:trPr/>
        <w:tc>
          <w:tcPr>
            <w:tcW w:w="1761" w:type="dxa"/>
            <w:tcBorders/>
          </w:tcPr>
          <w:p>
            <w:pPr>
              <w:pStyle w:val="TableContents"/>
              <w:bidi w:val="0"/>
              <w:spacing w:before="0" w:after="283"/>
              <w:jc w:val="left"/>
              <w:rPr/>
            </w:pPr>
            <w:r>
              <w:rPr/>
              <w:t>Title:</w:t>
            </w:r>
          </w:p>
        </w:tc>
        <w:tc>
          <w:tcPr>
            <w:tcW w:w="169" w:type="dxa"/>
            <w:tcBorders/>
            <w:vAlign w:val="bottom"/>
          </w:tcPr>
          <w:p>
            <w:pPr>
              <w:pStyle w:val="TableContents"/>
              <w:bidi w:val="0"/>
              <w:spacing w:before="0" w:after="283"/>
              <w:jc w:val="left"/>
              <w:rPr/>
            </w:pPr>
            <w:r>
              <w:rPr/>
              <w:t> </w:t>
            </w:r>
          </w:p>
        </w:tc>
        <w:tc>
          <w:tcPr>
            <w:tcW w:w="215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[STOCKHOLDER],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1" w:name="anxe"/>
      <w:bookmarkStart w:id="212" w:name="tx111069_50"/>
      <w:bookmarkEnd w:id="211"/>
      <w:bookmarkEnd w:id="212"/>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Cyclerion Therapeutics, Inc., a Massachusetts corporation (including any successor thereto, “</w:t>
      </w:r>
      <w:r>
        <w:rPr>
          <w:rFonts w:ascii="Times New Roman" w:hAnsi="Times New Roman"/>
          <w:sz w:val="20"/>
          <w:u w:val="single"/>
        </w:rPr>
        <w:t>Parent</w:t>
      </w:r>
      <w:r>
        <w:rPr>
          <w:rFonts w:ascii="Times New Roman" w:hAnsi="Times New Roman"/>
          <w:sz w:val="20"/>
        </w:rPr>
        <w:t>”), has entered into an Agreement and Plan of Merger and Reorganization, dated as of April 1, 2026 (as the same may be amended from time to time, the “</w:t>
      </w:r>
      <w:r>
        <w:rPr>
          <w:rFonts w:ascii="Times New Roman" w:hAnsi="Times New Roman"/>
          <w:sz w:val="20"/>
          <w:u w:val="single"/>
        </w:rPr>
        <w:t>Merger Agreement</w:t>
      </w:r>
      <w:r>
        <w:rPr>
          <w:rFonts w:ascii="Times New Roman" w:hAnsi="Times New Roman"/>
          <w:sz w:val="20"/>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Lock-Up Agreement shall terminate immediately upon the undersigned’s termination of employment with Parent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Units or (iii) any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shares of Parent Common Stock (other than such rights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any grantors or beneficiaries of the trust;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or amendment to,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(including a forfeiture or repurchase) to Parent of any shares of Parent Common Stock issued pursuant to a Parent Restricted Stock Award or otherwise granted pursuant to the terms of any employee benefit plan or restricted stock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distributions, sales or other transactions by the undersigned of shares of Parent Common Stock purchased by the undersigned on the open market or in a public offering by Parent, in each case following the date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an order of a court or regulatory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undersigned of shares of Parent Common Stock issued pursuant to the Merger Agreement in respect of shares of the Company, if any, purchased from the Company on or about the Closing Date but prior to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is binding upon the undersigned’s heirs,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hAnsi="Times New Roman"/>
                <w:sz w:val="20"/>
                <w:u w:val="single"/>
              </w:rPr>
              <w:t>Section 11</w:t>
            </w:r>
            <w:r>
              <w:rPr>
                <w:rFonts w:ascii="Times New Roman" w:hAnsi="Times New Roman"/>
                <w:sz w:val="20"/>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560"/>
        <w:gridCol w:w="76"/>
        <w:gridCol w:w="3446"/>
      </w:tblGrid>
      <w:tr>
        <w:trPr/>
        <w:tc>
          <w:tcPr>
            <w:tcW w:w="5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 [NAME]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Signature (for entities):</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76" w:type="dxa"/>
            <w:tcBorders/>
            <w:vAlign w:val="bottom"/>
          </w:tcPr>
          <w:p>
            <w:pPr>
              <w:pStyle w:val="TableContents"/>
              <w:bidi w:val="0"/>
              <w:spacing w:before="0" w:after="283"/>
              <w:jc w:val="left"/>
              <w:rPr/>
            </w:pPr>
            <w:r>
              <w:rPr/>
              <w:t> </w:t>
            </w:r>
          </w:p>
        </w:tc>
        <w:tc>
          <w:tcPr>
            <w:tcW w:w="3446" w:type="dxa"/>
            <w:tcBorders/>
            <w:vAlign w:val="bottom"/>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46" w:type="dxa"/>
            <w:tcBorders/>
            <w:vAlign w:val="bottom"/>
          </w:tcPr>
          <w:p>
            <w:pPr>
              <w:pStyle w:val="TableContents"/>
              <w:bidi w:val="0"/>
              <w:spacing w:before="0" w:after="283"/>
              <w:jc w:val="left"/>
              <w:rPr/>
            </w:pPr>
            <w:r>
              <w:rPr/>
              <w:t>Name:</w:t>
            </w:r>
          </w:p>
        </w:tc>
      </w:tr>
      <w:tr>
        <w:trPr/>
        <w:tc>
          <w:tcPr>
            <w:tcW w:w="560"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446" w:type="dxa"/>
            <w:tcBorders/>
            <w:vAlign w:val="bottom"/>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1000"/>
        <w:gridCol w:w="103"/>
        <w:gridCol w:w="2979"/>
      </w:tblGrid>
      <w:tr>
        <w:trPr/>
        <w:tc>
          <w:tcPr>
            <w:tcW w:w="10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Accepted and Agreed by </w:t>
            </w:r>
            <w:r>
              <w:rPr>
                <w:b/>
              </w:rPr>
              <w:t>PARENT</w:t>
            </w:r>
            <w:r>
              <w:rPr/>
              <w:t>:</w:t>
            </w:r>
          </w:p>
        </w:tc>
      </w:tr>
      <w:tr>
        <w:trPr>
          <w:trHeight w:val="240" w:hRule="atLeast"/>
        </w:trPr>
        <w:tc>
          <w:tcPr>
            <w:tcW w:w="1000" w:type="dxa"/>
            <w:tcBorders/>
            <w:vAlign w:val="center"/>
          </w:tcPr>
          <w:p>
            <w:pPr>
              <w:pStyle w:val="TableContents"/>
              <w:bidi w:val="0"/>
              <w:spacing w:before="0" w:after="283"/>
              <w:jc w:val="left"/>
              <w:rPr>
                <w:sz w:val="4"/>
                <w:szCs w:val="4"/>
              </w:rPr>
            </w:pPr>
            <w:r>
              <w:rPr>
                <w:sz w:val="4"/>
                <w:szCs w:val="4"/>
              </w:rPr>
            </w:r>
          </w:p>
        </w:tc>
        <w:tc>
          <w:tcPr>
            <w:tcW w:w="3082" w:type="dxa"/>
            <w:gridSpan w:val="2"/>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2979" w:type="dxa"/>
            <w:tcBorders>
              <w:bottom w:val="single" w:sz="2" w:space="0" w:color="000000"/>
            </w:tcBorders>
            <w:tcMar>
              <w:bottom w:w="28" w:type="dxa"/>
            </w:tcMar>
          </w:tcPr>
          <w:p>
            <w:pPr>
              <w:pStyle w:val="TableContents"/>
              <w:bidi w:val="0"/>
              <w:spacing w:before="0" w:after="283"/>
              <w:jc w:val="left"/>
              <w:rPr/>
            </w:pPr>
            <w:r>
              <w:rPr/>
              <w:t> </w:t>
            </w:r>
          </w:p>
        </w:tc>
      </w:tr>
      <w:tr>
        <w:trPr/>
        <w:tc>
          <w:tcPr>
            <w:tcW w:w="1000" w:type="dxa"/>
            <w:tcBorders/>
          </w:tcPr>
          <w:p>
            <w:pPr>
              <w:pStyle w:val="TableContents"/>
              <w:bidi w:val="0"/>
              <w:spacing w:before="0" w:after="283"/>
              <w:jc w:val="left"/>
              <w:rPr>
                <w:sz w:val="20"/>
              </w:rPr>
            </w:pPr>
            <w:r>
              <w:rPr>
                <w:sz w:val="20"/>
              </w:rPr>
              <w:t>Name:</w:t>
            </w:r>
          </w:p>
        </w:tc>
        <w:tc>
          <w:tcPr>
            <w:tcW w:w="103" w:type="dxa"/>
            <w:tcBorders/>
            <w:vAlign w:val="bottom"/>
          </w:tcPr>
          <w:p>
            <w:pPr>
              <w:pStyle w:val="TableContents"/>
              <w:bidi w:val="0"/>
              <w:spacing w:before="0" w:after="283"/>
              <w:jc w:val="left"/>
              <w:rPr/>
            </w:pPr>
            <w:r>
              <w:rPr/>
              <w:t> </w:t>
            </w:r>
          </w:p>
        </w:tc>
        <w:tc>
          <w:tcPr>
            <w:tcW w:w="2979" w:type="dxa"/>
            <w:tcBorders/>
            <w:vAlign w:val="bottom"/>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sz w:val="20"/>
              </w:rPr>
            </w:pPr>
            <w:r>
              <w:rPr>
                <w:sz w:val="20"/>
              </w:rPr>
              <w:t>Title:</w:t>
            </w:r>
          </w:p>
        </w:tc>
        <w:tc>
          <w:tcPr>
            <w:tcW w:w="103" w:type="dxa"/>
            <w:tcBorders/>
            <w:vAlign w:val="bottom"/>
          </w:tcPr>
          <w:p>
            <w:pPr>
              <w:pStyle w:val="TableContents"/>
              <w:bidi w:val="0"/>
              <w:spacing w:before="0" w:after="283"/>
              <w:jc w:val="left"/>
              <w:rPr/>
            </w:pPr>
            <w:r>
              <w:rPr/>
              <w:t> </w:t>
            </w:r>
          </w:p>
        </w:tc>
        <w:tc>
          <w:tcPr>
            <w:tcW w:w="297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3" w:name="tx111069_51"/>
      <w:bookmarkEnd w:id="213"/>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CVR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F </w:t>
      </w:r>
    </w:p>
    <w:p>
      <w:pPr>
        <w:pStyle w:val="TextBody"/>
        <w:bidi w:val="0"/>
        <w:spacing w:before="12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 2026, is entered into by and between Cyclerion Therapeutics, Inc., a Massachusetts corporation (the “</w:t>
      </w:r>
      <w:r>
        <w:rPr>
          <w:rFonts w:ascii="Times New Roman" w:hAnsi="Times New Roman"/>
          <w:b/>
          <w:sz w:val="20"/>
        </w:rPr>
        <w:t>Company</w:t>
      </w:r>
      <w:r>
        <w:rPr>
          <w:rFonts w:ascii="Times New Roman" w:hAnsi="Times New Roman"/>
          <w:sz w:val="20"/>
        </w:rPr>
        <w:t>”), and [__], a [__], as the “Rights Agent” (as defined herein), and [__], a [__], solely in its capacity as the initial representative, agent and attorney in fact of the Holders (the “</w:t>
      </w:r>
      <w:r>
        <w:rPr>
          <w:rFonts w:ascii="Times New Roman" w:hAnsi="Times New Roman"/>
          <w:b/>
          <w:sz w:val="20"/>
        </w:rPr>
        <w:t>Representative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Cariboos Merger Sub Corp., a Delaware corporation and wholly-owned subsidiary of the Company (“</w:t>
      </w:r>
      <w:r>
        <w:rPr>
          <w:rFonts w:ascii="Times New Roman" w:hAnsi="Times New Roman"/>
          <w:b/>
          <w:sz w:val="20"/>
        </w:rPr>
        <w:t>First Merger Sub</w:t>
      </w:r>
      <w:r>
        <w:rPr>
          <w:rFonts w:ascii="Times New Roman" w:hAnsi="Times New Roman"/>
          <w:sz w:val="20"/>
        </w:rPr>
        <w:t>”), Cariboos Merger Sub II, LLC, a Delaware limited liability company and wholly-owned subsidiary of the Company (“</w:t>
      </w:r>
      <w:r>
        <w:rPr>
          <w:rFonts w:ascii="Times New Roman" w:hAnsi="Times New Roman"/>
          <w:b/>
          <w:sz w:val="20"/>
        </w:rPr>
        <w:t>Second Merger Sub</w:t>
      </w:r>
      <w:r>
        <w:rPr>
          <w:rFonts w:ascii="Times New Roman" w:hAnsi="Times New Roman"/>
          <w:sz w:val="20"/>
        </w:rPr>
        <w:t>”), and Korsana Biosciences, Inc., a Delaware corporation (“</w:t>
      </w:r>
      <w:r>
        <w:rPr>
          <w:rFonts w:ascii="Times New Roman" w:hAnsi="Times New Roman"/>
          <w:b/>
          <w:sz w:val="20"/>
        </w:rPr>
        <w:t>Korsana</w:t>
      </w:r>
      <w:r>
        <w:rPr>
          <w:rFonts w:ascii="Times New Roman" w:hAnsi="Times New Roman"/>
          <w:sz w:val="20"/>
        </w:rPr>
        <w:t>”), have entered into an Agreement and Plan of Merger and Reorganization, dated as of April 1, 2026 (the “</w:t>
      </w:r>
      <w:r>
        <w:rPr>
          <w:rFonts w:ascii="Times New Roman" w:hAnsi="Times New Roman"/>
          <w:b/>
          <w:sz w:val="20"/>
        </w:rPr>
        <w:t>Merger Agreement</w:t>
      </w:r>
      <w:r>
        <w:rPr>
          <w:rFonts w:ascii="Times New Roman" w:hAnsi="Times New Roman"/>
          <w:sz w:val="20"/>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issue to the Holders (as defined herein) contingent value rights as hereinafter described;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12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35%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Shares</w:t>
      </w:r>
      <w:r>
        <w:rPr>
          <w:rFonts w:ascii="Times New Roman" w:hAnsi="Times New Roman"/>
          <w:sz w:val="20"/>
        </w:rPr>
        <w:t xml:space="preserve">” means shares of Parent Common Stock (including, for the avoidance of doubt, those shares of Parent Common Stock with respect to Parent Restricted Stock Awards accelerated pursuant to Section 6.6(e) of the Merger Agreement) and shares of Parent Preferred Stock.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Proceeds pursuant to the Merger Agreement and this Agreement. </w:t>
      </w:r>
    </w:p>
    <w:p>
      <w:pPr>
        <w:pStyle w:val="TextBody"/>
        <w:bidi w:val="0"/>
        <w:spacing w:before="240" w:after="0"/>
        <w:jc w:val="left"/>
        <w:rPr/>
      </w:pPr>
      <w:r>
        <w:rPr/>
        <w:t>“</w:t>
      </w:r>
      <w:r>
        <w:rPr>
          <w:rFonts w:ascii="Times New Roman" w:hAnsi="Times New Roman"/>
          <w:b/>
          <w:sz w:val="20"/>
        </w:rPr>
        <w:t>CVR Expense Cap</w:t>
      </w:r>
      <w:r>
        <w:rPr>
          <w:rFonts w:ascii="Times New Roman" w:hAnsi="Times New Roman"/>
          <w:sz w:val="20"/>
        </w:rPr>
        <w:t xml:space="preserve">” has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 </w:t>
      </w:r>
    </w:p>
    <w:p>
      <w:pPr>
        <w:pStyle w:val="TextBody"/>
        <w:bidi w:val="0"/>
        <w:spacing w:before="240" w:after="0"/>
        <w:jc w:val="left"/>
        <w:rPr/>
      </w:pPr>
      <w:r>
        <w:rPr/>
        <w:t>“</w:t>
      </w:r>
      <w:r>
        <w:rPr>
          <w:rFonts w:ascii="Times New Roman" w:hAnsi="Times New Roman"/>
          <w:b/>
          <w:sz w:val="20"/>
        </w:rPr>
        <w:t>CVR Payment Date</w:t>
      </w:r>
      <w:r>
        <w:rPr>
          <w:rFonts w:ascii="Times New Roman" w:hAnsi="Times New Roman"/>
          <w:sz w:val="20"/>
        </w:rPr>
        <w:t xml:space="preserve">” means a date that is no later than thirty (30) days following the receipt of the corresponding portion of Gross Proceeds by the Company or any of its Affiliates, pursuant to which CVR Proceeds are payable to Holders. </w:t>
      </w:r>
    </w:p>
    <w:p>
      <w:pPr>
        <w:pStyle w:val="TextBody"/>
        <w:bidi w:val="0"/>
        <w:spacing w:before="240" w:after="0"/>
        <w:jc w:val="left"/>
        <w:rPr/>
      </w:pPr>
      <w:r>
        <w:rPr/>
        <w:t>“</w:t>
      </w:r>
      <w:r>
        <w:rPr>
          <w:rFonts w:ascii="Times New Roman" w:hAnsi="Times New Roman"/>
          <w:b/>
          <w:sz w:val="20"/>
        </w:rPr>
        <w:t>CVR Payment Notice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Proceeds</w:t>
      </w:r>
      <w:r>
        <w:rPr>
          <w:rFonts w:ascii="Times New Roman" w:hAnsi="Times New Roman"/>
          <w:sz w:val="20"/>
        </w:rPr>
        <w:t xml:space="preserve">” means, without duplication, 100% of the Net Proceeds in the case of any Legacy Assets Transaction.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Date and ending upon the second (2nd) anniversary of this Agreement; </w:t>
      </w:r>
      <w:r>
        <w:rPr>
          <w:rFonts w:ascii="Times New Roman" w:hAnsi="Times New Roman"/>
          <w:sz w:val="20"/>
          <w:u w:val="single"/>
        </w:rPr>
        <w:t>provided</w:t>
      </w:r>
      <w:r>
        <w:rPr>
          <w:rFonts w:ascii="Times New Roman" w:hAnsi="Times New Roman"/>
          <w:sz w:val="20"/>
        </w:rPr>
        <w:t xml:space="preserve">, that, (i) with respect to the Legacy Assets Transaction Agreement set forth on </w:t>
      </w:r>
      <w:r>
        <w:rPr>
          <w:rFonts w:ascii="Times New Roman" w:hAnsi="Times New Roman"/>
          <w:sz w:val="20"/>
          <w:u w:val="single"/>
        </w:rPr>
        <w:t>Schedule 1.1</w:t>
      </w:r>
      <w:r>
        <w:rPr>
          <w:rFonts w:ascii="Times New Roman" w:hAnsi="Times New Roman"/>
          <w:sz w:val="20"/>
        </w:rPr>
        <w:t xml:space="preserve">1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Legacy Assets</w:t>
      </w:r>
      <w:r>
        <w:rPr>
          <w:rFonts w:ascii="Times New Roman" w:hAnsi="Times New Roman"/>
          <w:sz w:val="20"/>
        </w:rPr>
        <w:t xml:space="preserve">” means all of the Company’s and the Company’s Subsidiaries’ right, title and interest in and to the tangible and intangible assets of the Company or any of its Subsidiaries as of immediately prior to the Closing Date. </w:t>
      </w:r>
    </w:p>
    <w:p>
      <w:pPr>
        <w:pStyle w:val="TextBody"/>
        <w:bidi w:val="0"/>
        <w:spacing w:before="240" w:after="0"/>
        <w:jc w:val="left"/>
        <w:rPr/>
      </w:pPr>
      <w:r>
        <w:rPr/>
        <w:t>“</w:t>
      </w:r>
      <w:r>
        <w:rPr>
          <w:rFonts w:ascii="Times New Roman" w:hAnsi="Times New Roman"/>
          <w:b/>
          <w:sz w:val="20"/>
        </w:rPr>
        <w:t>Legacy Assets Transaction</w:t>
      </w:r>
      <w:r>
        <w:rPr>
          <w:rFonts w:ascii="Times New Roman" w:hAnsi="Times New Roman"/>
          <w:sz w:val="20"/>
        </w:rPr>
        <w:t xml:space="preserve">”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Legacy Assets Transaction Agreement</w:t>
      </w:r>
      <w:r>
        <w:rPr>
          <w:rFonts w:ascii="Times New Roman" w:hAnsi="Times New Roman"/>
          <w:sz w:val="20"/>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hAnsi="Times New Roman"/>
          <w:sz w:val="20"/>
          <w:u w:val="single"/>
        </w:rPr>
        <w:t>Schedule 1.2</w:t>
      </w:r>
      <w:r>
        <w:rPr>
          <w:rFonts w:ascii="Times New Roman" w:hAnsi="Times New Roman"/>
          <w:sz w:val="20"/>
        </w:rPr>
        <w:t xml:space="preserve">2 hereto or entered into during the Legacy Assets Transaction Period. </w:t>
      </w:r>
    </w:p>
    <w:p>
      <w:pPr>
        <w:pStyle w:val="TextBody"/>
        <w:bidi w:val="0"/>
        <w:spacing w:before="0" w:after="0"/>
        <w:jc w:val="left"/>
        <w:rPr/>
      </w:pPr>
      <w:r>
        <w:rPr/>
        <w:t> </w:t>
      </w:r>
    </w:p>
    <w:p>
      <w:pPr>
        <w:pStyle w:val="TextBody"/>
        <w:bidi w:val="0"/>
        <w:spacing w:before="240" w:after="0"/>
        <w:jc w:val="left"/>
        <w:rPr/>
      </w:pPr>
      <w:r>
        <w:rPr/>
        <w:t>“</w:t>
      </w:r>
      <w:r>
        <w:rPr>
          <w:rFonts w:ascii="Times New Roman" w:hAnsi="Times New Roman"/>
          <w:b/>
          <w:sz w:val="20"/>
        </w:rPr>
        <w:t>Legacy Assets Transaction Period</w:t>
      </w:r>
      <w:r>
        <w:rPr>
          <w:rFonts w:ascii="Times New Roman" w:hAnsi="Times New Roman"/>
          <w:sz w:val="20"/>
        </w:rPr>
        <w:t xml:space="preserve">”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and any Parent Legacy Transaction entered into prior to Closing,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any proceeds in consideration for a Legacy Assets Transaction pursuant to a Legacy Assets Transaction Agreement included in the final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royalties or other amounts payable by the Company or any of its Affiliates to any third party in connection with any Legacy Assets; </w:t>
      </w:r>
    </w:p>
    <w:p>
      <w:pPr>
        <w:pStyle w:val="TextBody"/>
        <w:bidi w:val="0"/>
        <w:spacing w:before="240" w:after="0"/>
        <w:jc w:val="left"/>
        <w:rPr>
          <w:rFonts w:ascii="Times New Roman" w:hAnsi="Times New Roman"/>
          <w:sz w:val="20"/>
        </w:rPr>
      </w:pPr>
      <w:r>
        <w:rPr>
          <w:rFonts w:ascii="Times New Roman" w:hAnsi="Times New Roman"/>
          <w:sz w:val="20"/>
        </w:rPr>
        <w:t xml:space="preserve">(g) any Liabilities borne by the Company or any of its Affiliates pursuant to Contracts related to Legacy Assets, including costs arising from the termination thereof (in each case, only to the extent not included in the calculation of Parent Net Cash); and </w:t>
      </w:r>
    </w:p>
    <w:p>
      <w:pPr>
        <w:pStyle w:val="TextBody"/>
        <w:bidi w:val="0"/>
        <w:spacing w:before="240" w:after="0"/>
        <w:jc w:val="left"/>
        <w:rPr>
          <w:rFonts w:ascii="Times New Roman" w:hAnsi="Times New Roman"/>
          <w:sz w:val="20"/>
        </w:rPr>
      </w:pPr>
      <w:r>
        <w:rPr>
          <w:rFonts w:ascii="Times New Roman" w:hAnsi="Times New Roman"/>
          <w:sz w:val="20"/>
        </w:rPr>
        <w:t xml:space="preserve">(h) any Liabilities existing or incurred during the CVR Term that would have been required to be included in the calculation of the Parent Net Cash to the extent not taken account in the calculation of the Parent Net Cash in accordance with the Merger Agreement.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Sale of Tisento</w:t>
      </w:r>
      <w:r>
        <w:rPr>
          <w:rFonts w:ascii="Times New Roman" w:hAnsi="Times New Roman"/>
          <w:sz w:val="20"/>
        </w:rPr>
        <w:t xml:space="preserve">”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Tisento</w:t>
      </w:r>
      <w:r>
        <w:rPr>
          <w:rFonts w:ascii="Times New Roman" w:hAnsi="Times New Roman"/>
          <w:sz w:val="20"/>
        </w:rPr>
        <w:t xml:space="preserve">” means Tisento Therapeutics Holdings Inc. </w:t>
      </w:r>
    </w:p>
    <w:p>
      <w:pPr>
        <w:pStyle w:val="TextBody"/>
        <w:bidi w:val="0"/>
        <w:spacing w:before="240" w:after="0"/>
        <w:jc w:val="left"/>
        <w:rPr/>
      </w:pPr>
      <w:r>
        <w:rPr/>
        <w:t>“</w:t>
      </w:r>
      <w:r>
        <w:rPr>
          <w:rFonts w:ascii="Times New Roman" w:hAnsi="Times New Roman"/>
          <w:b/>
          <w:sz w:val="20"/>
        </w:rPr>
        <w:t>Tisento Shares</w:t>
      </w:r>
      <w:r>
        <w:rPr>
          <w:rFonts w:ascii="Times New Roman" w:hAnsi="Times New Roman"/>
          <w:sz w:val="20"/>
        </w:rPr>
        <w:t xml:space="preserve">” means the equity interests of Tisento owned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 </w:t>
      </w:r>
    </w:p>
    <w:p>
      <w:pPr>
        <w:pStyle w:val="TextBody"/>
        <w:bidi w:val="0"/>
        <w:spacing w:before="24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Company Shares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each CVR Payment Date and subject to </w:t>
      </w:r>
      <w:r>
        <w:rPr>
          <w:rFonts w:ascii="Times New Roman" w:hAnsi="Times New Roman"/>
          <w:sz w:val="20"/>
          <w:u w:val="single"/>
        </w:rPr>
        <w:t>Section 4.6</w:t>
      </w:r>
      <w:r>
        <w:rPr>
          <w:rFonts w:ascii="Times New Roman" w:hAnsi="Times New Roman"/>
          <w:sz w:val="20"/>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hAnsi="Times New Roman"/>
          <w:b/>
          <w:sz w:val="20"/>
        </w:rPr>
        <w:t>CVR Payment Notice</w:t>
      </w:r>
      <w:r>
        <w:rPr>
          <w:rFonts w:ascii="Times New Roman" w:hAnsi="Times New Roman"/>
          <w:sz w:val="20"/>
        </w:rPr>
        <w:t xml:space="preserve">”), (ii) a letter of instruction setting forth, for each CVR, the CVR Payment Amount with respect thereto (including each component included in the calculation thereof) and (iii) any other letter of instruction reasonably required by the Rights Agent. On or prior to any CVR Payment Date and subject to </w:t>
      </w:r>
      <w:r>
        <w:rPr>
          <w:rFonts w:ascii="Times New Roman" w:hAnsi="Times New Roman"/>
          <w:sz w:val="20"/>
          <w:u w:val="single"/>
        </w:rPr>
        <w:t>Section 4.6</w:t>
      </w:r>
      <w:r>
        <w:rPr>
          <w:rFonts w:ascii="Times New Roman" w:hAnsi="Times New Roman"/>
          <w:sz w:val="20"/>
        </w:rPr>
        <w:t xml:space="preserve">, the Company shall deliver to the Rights Agent the CVR Payment Amounts required by </w:t>
      </w:r>
      <w:r>
        <w:rPr>
          <w:rFonts w:ascii="Times New Roman" w:hAnsi="Times New Roman"/>
          <w:sz w:val="20"/>
          <w:u w:val="single"/>
        </w:rPr>
        <w:t>Section 4.6</w:t>
      </w:r>
      <w:r>
        <w:rPr>
          <w:rFonts w:ascii="Times New Roman" w:hAnsi="Times New Roman"/>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2.7</w:t>
      </w:r>
      <w:r>
        <w:rPr>
          <w:rFonts w:ascii="Times New Roman" w:hAnsi="Times New Roman"/>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hAnsi="Times New Roman"/>
          <w:sz w:val="20"/>
          <w:u w:val="single"/>
        </w:rPr>
        <w:t>Section 2.7(b)</w:t>
      </w:r>
      <w:r>
        <w:rPr>
          <w:rFonts w:ascii="Times New Roman" w:hAnsi="Times New Roman"/>
          <w:sz w:val="20"/>
        </w:rPr>
        <w:t xml:space="preserve"> herein. The Rights Agent shall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responsibility or liability for any diminution of funds that may result from any deposit made by the Rights Agent in accordance with this </w:t>
      </w:r>
      <w:r>
        <w:rPr>
          <w:rFonts w:ascii="Times New Roman" w:hAnsi="Times New Roman"/>
          <w:sz w:val="20"/>
          <w:u w:val="single"/>
        </w:rPr>
        <w:t>Section 2.4(b)</w:t>
      </w:r>
      <w:r>
        <w:rPr>
          <w:rFonts w:ascii="Times New Roman" w:hAnsi="Times New Roman"/>
          <w:sz w:val="20"/>
        </w:rPr>
        <w:t xml:space="preserve">,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and that in no event shall the Company, its board of directors or its officers and Affiliates be deemed to have any fiduciary or similar duties to any Holder by virtue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hAnsi="Times New Roman"/>
          <w:sz w:val="20"/>
          <w:u w:val="single"/>
        </w:rPr>
        <w:t>Section 2.7(b)</w:t>
      </w:r>
      <w:r>
        <w:rPr>
          <w:rFonts w:ascii="Times New Roman" w:hAnsi="Times New Roman"/>
          <w:sz w:val="20"/>
        </w:rPr>
        <w:t xml:space="preserve">, the Rights Agent will (and the Company shall instruct the Rights Agent to) provide the opportunity for the Holders to provide properly completed and duly executed Internal Revenue Service Forms W-9 or applicable Form W-8, as applicable, or any other reasonably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Company Shares or any other Person for interest or earnings on any moneys held by the Rights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6.2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Representative,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No Obligations of Public Company</w:t>
      </w:r>
      <w:r>
        <w:rPr>
          <w:rFonts w:ascii="Times New Roman" w:hAnsi="Times New Roman"/>
          <w:sz w:val="20"/>
        </w:rPr>
        <w:t>. Notwithstanding anything herein to the contrary, and for the avoidance of doubt, (a)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 $50,000 (the “</w:t>
      </w:r>
      <w:r>
        <w:rPr>
          <w:rFonts w:ascii="Times New Roman" w:hAnsi="Times New Roman"/>
          <w:b/>
          <w:sz w:val="20"/>
        </w:rPr>
        <w:t>CVR Expense Cap</w:t>
      </w:r>
      <w:r>
        <w:rPr>
          <w:rFonts w:ascii="Times New Roman" w:hAnsi="Times New Roman"/>
          <w:sz w:val="20"/>
        </w:rPr>
        <w:t xml:space="preserve">”)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hAnsi="Times New Roman"/>
          <w:sz w:val="20"/>
          <w:u w:val="single"/>
        </w:rPr>
        <w:t>Section 4.4</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Representative</w:t>
      </w:r>
      <w:r>
        <w:rPr>
          <w:rFonts w:ascii="Times New Roman" w:hAnsi="Times New Roman"/>
          <w:sz w:val="20"/>
        </w:rPr>
        <w:t xml:space="preserve">. Certain Holders may enter into an engagement agreement (the “Representative Engagement Agreement”) with the 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4.6 </w:t>
      </w:r>
      <w:r>
        <w:rPr>
          <w:rFonts w:ascii="Times New Roman" w:hAnsi="Times New Roman"/>
          <w:b/>
          <w:sz w:val="20"/>
          <w:u w:val="single"/>
        </w:rPr>
        <w:t>Payment of CVR Payment Amounts</w:t>
      </w:r>
      <w:r>
        <w:rPr>
          <w:rFonts w:ascii="Times New Roman" w:hAnsi="Times New Roman"/>
          <w:sz w:val="20"/>
        </w:rPr>
        <w:t xml:space="preserve">. The Company shall, promptly following receipt of a payment of CVR Proceeds,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4.7 </w:t>
      </w:r>
      <w:r>
        <w:rPr>
          <w:rFonts w:ascii="Times New Roman" w:hAnsi="Times New Roman"/>
          <w:b/>
          <w:sz w:val="20"/>
          <w:u w:val="single"/>
        </w:rPr>
        <w:t>Prohibited Actions</w:t>
      </w:r>
      <w:r>
        <w:rPr>
          <w:rFonts w:ascii="Times New Roman" w:hAnsi="Times New Roman"/>
          <w:sz w:val="20"/>
        </w:rPr>
        <w:t xml:space="preserve">.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(ii) to evidence the succession of another person to the Company and the assumption of any such successor of the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203 Crescent Street, Buildings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maddy.zeylikman@korsana.com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eshepherd@gibsondunn.com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6.4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hAnsi="Times New Roman"/>
          <w:sz w:val="20"/>
          <w:u w:val="single"/>
        </w:rPr>
        <w:t>Section 6.5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6.6 </w:t>
      </w:r>
      <w:r>
        <w:rPr>
          <w:rFonts w:ascii="Times New Roman" w:hAnsi="Times New Roman"/>
          <w:b/>
          <w:sz w:val="20"/>
          <w:u w:val="single"/>
        </w:rPr>
        <w:t>Benefits of Agreement; Action by Representative</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6.8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6.9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hAnsi="Times New Roman"/>
          <w:sz w:val="20"/>
          <w:u w:val="single"/>
        </w:rPr>
        <w:t>Section 2.4</w:t>
      </w:r>
      <w:r>
        <w:rPr>
          <w:rFonts w:ascii="Times New Roman" w:hAnsi="Times New Roman"/>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24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07"/>
        <w:gridCol w:w="147"/>
        <w:gridCol w:w="2628"/>
      </w:tblGrid>
      <w:tr>
        <w:trPr/>
        <w:tc>
          <w:tcPr>
            <w:tcW w:w="130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CYCLERION THERAPEUTICS, INC.</w:t>
            </w:r>
          </w:p>
        </w:tc>
      </w:tr>
      <w:tr>
        <w:trPr>
          <w:trHeight w:val="240" w:hRule="atLeast"/>
        </w:trPr>
        <w:tc>
          <w:tcPr>
            <w:tcW w:w="1307"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283"/>
              <w:jc w:val="left"/>
              <w:rPr/>
            </w:pPr>
            <w:r>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2628" w:type="dxa"/>
            <w:tcBorders>
              <w:bottom w:val="single" w:sz="2" w:space="0" w:color="000000"/>
            </w:tcBorders>
            <w:tcMar>
              <w:bottom w:w="28" w:type="dxa"/>
            </w:tcMar>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47"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47"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w:t>
            </w:r>
          </w:p>
        </w:tc>
      </w:tr>
      <w:tr>
        <w:trPr>
          <w:trHeight w:val="240" w:hRule="atLeast"/>
        </w:trPr>
        <w:tc>
          <w:tcPr>
            <w:tcW w:w="1307"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283"/>
              <w:jc w:val="left"/>
              <w:rPr/>
            </w:pPr>
            <w:r>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2628" w:type="dxa"/>
            <w:tcBorders>
              <w:bottom w:val="single" w:sz="2" w:space="0" w:color="000000"/>
            </w:tcBorders>
            <w:tcMar>
              <w:bottom w:w="28" w:type="dxa"/>
            </w:tcMar>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47"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47"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4" w:name="tx111069_52"/>
      <w:bookmarkEnd w:id="214"/>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ARTICLES OF AMENDMENT TO THE RESTATED ARTICLES OF ORGANIZATION OF CYCLERION THERAPEUTICS, INC. TO DESIGNATE SERIES B PREFERRED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64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 (2) Registered o? ce address: (number, street, city or town, state, zip code) (3) Th ese articles of amendment a? ect article(s: (specify the number(s) of article(s) being amended (I-VI)) (4) Date adopted: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 cation or cancellation of issued shares. Article I is being amended and restated in its entirety to read as follows: “The exact name of the corporation is [] (the “Corporation”).” Article III is being amended to indicate that [ ] shares of Preferred Stock have been designated as Series B Non-Voting Convertible Preferred Stock, as set forth in Article IV. Article IV is being amended as set forth in Attachment IV to add the preferences, rights and limitations of Series B Non-Voting Convertible Preferred Stock.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 ling is specifi ed: *G.L. Chapter 156D eliminates the concept of par value, however a corporation may specify par value in Article III. See G.L. Chapter 156D, Section 6.21, and the comments relative thereto. Series A Convertible Preferred Series A Convertible Preferred 500,000 Series B Non-Voting Convertible Preferred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 (signature of authorized individual) ® Chairman of the board of directors, ® President, ® Other o?cer, ® Court-appointed ?duciary, on this day of ,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 ling fee in the amount of $ having been paid, said articles are deemed to have been fi led with me this day of, 20 , at a.m./p.m. time E? ective date: (must be within 90 days of date submitted) WILLIAM FRANCIS GALVIN Secretary of the Commonwealth Filing fee: Minimum ? ling fee $100 per article amended, stock increases $100 per 100,000 shares, plus $100 for each additional 100,000 shares or any fraction thereof. Examiner TO BE FILLED IN BY CORPORATION Name approval Contact Information: C M Telephone: Email: Upon ? ling, a copy of this ? ling will be available at www.sec.state.ma.us/cor. If the document is rejected, a copy of the rejection sheet and rejected document will be available in the rejected queue.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ATTACHMENT IV </w:t>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SERIES B CONVERTIBLE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Designation and Amount of Series B Preferred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Stock shall be designated as “Series B Non-Voting Convertible Preferred Stock” and the number of shares constituting the Corporation’s Series B Non-Voting Convertible Preferred Stock (the “</w:t>
      </w:r>
      <w:r>
        <w:rPr>
          <w:rFonts w:ascii="Times New Roman" w:hAnsi="Times New Roman"/>
          <w:b/>
          <w:i/>
          <w:sz w:val="20"/>
        </w:rPr>
        <w:t>Series B Non-Voting Preferred Stock</w:t>
      </w:r>
      <w:r>
        <w:rPr>
          <w:rFonts w:ascii="Times New Roman" w:hAnsi="Times New Roman"/>
          <w:sz w:val="20"/>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hAnsi="Times New Roman"/>
          <w:b/>
          <w:i/>
          <w:sz w:val="20"/>
        </w:rPr>
        <w:t>Merger Agreement</w:t>
      </w:r>
      <w:r>
        <w:rPr>
          <w:rFonts w:ascii="Times New Roman" w:hAnsi="Times New Roman"/>
          <w:sz w:val="20"/>
        </w:rPr>
        <w:t xml:space="preserve">”).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no par value, and stock of any other class of securities into which such securities may hereafter be reclassified or changed.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B Non-Voting Preferred Stock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shares of Series B Non-Voting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B Non-Voting Convertible Preferred Stock (the “</w:t>
      </w:r>
      <w:r>
        <w:rPr>
          <w:rFonts w:ascii="Times New Roman" w:hAnsi="Times New Roman"/>
          <w:b/>
          <w:i/>
          <w:sz w:val="20"/>
        </w:rPr>
        <w:t>Series B Non-Voting Preferred Stock</w:t>
      </w:r>
      <w:r>
        <w:rPr>
          <w:rFonts w:ascii="Times New Roman" w:hAnsi="Times New Roman"/>
          <w:sz w:val="20"/>
        </w:rPr>
        <w:t xml:space="preserve">”) and the number of shares so designated shall be [__]. Each share of Series B Non-Voting Preferred Stock shall have no par value.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the Massachusetts Business Corporation Act (M.G.L. c. 156D) (“</w:t>
      </w:r>
      <w:r>
        <w:rPr>
          <w:rFonts w:ascii="Times New Roman" w:hAnsi="Times New Roman"/>
          <w:b/>
          <w:i/>
          <w:sz w:val="20"/>
        </w:rPr>
        <w:t>Mass Law</w:t>
      </w:r>
      <w:r>
        <w:rPr>
          <w:rFonts w:ascii="Times New Roman" w:hAnsi="Times New Roman"/>
          <w:sz w:val="20"/>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 (D) retain or replace the Corporation’s registered independent public accounting firm, independent compensation consultant or corporate counsel or (iv) enter into any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of the foregoing. Holders of shares of Common Stock acquired upon the conversion of shares of Series B Non-Voting Preferred Stock shall be entitled to the same voting rights as each other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hAnsi="Times New Roman"/>
          <w:b/>
          <w:i/>
          <w:sz w:val="20"/>
        </w:rPr>
        <w:t>Preferred Directors</w:t>
      </w:r>
      <w:r>
        <w:rPr>
          <w:rFonts w:ascii="Times New Roman" w:hAnsi="Times New Roman"/>
          <w:sz w:val="20"/>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shares of the Series B Non-Voting Preferred Stock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Stock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The Series B Non-Voting Preferred Stock shall rank on parity with the Common Stock, the Corporation’s Series A Convertible Preferred Stock as to distributions of assets upon liquidation, dissolution or winding up of the Corporation,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dissolution or winding-up of the Corporation,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hAnsi="Times New Roman"/>
          <w:i/>
          <w:sz w:val="20"/>
        </w:rPr>
        <w:t>pari passu</w:t>
      </w:r>
      <w:r>
        <w:rPr>
          <w:rFonts w:ascii="Times New Roman" w:hAnsi="Times New Roman"/>
          <w:sz w:val="20"/>
        </w:rPr>
        <w:t xml:space="preserve"> with all holders of Common Stock,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Corporation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Corporation’s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each share of Series B Non-Voting Preferred Stock shall be 1,000 shares of Common Stock issuable upon the conversion (the “</w:t>
      </w:r>
      <w:r>
        <w:rPr>
          <w:rFonts w:ascii="Times New Roman" w:hAnsi="Times New Roman"/>
          <w:b/>
          <w:i/>
          <w:sz w:val="20"/>
        </w:rPr>
        <w:t>Conversion</w:t>
      </w:r>
      <w:r>
        <w:rPr>
          <w:rFonts w:ascii="Times New Roman" w:hAnsi="Times New Roman"/>
          <w:sz w:val="20"/>
        </w:rPr>
        <w:t xml:space="preserve">”) of each share of Series B Non-Voting Preferred Stock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B Non-Voting Preferred Stock, and a Holder shall not have the right to convert any portion of the Series B Non-Voting Preferred Stock pursuant to </w:t>
      </w:r>
      <w:r>
        <w:rPr>
          <w:rFonts w:ascii="Times New Roman" w:hAnsi="Times New Roman"/>
          <w:sz w:val="20"/>
          <w:u w:val="single"/>
        </w:rPr>
        <w:t>Section 6.2</w:t>
      </w:r>
      <w:r>
        <w:rPr>
          <w:rFonts w:ascii="Times New Roman" w:hAnsi="Times New Roman"/>
          <w:sz w:val="20"/>
        </w:rPr>
        <w:t>, to the extent that, after giving effect to such attempted conversion set forth on an applicable Notice of Conversion (as defined in this Description of Rights)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Corporation shall either: (a) deliver, or cause to be delivered, to the converting Holder a physical certificate or certificates representing the number of Conversion Shares being acquired upon the conversion of shares of Series B Non-Voting Preferred Stock, or (b) in the case of a DWAC Delivery (if so requested by the Holder), electronically transfer such Conversion Shares by crediting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Corporation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outstanding shares of Series B Non-Voting Preferred Stock. The Corporation covenants that all shares of Common Stock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Stockholder</w:t>
      </w:r>
      <w:r>
        <w:rPr>
          <w:rFonts w:ascii="Times New Roman" w:hAnsi="Times New Roman"/>
          <w:sz w:val="20"/>
        </w:rPr>
        <w:t xml:space="preserve">.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Stock Dividends and Stock Splits</w:t>
      </w:r>
      <w:r>
        <w:rPr>
          <w:rFonts w:ascii="Times New Roman" w:hAnsi="Times New Roman"/>
          <w:sz w:val="20"/>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to which the Common Stock is effectively converted into or exchanged for other securities, cash or property (in any such case, a “</w:t>
      </w:r>
      <w:r>
        <w:rPr>
          <w:rFonts w:ascii="Times New Roman" w:hAnsi="Times New Roman"/>
          <w:b/>
          <w:i/>
          <w:sz w:val="20"/>
        </w:rPr>
        <w:t>Fundamental Transaction</w:t>
      </w:r>
      <w:r>
        <w:rPr>
          <w:rFonts w:ascii="Times New Roman" w:hAnsi="Times New Roman"/>
          <w:sz w:val="20"/>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xml:space="preserv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shares of Series B Non-Voting Preferred Stock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Stock Register</w:t>
      </w:r>
      <w:r>
        <w:rPr>
          <w:rFonts w:ascii="Times New Roman" w:hAnsi="Times New Roman"/>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Stock Certificate</w:t>
      </w:r>
      <w:r>
        <w:rPr>
          <w:rFonts w:ascii="Times New Roman" w:hAnsi="Times New Roman"/>
          <w:sz w:val="20"/>
        </w:rPr>
        <w:t xml:space="preserve">.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Stock</w:t>
      </w:r>
      <w:r>
        <w:rPr>
          <w:rFonts w:ascii="Times New Roman" w:hAnsi="Times New Roman"/>
          <w:sz w:val="20"/>
        </w:rPr>
        <w:t xml:space="preserve">.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SHARES OF SERIES B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shares of Series B Non-Voting Preferred Stock indicated below, represented in book-entry form, into shares of common stock, no par value (the “</w:t>
      </w:r>
      <w:r>
        <w:rPr>
          <w:rFonts w:ascii="Times New Roman" w:hAnsi="Times New Roman"/>
          <w:b/>
          <w:i/>
          <w:sz w:val="20"/>
        </w:rPr>
        <w:t>Common Stock</w:t>
      </w:r>
      <w:r>
        <w:rPr>
          <w:rFonts w:ascii="Times New Roman" w:hAnsi="Times New Roman"/>
          <w:sz w:val="20"/>
        </w:rPr>
        <w:t>”), of Cyclerion Therapeutics, Inc., a Massachusetts corporation (the “</w:t>
      </w:r>
      <w:r>
        <w:rPr>
          <w:rFonts w:ascii="Times New Roman" w:hAnsi="Times New Roman"/>
          <w:b/>
          <w:i/>
          <w:sz w:val="20"/>
        </w:rPr>
        <w:t>Corporation</w:t>
      </w:r>
      <w:r>
        <w:rPr>
          <w:rFonts w:ascii="Times New Roman" w:hAnsi="Times New Roman"/>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hAnsi="Times New Roman"/>
          <w:b/>
          <w:i/>
          <w:sz w:val="20"/>
        </w:rPr>
        <w:t>Articles of Amendment</w:t>
      </w:r>
      <w:r>
        <w:rPr>
          <w:rFonts w:ascii="Times New Roman" w:hAnsi="Times New Roman"/>
          <w:sz w:val="20"/>
        </w:rPr>
        <w:t xml:space="preserve">”) filed by the Corporation with the Secretary of the Commonwealth of Massachusetts on [__],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67"/>
        <w:gridCol w:w="100"/>
        <w:gridCol w:w="1838"/>
      </w:tblGrid>
      <w:tr>
        <w:trPr/>
        <w:tc>
          <w:tcPr>
            <w:tcW w:w="8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Date to Effect Conversion:</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83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8267" w:type="dxa"/>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owned prior to Conversion:</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83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8267" w:type="dxa"/>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to be Converted:</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83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8267" w:type="dxa"/>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to be Issued:</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83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8267" w:type="dxa"/>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Address for delivery of physical certificates:</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83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DWAC Delivery, please provide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30"/>
        <w:gridCol w:w="85"/>
        <w:gridCol w:w="3167"/>
      </w:tblGrid>
      <w:tr>
        <w:trPr/>
        <w:tc>
          <w:tcPr>
            <w:tcW w:w="83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[HOLDER]</w:t>
            </w:r>
          </w:p>
          <w:p>
            <w:pPr>
              <w:pStyle w:val="TableContents"/>
              <w:bidi w:val="0"/>
              <w:spacing w:before="0" w:after="20"/>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167" w:type="dxa"/>
            <w:tcBorders>
              <w:bottom w:val="single" w:sz="2" w:space="0" w:color="000000"/>
            </w:tcBorders>
            <w:tcMar>
              <w:bottom w:w="28" w:type="dxa"/>
            </w:tcMar>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167" w:type="dxa"/>
            <w:tcBorders>
              <w:bottom w:val="single" w:sz="2" w:space="0" w:color="000000"/>
            </w:tcBorders>
            <w:tcMar>
              <w:bottom w:w="28" w:type="dxa"/>
            </w:tcMar>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167"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5" w:name="tx111069_53"/>
      <w:bookmarkEnd w:id="215"/>
      <w:r>
        <w:rPr>
          <w:rFonts w:ascii="Times New Roman" w:hAnsi="Times New Roman"/>
          <w:b/>
          <w:sz w:val="20"/>
        </w:rPr>
        <w:t xml:space="preserve">Annex H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PC The Commonwealth of Massachusetts William Francis Galvin Secretary of the Commonwealth One Ashburton Place, Boston, Massachusetts 02108-1512 FORM MUST BE TYPED Articles of Amendment FORM MUST BE TYPED (General Laws Chapter 156D, Section 10.06; 950 CMR 113.34) (1) Exact name of corporation: Cyclerion Therapeutics, Inc. (2) Registered oﬃce address: 155 Federal Street, Boston, MA 02110 (number, street, city or town, state, zip code) (3) These articles of amendment aﬀect article(s): Article III (specify the number(s) of article(s) being amended (I-VI)) (4) Date adopted: [], 2026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reclassification or cancellation of issued shares. Article III is being amended to increase the number of authorized shares of Common Stock shares to 700,000,000 P.C. c156ds1006950c11334 01/13/05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Common 400,000,000 Preferred 99,500,000 Series A Convertible Preferred 500,000 Total authorized after amendment: WITHOUT PAR VALUE WITH PAR VALUE TYPE NUMBER OF SHARES TYPE NUMBER OF SHARES PAR VALUE Common 700,000,000 Preferred 99,500,000 Series A Convertible Preferred 500,000 (7) The amendment shall be effective at the time and on the date approved by the Division, unless a later effective date not more than 90 days from the date and time of filing is specified: *G.L. Chapter 156D eliminates the concept of par value, however a corporation may specify par value in Article III. See G.L. Chapter 156D, Section 6.21, and the comments relative thereto.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 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6" w:name="tx111069_54"/>
      <w:bookmarkEnd w:id="216"/>
      <w:r>
        <w:rPr>
          <w:rFonts w:ascii="Times New Roman" w:hAnsi="Times New Roman"/>
          <w:b/>
          <w:sz w:val="20"/>
        </w:rPr>
        <w:t xml:space="preserve">ANNEX I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corporation:____________________________________________________________________________ (2) Registered office address:______________________________________________________________________________ (number, street, city or town, state, zip code) (3) Th ese articles of amendment aff ect article(s): ______________________________________________________________ (specify the number(s) of article(s) being amended (I-VI)) (4) Date adopted: ______________________________________________________________________________________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 cation or cancellation of issued shares. P.C. c156ds1006950c11334 01/13/05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TYPE NUMBER OF SHARES WITH PAR VALUE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filing is specifi ed: *G.L. Chapter 156D eliminates the concept of par value, however a corporation may specify par value in Article III. See G.L. Chapter 156D, Section 6.21, and the comments relative thereto.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7" w:name="tx111069_55"/>
      <w:bookmarkEnd w:id="217"/>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DOMESTICATION </w:t>
      </w:r>
    </w:p>
    <w:p>
      <w:pPr>
        <w:pStyle w:val="TextBody"/>
        <w:bidi w:val="0"/>
        <w:spacing w:before="240" w:after="0"/>
        <w:jc w:val="left"/>
        <w:rPr>
          <w:rFonts w:ascii="Times New Roman" w:hAnsi="Times New Roman"/>
          <w:sz w:val="20"/>
        </w:rPr>
      </w:pPr>
      <w:r>
        <w:rPr>
          <w:rFonts w:ascii="Times New Roman" w:hAnsi="Times New Roman"/>
          <w:sz w:val="20"/>
        </w:rPr>
        <w:t>This Plan of Domestication (this “</w:t>
      </w:r>
      <w:r>
        <w:rPr>
          <w:rFonts w:ascii="Times New Roman" w:hAnsi="Times New Roman"/>
          <w:b/>
          <w:sz w:val="20"/>
        </w:rPr>
        <w:t>Plan</w:t>
      </w:r>
      <w:r>
        <w:rPr>
          <w:rFonts w:ascii="Times New Roman" w:hAnsi="Times New Roman"/>
          <w:sz w:val="20"/>
        </w:rPr>
        <w:t>”) is adopted as of [●], 2026 and sets forth certain terms of the domestication of Cyclerion Therapeutics, Inc., a Massachusetts corporation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Corporation</w:t>
      </w:r>
      <w:r>
        <w:rPr>
          <w:rFonts w:ascii="Times New Roman" w:hAnsi="Times New Roman"/>
          <w:sz w:val="20"/>
        </w:rPr>
        <w:t>”), to a Cayman Islands exempted company (the “</w:t>
      </w:r>
      <w:r>
        <w:rPr>
          <w:rFonts w:ascii="Times New Roman" w:hAnsi="Times New Roman"/>
          <w:b/>
          <w:sz w:val="20"/>
        </w:rPr>
        <w:t>Cayman Company</w:t>
      </w:r>
      <w:r>
        <w:rPr>
          <w:rFonts w:ascii="Times New Roman" w:hAnsi="Times New Roman"/>
          <w:sz w:val="20"/>
        </w:rPr>
        <w:t>”), pursuant to the terms of the Massachusetts Business Corporations Act (as amended, the “</w:t>
      </w:r>
      <w:r>
        <w:rPr>
          <w:rFonts w:ascii="Times New Roman" w:hAnsi="Times New Roman"/>
          <w:b/>
          <w:sz w:val="20"/>
        </w:rPr>
        <w:t>MBCA</w:t>
      </w:r>
      <w:r>
        <w:rPr>
          <w:rFonts w:ascii="Times New Roman" w:hAnsi="Times New Roman"/>
          <w:sz w:val="20"/>
        </w:rPr>
        <w:t>”) and Part XII of the Companies Act of the Cayman Islands (as amended, the “</w:t>
      </w:r>
      <w:r>
        <w:rPr>
          <w:rFonts w:ascii="Times New Roman" w:hAnsi="Times New Roman"/>
          <w:b/>
          <w:sz w:val="20"/>
        </w:rPr>
        <w:t>Companies Act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The Massachusetts Corporation was incorporated on September 6, 2018. </w:t>
      </w:r>
    </w:p>
    <w:p>
      <w:pPr>
        <w:pStyle w:val="TextBody"/>
        <w:bidi w:val="0"/>
        <w:spacing w:before="240" w:after="0"/>
        <w:jc w:val="left"/>
        <w:rPr>
          <w:rFonts w:ascii="Times New Roman" w:hAnsi="Times New Roman"/>
          <w:sz w:val="20"/>
        </w:rPr>
      </w:pPr>
      <w:r>
        <w:rPr>
          <w:rFonts w:ascii="Times New Roman" w:hAnsi="Times New Roman"/>
          <w:sz w:val="20"/>
        </w:rPr>
        <w:t xml:space="preserve">B. Upon the terms and subject to the conditions set forth in this Plan, and in accordance with Section 9.20 of the MBCA and Part XII of the Companies Act, the Massachusetts Corporation will be domesticated to a Cayman Company. </w:t>
      </w:r>
    </w:p>
    <w:p>
      <w:pPr>
        <w:pStyle w:val="TextBody"/>
        <w:bidi w:val="0"/>
        <w:spacing w:before="240" w:after="0"/>
        <w:jc w:val="left"/>
        <w:rPr>
          <w:rFonts w:ascii="Times New Roman" w:hAnsi="Times New Roman"/>
          <w:sz w:val="20"/>
        </w:rPr>
      </w:pPr>
      <w:r>
        <w:rPr>
          <w:rFonts w:ascii="Times New Roman" w:hAnsi="Times New Roman"/>
          <w:sz w:val="20"/>
        </w:rPr>
        <w:t>C. The Board of Directors of the Massachusetts Corporation (the “</w:t>
      </w:r>
      <w:r>
        <w:rPr>
          <w:rFonts w:ascii="Times New Roman" w:hAnsi="Times New Roman"/>
          <w:b/>
          <w:sz w:val="20"/>
        </w:rPr>
        <w:t>Board</w:t>
      </w:r>
      <w:r>
        <w:rPr>
          <w:rFonts w:ascii="Times New Roman" w:hAnsi="Times New Roman"/>
          <w:sz w:val="20"/>
        </w:rPr>
        <w:t xml:space="preserve">”) has unanimously (i) determined that the Domestication (as defined below) is advisable and in the best interests of the Massachusetts Corporation and its shareholders and recommended the approval of the Domestication by the shareholders of the Massachusetts Corporation and (ii) approved and adopted this Plan, the Domestication and the other documents and transactions contemplated by this Plan, including the Cayman Articles, the Cayman Series A Certificate of Designation, the Cayman Series B Certificate of Designation, and the Massachusetts Articles (as each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E. In connection with the Domestication, on the Effective Date (as defined below), each share of Common Stock, no par value (the “</w:t>
      </w:r>
      <w:r>
        <w:rPr>
          <w:rFonts w:ascii="Times New Roman" w:hAnsi="Times New Roman"/>
          <w:b/>
          <w:sz w:val="20"/>
        </w:rPr>
        <w:t>Massachusetts Common Stock</w:t>
      </w:r>
      <w:r>
        <w:rPr>
          <w:rFonts w:ascii="Times New Roman" w:hAnsi="Times New Roman"/>
          <w:sz w:val="20"/>
        </w:rPr>
        <w:t>”), Series A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A Preferred Stock</w:t>
      </w:r>
      <w:r>
        <w:rPr>
          <w:rFonts w:ascii="Times New Roman" w:hAnsi="Times New Roman"/>
          <w:sz w:val="20"/>
        </w:rPr>
        <w:t>”), and Series B Non-Voting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B Preferred Stock</w:t>
      </w:r>
      <w:r>
        <w:rPr>
          <w:rFonts w:ascii="Times New Roman" w:hAnsi="Times New Roman"/>
          <w:sz w:val="20"/>
        </w:rPr>
        <w:t>”), of the Massachusetts Corporation issued and outstanding (or held in treasury) immediately prior to the Effective Date shall be converted into one Ordinary Share, par value $0.0001 per share (the “</w:t>
      </w:r>
      <w:r>
        <w:rPr>
          <w:rFonts w:ascii="Times New Roman" w:hAnsi="Times New Roman"/>
          <w:b/>
          <w:sz w:val="20"/>
        </w:rPr>
        <w:t>Cayman Ordinary Shares</w:t>
      </w:r>
      <w:r>
        <w:rPr>
          <w:rFonts w:ascii="Times New Roman" w:hAnsi="Times New Roman"/>
          <w:sz w:val="20"/>
        </w:rPr>
        <w:t>”), one Series A Preference Share, par value $0.0001 per share (the “</w:t>
      </w:r>
      <w:r>
        <w:rPr>
          <w:rFonts w:ascii="Times New Roman" w:hAnsi="Times New Roman"/>
          <w:b/>
          <w:sz w:val="20"/>
        </w:rPr>
        <w:t>Cayman Series A Preferred Shares</w:t>
      </w:r>
      <w:r>
        <w:rPr>
          <w:rFonts w:ascii="Times New Roman" w:hAnsi="Times New Roman"/>
          <w:sz w:val="20"/>
        </w:rPr>
        <w:t>”), and one Series B Preference Share, par value $0.0001 per share (the “</w:t>
      </w:r>
      <w:r>
        <w:rPr>
          <w:rFonts w:ascii="Times New Roman" w:hAnsi="Times New Roman"/>
          <w:b/>
          <w:sz w:val="20"/>
        </w:rPr>
        <w:t>Cayman Series B Preferred Shares</w:t>
      </w:r>
      <w:r>
        <w:rPr>
          <w:rFonts w:ascii="Times New Roman" w:hAnsi="Times New Roman"/>
          <w:sz w:val="20"/>
        </w:rPr>
        <w:t xml:space="preserve">”), respectively, of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F. The mode of carrying out the Domestication into effect shall be as described in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Domestication</w:t>
      </w:r>
      <w:r>
        <w:rPr>
          <w:rFonts w:ascii="Times New Roman" w:hAnsi="Times New Roman"/>
          <w:sz w:val="20"/>
        </w:rPr>
        <w:t>. On the Effective Date, the Massachusetts Corporation will be domesticated to the Cayman Company by way of continuation of the Company from a corporation organized under the laws of the Commonwealth of Massachusetts to an exempted company incorporated under the laws of the Cayman Islands, pursuant to, and in accordance with, Section 9.20 of the MBCA and Part XII of the Companies Act (the “</w:t>
      </w:r>
      <w:r>
        <w:rPr>
          <w:rFonts w:ascii="Times New Roman" w:hAnsi="Times New Roman"/>
          <w:b/>
          <w:sz w:val="20"/>
        </w:rPr>
        <w:t>Domestication</w:t>
      </w:r>
      <w:r>
        <w:rPr>
          <w:rFonts w:ascii="Times New Roman" w:hAnsi="Times New Roman"/>
          <w:sz w:val="20"/>
        </w:rPr>
        <w:t xml:space="preserve">”). The Board and the shareholders of the Massachusetts Corporation have approved and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Articles of Charter Surrender</w:t>
      </w:r>
      <w:r>
        <w:rPr>
          <w:rFonts w:ascii="Times New Roman" w:hAnsi="Times New Roman"/>
          <w:sz w:val="20"/>
        </w:rPr>
        <w:t xml:space="preserve">. The Massachusetts Corporation shall file articles of charter surrender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Articles</w:t>
      </w:r>
      <w:r>
        <w:rPr>
          <w:rFonts w:ascii="Times New Roman" w:hAnsi="Times New Roman"/>
          <w:sz w:val="20"/>
        </w:rPr>
        <w:t>”) with the Secretary of the Commonwealth of Massachusetts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Secretary of State</w:t>
      </w:r>
      <w:r>
        <w:rPr>
          <w:rFonts w:ascii="Times New Roman" w:hAnsi="Times New Roman"/>
          <w:sz w:val="20"/>
        </w:rPr>
        <w:t xml:space="preserve">”) and shall file the memorandum and articles of association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Cayman Articles</w:t>
      </w:r>
      <w:r>
        <w:rPr>
          <w:rFonts w:ascii="Times New Roman" w:hAnsi="Times New Roman"/>
          <w:sz w:val="20"/>
        </w:rPr>
        <w:t xml:space="preserve">”) and any and all documents required to be filed with the Cayman Islands Registrar of Companies in connection with the Domestication and the Massachusetts Corporation or the Cayman Company, as applicable, shall make all other filings or recordings required by the MBCA or the Companies Act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Effective Date</w:t>
      </w:r>
      <w:r>
        <w:rPr>
          <w:rFonts w:ascii="Times New Roman" w:hAnsi="Times New Roman"/>
          <w:sz w:val="20"/>
        </w:rPr>
        <w:t>. The Domestication will become effective upon the filing of the Massachusetts Articles with the Massachusetts Secretary of State and the issuance of a certificate of continuation by the Cayman Islands Registrar of Companies (the “</w:t>
      </w:r>
      <w:r>
        <w:rPr>
          <w:rFonts w:ascii="Times New Roman" w:hAnsi="Times New Roman"/>
          <w:b/>
          <w:sz w:val="20"/>
        </w:rPr>
        <w:t>Cayman</w:t>
      </w:r>
      <w:r>
        <w:rPr>
          <w:rFonts w:ascii="Times New Roman" w:hAnsi="Times New Roman"/>
          <w:sz w:val="20"/>
        </w:rPr>
        <w:t xml:space="preserve"> </w:t>
      </w:r>
      <w:r>
        <w:rPr>
          <w:rFonts w:ascii="Times New Roman" w:hAnsi="Times New Roman"/>
          <w:b/>
          <w:sz w:val="20"/>
        </w:rPr>
        <w:t>Certificate of Continuation</w:t>
      </w:r>
      <w:r>
        <w:rPr>
          <w:rFonts w:ascii="Times New Roman" w:hAnsi="Times New Roman"/>
          <w:sz w:val="20"/>
        </w:rPr>
        <w:t>”) or at such later date and/or time as specified in the Massachusetts Articles and the Cayman Certificate of Continuation (the “</w:t>
      </w:r>
      <w:r>
        <w:rPr>
          <w:rFonts w:ascii="Times New Roman" w:hAnsi="Times New Roman"/>
          <w:b/>
          <w:sz w:val="20"/>
        </w:rPr>
        <w:t>Effective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Cayman Governing Documents</w:t>
      </w:r>
      <w:r>
        <w:rPr>
          <w:rFonts w:ascii="Times New Roman" w:hAnsi="Times New Roman"/>
          <w:sz w:val="20"/>
        </w:rPr>
        <w:t xml:space="preserve">. On the Effective Date, the Cayman Articles, including the Certificate of Designation of Series A Preferred Shares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Cayman Series A Certificate of Designation</w:t>
      </w:r>
      <w:r>
        <w:rPr>
          <w:rFonts w:ascii="Times New Roman" w:hAnsi="Times New Roman"/>
          <w:sz w:val="20"/>
        </w:rPr>
        <w:t xml:space="preserve">”), the Certificate of Designation of Series B Preferred Shares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Cayman Series B Certificate of Designation,</w:t>
      </w:r>
      <w:r>
        <w:rPr>
          <w:rFonts w:ascii="Times New Roman" w:hAnsi="Times New Roman"/>
          <w:sz w:val="20"/>
        </w:rPr>
        <w:t>” and together with the Cayman Articles and the Cayman Series A Certificate of Designation, the “</w:t>
      </w:r>
      <w:r>
        <w:rPr>
          <w:rFonts w:ascii="Times New Roman" w:hAnsi="Times New Roman"/>
          <w:b/>
          <w:sz w:val="20"/>
        </w:rPr>
        <w:t>Cayman Governing Documents</w:t>
      </w:r>
      <w:r>
        <w:rPr>
          <w:rFonts w:ascii="Times New Roman" w:hAnsi="Times New Roman"/>
          <w:sz w:val="20"/>
        </w:rPr>
        <w:t xml:space="preserve">”), shall govern the Cayman Company until amended and/or restated in accordance with the Cayman Governing Documents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Directors and Officers</w:t>
      </w:r>
      <w:r>
        <w:rPr>
          <w:rFonts w:ascii="Times New Roman" w:hAnsi="Times New Roman"/>
          <w:sz w:val="20"/>
        </w:rPr>
        <w:t xml:space="preserve">. From and after the Effective Date, by virtue of the Domestication and without any further action on the part of the Massachusetts Corporation or its shareholders, the members of the Board and the officers of the Massachusetts Corporation holding their respective offices in the Massachusetts Corporation existing immediately prior to the Effective Date shall continue in their respective offices as members of the Board and officers of the Cayman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EFFECT OF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Effect of Domestication</w:t>
      </w:r>
      <w:r>
        <w:rPr>
          <w:rFonts w:ascii="Times New Roman" w:hAnsi="Times New Roman"/>
          <w:sz w:val="20"/>
        </w:rPr>
        <w:t xml:space="preserve">. On the Effective Date, the effect of the Domestication will be as provided by this Plan and by the applicable provisions of the MBCA and the Companies Act. Without limitation of the foregoing, for all purposes of the laws of the Commonwealth of Massachusetts and the Cayman Islands, the Cayman Company will continue as a body corporate for all purposes, as if incorporated and registered as an exempted company under and subject to the Companies Act and all of the rights, privileges, and powers of the Massachusetts Corporation, and all property, real, personal, and mixed, and all debts due to the Massachusetts Corporation, as well as all other things and causes of action belonging to the Massachusetts Corporation, shall remain vested in the Cayman Company and shall be the property of the Cayman Company, and all debts, liabilities, and duties of the Massachusetts Corporation shall remain attached to the Cayman Company, and may be enforced against the Cayman Company to the same extent as if said debts, liabilities, and duties had originally been incurred or contracted by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Domestication of Shares</w:t>
      </w:r>
      <w:r>
        <w:rPr>
          <w:rFonts w:ascii="Times New Roman" w:hAnsi="Times New Roman"/>
          <w:sz w:val="20"/>
        </w:rPr>
        <w:t xml:space="preserve">. On the Effective Date, by virtue of the Domestication and without any further action by the Massachusetts Corporation or the shareholders, (i) each share of Massachusetts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immediately before the Effective Date shall be converted into one Cayman Ordinary Share, and all options, warrants or other entitlement to receive a share of Massachusetts Common Stock shall automatically be converted into an option, warrant or other entitlement to receive a Cayman Ordinary Share, (ii) each share of Massachusetts Series A Preferred Stock issued and outstanding immediately before the Effective Date shall be converted into one Cayman Series A Preferred Share, and all options, warrants or other entitlement to receive a share of Massachusetts Series A Preferred Stock shall automatically be converted into an option, warrant or other entitlement to receive a Cayman Series A Preferred Share, and (iii) each share of Massachusetts Series B Preferred Stock issued and outstanding immediately before the Effective Date shall be converted into one Cayman Series B Preferred Share, and all options, warrants or other entitlement to receive a share of Massachusetts Series B Preferred Stock shall automatically be converted into an option, warrant or other entitlement to receive a Cayman Series B Preferred Share.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Abandonment or Amendment</w:t>
      </w:r>
      <w:r>
        <w:rPr>
          <w:rFonts w:ascii="Times New Roman" w:hAnsi="Times New Roman"/>
          <w:sz w:val="20"/>
        </w:rPr>
        <w:t xml:space="preserve">. At any time prior to the filing of the Massachusetts Articles with the Massachusetts Secretary of State, the Massachusetts Corporation may abandon the proposed Domestication and terminate this Plan to the extent permitted by law or may amend this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Captions</w:t>
      </w:r>
      <w:r>
        <w:rPr>
          <w:rFonts w:ascii="Times New Roman" w:hAnsi="Times New Roman"/>
          <w:sz w:val="20"/>
        </w:rPr>
        <w:t xml:space="preserve">. The captions in this Plan are for convenience only and shall not be considered a part, or to affect the construction or interpretation, of any provision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Tax Reporting</w:t>
      </w:r>
      <w:r>
        <w:rPr>
          <w:rFonts w:ascii="Times New Roman" w:hAnsi="Times New Roman"/>
          <w:sz w:val="20"/>
        </w:rPr>
        <w:t>. The Domestication is intended to be a “reorganization” for purposes of Section 368(a) of the Internal Revenue Code of 1986, as amended (the “</w:t>
      </w:r>
      <w:r>
        <w:rPr>
          <w:rFonts w:ascii="Times New Roman" w:hAnsi="Times New Roman"/>
          <w:b/>
          <w:sz w:val="20"/>
        </w:rPr>
        <w:t>Code</w:t>
      </w:r>
      <w:r>
        <w:rPr>
          <w:rFonts w:ascii="Times New Roman" w:hAnsi="Times New Roman"/>
          <w:sz w:val="20"/>
        </w:rPr>
        <w:t xml:space="preserve">”), and this Plan of Domestication is hereby adopted as a “plan of reorganization” for purposes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Governing Law</w:t>
      </w:r>
      <w:r>
        <w:rPr>
          <w:rFonts w:ascii="Times New Roman" w:hAnsi="Times New Roman"/>
          <w:sz w:val="20"/>
        </w:rPr>
        <w:t xml:space="preserve">. This Plan shall be governed by, and construed and interpreted in accordance with, the laws of the State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Plan has been executed on behalf of the Massachusetts Corporation by its officers thereunto duly authorized, all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3"/>
        <w:gridCol w:w="161"/>
        <w:gridCol w:w="2278"/>
      </w:tblGrid>
      <w:tr>
        <w:trPr/>
        <w:tc>
          <w:tcPr>
            <w:tcW w:w="16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CYCLERION THERAPEUTICS, INC.</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Title: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MASSACHUSETTS ARTICLES OF CHARTER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MEMORANDUM AND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A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B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8" w:name="tx111069_56"/>
      <w:bookmarkEnd w:id="218"/>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name of the company is Korsana Biosciences, Inc.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will be situated at the offices of Walkers Corporate Limited, 190 Elgin Avenue, George Town, Grand Cayman KY1-9008, Cayman Islands or at such other location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sz w:val="20"/>
              </w:rPr>
              <w:t>Companies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and be capable of exercising all the functions of a natural person of full capacity irrespective of any question of corporate benefit as provided by Section 27(2) of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shareholders of the Company is limited to the amount, if any, unpaid on the shares respectively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w:t>
            </w:r>
            <w:r>
              <w:rPr>
                <w:rFonts w:ascii="Times New Roman" w:hAnsi="Times New Roman"/>
                <w:b/>
                <w:sz w:val="20"/>
              </w:rPr>
              <w:t xml:space="preserve">US$80,000 </w:t>
            </w:r>
            <w:r>
              <w:rPr>
                <w:rFonts w:ascii="Times New Roman" w:hAnsi="Times New Roman"/>
                <w:sz w:val="20"/>
              </w:rPr>
              <w:t xml:space="preserve">divided into </w:t>
            </w:r>
            <w:r>
              <w:rPr>
                <w:rFonts w:ascii="Times New Roman" w:hAnsi="Times New Roman"/>
                <w:b/>
                <w:sz w:val="20"/>
              </w:rPr>
              <w:t>700,000,000</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and </w:t>
            </w:r>
            <w:r>
              <w:rPr>
                <w:rFonts w:ascii="Times New Roman" w:hAnsi="Times New Roman"/>
                <w:b/>
                <w:sz w:val="20"/>
              </w:rPr>
              <w:t>100,000,000</w:t>
            </w:r>
            <w:r>
              <w:rPr>
                <w:rFonts w:ascii="Times New Roman" w:hAnsi="Times New Roman"/>
                <w:sz w:val="20"/>
              </w:rPr>
              <w:t xml:space="preserve"> </w:t>
            </w:r>
            <w:r>
              <w:rPr>
                <w:rFonts w:ascii="Times New Roman" w:hAnsi="Times New Roman"/>
                <w:b/>
                <w:sz w:val="20"/>
              </w:rPr>
              <w:t>preferred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exercise the power contained in Section 206 of the Companies Act to deregister in the Cayman Islands and be registered by way of continuation in some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8"/>
        </w:rPr>
      </w:pPr>
      <w:r>
        <w:rPr>
          <w:rFonts w:ascii="Times New Roman" w:hAnsi="Times New Roman"/>
          <w:b/>
          <w:sz w:val="48"/>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01"/>
        <w:gridCol w:w="339"/>
        <w:gridCol w:w="91"/>
        <w:gridCol w:w="611"/>
        <w:gridCol w:w="63"/>
      </w:tblGrid>
      <w:tr>
        <w:trPr/>
        <w:tc>
          <w:tcPr>
            <w:tcW w:w="910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01" w:type="dxa"/>
            <w:tcBorders/>
            <w:vAlign w:val="bottom"/>
          </w:tcPr>
          <w:p>
            <w:pPr>
              <w:pStyle w:val="TableContents"/>
              <w:bidi w:val="0"/>
              <w:spacing w:before="0" w:after="283"/>
              <w:jc w:val="left"/>
              <w:rPr>
                <w:b/>
              </w:rPr>
            </w:pPr>
            <w:r>
              <w:rPr>
                <w:b/>
              </w:rPr>
              <w:t>CLAUSE</w:t>
            </w:r>
          </w:p>
        </w:tc>
        <w:tc>
          <w:tcPr>
            <w:tcW w:w="339"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111069_1">
              <w:r>
                <w:rPr>
                  <w:rStyle w:val="InternetLink"/>
                  <w:rFonts w:ascii="Times New Roman" w:hAnsi="Times New Roman"/>
                  <w:sz w:val="20"/>
                </w:rPr>
                <w:t>TABLE A</w:t>
              </w:r>
            </w:hyperlink>
          </w:p>
        </w:tc>
        <w:tc>
          <w:tcPr>
            <w:tcW w:w="33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K-5</w:t>
            </w:r>
          </w:p>
        </w:tc>
        <w:tc>
          <w:tcPr>
            <w:tcW w:w="63"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111069_2">
              <w:r>
                <w:rPr>
                  <w:rStyle w:val="InternetLink"/>
                  <w:rFonts w:ascii="Times New Roman" w:hAnsi="Times New Roman"/>
                  <w:sz w:val="20"/>
                </w:rPr>
                <w:t>INTERPRETATION</w:t>
              </w:r>
            </w:hyperlink>
          </w:p>
        </w:tc>
        <w:tc>
          <w:tcPr>
            <w:tcW w:w="33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K-5</w:t>
            </w:r>
          </w:p>
        </w:tc>
        <w:tc>
          <w:tcPr>
            <w:tcW w:w="63"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111069_3">
              <w:r>
                <w:rPr>
                  <w:rStyle w:val="InternetLink"/>
                  <w:rFonts w:ascii="Times New Roman" w:hAnsi="Times New Roman"/>
                  <w:sz w:val="20"/>
                </w:rPr>
                <w:t>PRELIMINARY</w:t>
              </w:r>
            </w:hyperlink>
          </w:p>
        </w:tc>
        <w:tc>
          <w:tcPr>
            <w:tcW w:w="33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K-8</w:t>
            </w:r>
          </w:p>
        </w:tc>
        <w:tc>
          <w:tcPr>
            <w:tcW w:w="63"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111069_4">
              <w:r>
                <w:rPr>
                  <w:rStyle w:val="InternetLink"/>
                  <w:rFonts w:ascii="Times New Roman" w:hAnsi="Times New Roman"/>
                  <w:sz w:val="20"/>
                </w:rPr>
                <w:t>SHAREHOLDER MEETINGS</w:t>
              </w:r>
            </w:hyperlink>
          </w:p>
        </w:tc>
        <w:tc>
          <w:tcPr>
            <w:tcW w:w="33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K-9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AND EFFECTIVE AS OF     ) </w:t>
      </w:r>
    </w:p>
    <w:p>
      <w:pPr>
        <w:pStyle w:val="TextBody"/>
        <w:bidi w:val="0"/>
        <w:spacing w:before="240" w:after="0"/>
        <w:jc w:val="center"/>
        <w:rPr>
          <w:rFonts w:ascii="Times New Roman" w:hAnsi="Times New Roman"/>
          <w:b/>
          <w:sz w:val="20"/>
        </w:rPr>
      </w:pPr>
      <w:bookmarkStart w:id="219" w:name="anxi111069_1"/>
      <w:bookmarkEnd w:id="219"/>
      <w:r>
        <w:rPr>
          <w:rFonts w:ascii="Times New Roman" w:hAnsi="Times New Roman"/>
          <w:b/>
          <w:sz w:val="20"/>
        </w:rPr>
        <w:t xml:space="preserve">TABLE A </w:t>
      </w:r>
    </w:p>
    <w:p>
      <w:pPr>
        <w:pStyle w:val="TextBody"/>
        <w:bidi w:val="0"/>
        <w:spacing w:before="120" w:after="0"/>
        <w:jc w:val="left"/>
        <w:rPr>
          <w:rFonts w:ascii="Times New Roman" w:hAnsi="Times New Roman"/>
          <w:sz w:val="20"/>
        </w:rPr>
      </w:pPr>
      <w:r>
        <w:rPr>
          <w:rFonts w:ascii="Times New Roman" w:hAnsi="Times New Roman"/>
          <w:sz w:val="20"/>
        </w:rPr>
        <w:t>The Regulations contained or incorporated in Table ‘A’ in the First Schedule of the Companies Act shall not apply to Korsana Biosciences, Inc. (the “</w:t>
      </w:r>
      <w:r>
        <w:rPr>
          <w:rFonts w:ascii="Times New Roman" w:hAnsi="Times New Roman"/>
          <w:b/>
          <w:sz w:val="20"/>
        </w:rPr>
        <w:t>Company</w:t>
      </w:r>
      <w:r>
        <w:rPr>
          <w:rFonts w:ascii="Times New Roman" w:hAnsi="Times New Roman"/>
          <w:sz w:val="20"/>
        </w:rPr>
        <w:t xml:space="preserve">”) and the following Articles shall comprise the Articles of Association of the Company. </w:t>
      </w:r>
    </w:p>
    <w:p>
      <w:pPr>
        <w:pStyle w:val="TextBody"/>
        <w:bidi w:val="0"/>
        <w:spacing w:before="480" w:after="0"/>
        <w:jc w:val="center"/>
        <w:rPr>
          <w:rFonts w:ascii="Times New Roman" w:hAnsi="Times New Roman"/>
          <w:b/>
          <w:sz w:val="20"/>
        </w:rPr>
      </w:pPr>
      <w:bookmarkStart w:id="220" w:name="anxi111069_2"/>
      <w:bookmarkEnd w:id="220"/>
      <w:r>
        <w:rPr>
          <w:rFonts w:ascii="Times New Roman" w:hAnsi="Times New Roman"/>
          <w:b/>
          <w:sz w:val="20"/>
        </w:rPr>
        <w:t xml:space="preserve">INTERPRETATION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the following defined terms will have the meanings ascribed to them, if not inconsistent with the subject or context: </w:t>
            </w:r>
          </w:p>
        </w:tc>
      </w:tr>
    </w:tbl>
    <w:p>
      <w:pPr>
        <w:pStyle w:val="TextBody"/>
        <w:bidi w:val="0"/>
        <w:spacing w:before="120" w:after="0"/>
        <w:jc w:val="left"/>
        <w:rPr/>
      </w:pPr>
      <w:r>
        <w:rPr/>
        <w:t>“</w:t>
      </w:r>
      <w:r>
        <w:rPr>
          <w:rFonts w:ascii="Times New Roman" w:hAnsi="Times New Roman"/>
          <w:b/>
          <w:sz w:val="20"/>
        </w:rPr>
        <w:t>Articles</w:t>
      </w:r>
      <w:r>
        <w:rPr>
          <w:rFonts w:ascii="Times New Roman" w:hAnsi="Times New Roman"/>
          <w:sz w:val="20"/>
        </w:rPr>
        <w:t xml:space="preserve">” means these articles of association of the Company, as amended or substituted from time to time. </w:t>
      </w:r>
    </w:p>
    <w:p>
      <w:pPr>
        <w:pStyle w:val="TextBody"/>
        <w:bidi w:val="0"/>
        <w:spacing w:before="120" w:after="0"/>
        <w:jc w:val="left"/>
        <w:rPr/>
      </w:pPr>
      <w:r>
        <w:rPr/>
        <w:t>“</w:t>
      </w:r>
      <w:r>
        <w:rPr>
          <w:rFonts w:ascii="Times New Roman" w:hAnsi="Times New Roman"/>
          <w:b/>
          <w:sz w:val="20"/>
        </w:rPr>
        <w:t xml:space="preserve">Attorney” </w:t>
      </w:r>
      <w:r>
        <w:rPr>
          <w:rFonts w:ascii="Times New Roman" w:hAnsi="Times New Roman"/>
          <w:sz w:val="20"/>
        </w:rPr>
        <w:t xml:space="preserve">has the meaning given to it in Article 65. </w:t>
      </w:r>
    </w:p>
    <w:p>
      <w:pPr>
        <w:pStyle w:val="TextBody"/>
        <w:bidi w:val="0"/>
        <w:spacing w:before="120" w:after="0"/>
        <w:jc w:val="left"/>
        <w:rPr/>
      </w:pPr>
      <w:r>
        <w:rPr/>
        <w:t>“</w:t>
      </w:r>
      <w:r>
        <w:rPr>
          <w:rFonts w:ascii="Times New Roman" w:hAnsi="Times New Roman"/>
          <w:b/>
          <w:sz w:val="20"/>
        </w:rPr>
        <w:t>Audit Committee</w:t>
      </w:r>
      <w:r>
        <w:rPr>
          <w:rFonts w:ascii="Times New Roman" w:hAnsi="Times New Roman"/>
          <w:sz w:val="20"/>
        </w:rPr>
        <w:t xml:space="preserve">” means the audit committee of the Company formed pursuant to Article 133 hereof, or any successor audit committee. </w:t>
      </w:r>
    </w:p>
    <w:p>
      <w:pPr>
        <w:pStyle w:val="TextBody"/>
        <w:bidi w:val="0"/>
        <w:spacing w:before="120" w:after="0"/>
        <w:jc w:val="left"/>
        <w:rPr/>
      </w:pPr>
      <w:r>
        <w:rPr/>
        <w:t>“</w:t>
      </w:r>
      <w:r>
        <w:rPr>
          <w:rFonts w:ascii="Times New Roman" w:hAnsi="Times New Roman"/>
          <w:b/>
          <w:sz w:val="20"/>
        </w:rPr>
        <w:t>Authorised Signatory</w:t>
      </w:r>
      <w:r>
        <w:rPr>
          <w:rFonts w:ascii="Times New Roman" w:hAnsi="Times New Roman"/>
          <w:sz w:val="20"/>
        </w:rPr>
        <w:t xml:space="preserve">” has the meaning given to it in Article 65. </w:t>
      </w:r>
    </w:p>
    <w:p>
      <w:pPr>
        <w:pStyle w:val="TextBody"/>
        <w:bidi w:val="0"/>
        <w:spacing w:before="120" w:after="0"/>
        <w:jc w:val="left"/>
        <w:rPr/>
      </w:pPr>
      <w:r>
        <w:rPr/>
        <w:t>“</w:t>
      </w:r>
      <w:r>
        <w:rPr>
          <w:rFonts w:ascii="Times New Roman" w:hAnsi="Times New Roman"/>
          <w:b/>
          <w:sz w:val="20"/>
        </w:rPr>
        <w:t>Branch Register</w:t>
      </w:r>
      <w:r>
        <w:rPr>
          <w:rFonts w:ascii="Times New Roman" w:hAnsi="Times New Roman"/>
          <w:sz w:val="20"/>
        </w:rPr>
        <w:t xml:space="preserve">” means any branch Register of such category or categories of Shareholders as the Company may from time to time determine.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U.S. Federal Holiday or a day on which banking institutions or trust companies are authorised or obligated by law to close in the United States. </w:t>
      </w:r>
    </w:p>
    <w:p>
      <w:pPr>
        <w:pStyle w:val="TextBody"/>
        <w:bidi w:val="0"/>
        <w:spacing w:before="120" w:after="0"/>
        <w:jc w:val="left"/>
        <w:rPr/>
      </w:pPr>
      <w:r>
        <w:rPr/>
        <w:t>“</w:t>
      </w:r>
      <w:r>
        <w:rPr>
          <w:rFonts w:ascii="Times New Roman" w:hAnsi="Times New Roman"/>
          <w:b/>
          <w:sz w:val="20"/>
        </w:rPr>
        <w:t>Certificate of Designation</w:t>
      </w:r>
      <w:r>
        <w:rPr>
          <w:rFonts w:ascii="Times New Roman" w:hAnsi="Times New Roman"/>
          <w:sz w:val="20"/>
        </w:rPr>
        <w:t xml:space="preserve">” means a certificate of designation of preferences, rights and limitations with respect to any Class of Preferred Shares (as may be amended from time to time).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or “</w:t>
      </w:r>
      <w:r>
        <w:rPr>
          <w:rFonts w:ascii="Times New Roman" w:hAnsi="Times New Roman"/>
          <w:b/>
          <w:sz w:val="20"/>
        </w:rPr>
        <w:t>Classes</w:t>
      </w:r>
      <w:r>
        <w:rPr>
          <w:rFonts w:ascii="Times New Roman" w:hAnsi="Times New Roman"/>
          <w:sz w:val="20"/>
        </w:rPr>
        <w:t xml:space="preserve">” means any class or classes of Shares as may from time to time be issued by the Company.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Companies Act (as amended) of the Cayman Islands. </w:t>
      </w:r>
    </w:p>
    <w:p>
      <w:pPr>
        <w:pStyle w:val="TextBody"/>
        <w:bidi w:val="0"/>
        <w:spacing w:before="120" w:after="0"/>
        <w:jc w:val="left"/>
        <w:rPr/>
      </w:pPr>
      <w:r>
        <w:rPr/>
        <w:t>“</w:t>
      </w:r>
      <w:r>
        <w:rPr>
          <w:rFonts w:ascii="Times New Roman" w:hAnsi="Times New Roman"/>
          <w:b/>
          <w:sz w:val="20"/>
        </w:rPr>
        <w:t>Designated Stock Exchange</w:t>
      </w:r>
      <w:r>
        <w:rPr>
          <w:rFonts w:ascii="Times New Roman" w:hAnsi="Times New Roman"/>
          <w:sz w:val="20"/>
        </w:rPr>
        <w:t xml:space="preserve">” means any national securities exchange or automated quotation system on which the Company’s securities are listed for trading, including but not limited to The Nasdaq Stock Market LLC, The NYSE MKT LLC, The New York Stock Exchange LLC or any OTC market. </w:t>
      </w:r>
    </w:p>
    <w:p>
      <w:pPr>
        <w:pStyle w:val="TextBody"/>
        <w:bidi w:val="0"/>
        <w:spacing w:before="120" w:after="0"/>
        <w:jc w:val="left"/>
        <w:rPr/>
      </w:pPr>
      <w:r>
        <w:rPr/>
        <w:t>“</w:t>
      </w:r>
      <w:r>
        <w:rPr>
          <w:rFonts w:ascii="Times New Roman" w:hAnsi="Times New Roman"/>
          <w:b/>
          <w:sz w:val="20"/>
        </w:rPr>
        <w:t>Director 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Directors</w:t>
      </w:r>
      <w:r>
        <w:rPr>
          <w:rFonts w:ascii="Times New Roman" w:hAnsi="Times New Roman"/>
          <w:sz w:val="20"/>
        </w:rPr>
        <w:t xml:space="preserve">” means the directors of the Company for the time being, or as the case may be, the directors assembled as a board or as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electronic meeting</w:t>
      </w:r>
      <w:r>
        <w:rPr>
          <w:rFonts w:ascii="Times New Roman" w:hAnsi="Times New Roman"/>
          <w:sz w:val="20"/>
        </w:rPr>
        <w:t xml:space="preserve">” means an annual general meeting or a general meeting held and conducted wholly and exclusively by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Electronic Transactions Act</w:t>
      </w:r>
      <w:r>
        <w:rPr>
          <w:rFonts w:ascii="Times New Roman" w:hAnsi="Times New Roman"/>
          <w:sz w:val="20"/>
        </w:rPr>
        <w:t xml:space="preserve">” means the Electronic Transactions Act (as amended) of the Cayman Islands.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hybrid meeting</w:t>
      </w:r>
      <w:r>
        <w:rPr>
          <w:rFonts w:ascii="Times New Roman" w:hAnsi="Times New Roman"/>
          <w:sz w:val="20"/>
        </w:rPr>
        <w:t xml:space="preserve">” means an annual general meeting or a general meeting held and conducted by (i) physical attendance by Shareholders and/or proxies and (ii)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Indemnified Person</w:t>
      </w:r>
      <w:r>
        <w:rPr>
          <w:rFonts w:ascii="Times New Roman" w:hAnsi="Times New Roman"/>
          <w:sz w:val="20"/>
        </w:rPr>
        <w:t xml:space="preserve">” has the meaning given to it in Article 116. </w:t>
      </w:r>
    </w:p>
    <w:p>
      <w:pPr>
        <w:pStyle w:val="TextBody"/>
        <w:bidi w:val="0"/>
        <w:spacing w:before="120" w:after="0"/>
        <w:jc w:val="left"/>
        <w:rPr/>
      </w:pPr>
      <w:r>
        <w:rPr/>
        <w:t>“</w:t>
      </w:r>
      <w:r>
        <w:rPr>
          <w:rFonts w:ascii="Times New Roman" w:hAnsi="Times New Roman"/>
          <w:b/>
          <w:sz w:val="20"/>
        </w:rPr>
        <w:t>Material Ownership Interests</w:t>
      </w:r>
      <w:r>
        <w:rPr>
          <w:rFonts w:ascii="Times New Roman" w:hAnsi="Times New Roman"/>
          <w:sz w:val="20"/>
        </w:rPr>
        <w:t xml:space="preserve">” has the meaning given to in Article 10(c). </w:t>
      </w:r>
    </w:p>
    <w:p>
      <w:pPr>
        <w:pStyle w:val="TextBody"/>
        <w:bidi w:val="0"/>
        <w:spacing w:before="120" w:after="0"/>
        <w:jc w:val="left"/>
        <w:rPr/>
      </w:pPr>
      <w:r>
        <w:rPr/>
        <w:t>“</w:t>
      </w:r>
      <w:r>
        <w:rPr>
          <w:rFonts w:ascii="Times New Roman" w:hAnsi="Times New Roman"/>
          <w:b/>
          <w:sz w:val="20"/>
        </w:rPr>
        <w:t>Memorandum of Association</w:t>
      </w:r>
      <w:r>
        <w:rPr>
          <w:rFonts w:ascii="Times New Roman" w:hAnsi="Times New Roman"/>
          <w:sz w:val="20"/>
        </w:rPr>
        <w:t xml:space="preserve">” means the memorandum of association of the Company, as amended or substituted from time to time. </w:t>
      </w:r>
    </w:p>
    <w:p>
      <w:pPr>
        <w:pStyle w:val="TextBody"/>
        <w:bidi w:val="0"/>
        <w:spacing w:before="120" w:after="0"/>
        <w:jc w:val="left"/>
        <w:rPr/>
      </w:pPr>
      <w:r>
        <w:rPr/>
        <w:t>“</w:t>
      </w:r>
      <w:r>
        <w:rPr>
          <w:rFonts w:ascii="Times New Roman" w:hAnsi="Times New Roman"/>
          <w:b/>
          <w:sz w:val="20"/>
        </w:rPr>
        <w:t>Office</w:t>
      </w:r>
      <w:r>
        <w:rPr>
          <w:rFonts w:ascii="Times New Roman" w:hAnsi="Times New Roman"/>
          <w:sz w:val="20"/>
        </w:rPr>
        <w:t xml:space="preserve">” means the registered office of the Company as required by the Companies Act. </w:t>
      </w:r>
    </w:p>
    <w:p>
      <w:pPr>
        <w:pStyle w:val="TextBody"/>
        <w:bidi w:val="0"/>
        <w:spacing w:before="120" w:after="0"/>
        <w:jc w:val="left"/>
        <w:rPr/>
      </w:pPr>
      <w:r>
        <w:rPr/>
        <w:t>“</w:t>
      </w:r>
      <w:r>
        <w:rPr>
          <w:rFonts w:ascii="Times New Roman" w:hAnsi="Times New Roman"/>
          <w:b/>
          <w:sz w:val="20"/>
        </w:rPr>
        <w:t>Officers</w:t>
      </w:r>
      <w:r>
        <w:rPr>
          <w:rFonts w:ascii="Times New Roman" w:hAnsi="Times New Roman"/>
          <w:sz w:val="20"/>
        </w:rPr>
        <w:t xml:space="preserve">” means the officers for the time being and from time to time of the Company. </w:t>
      </w:r>
    </w:p>
    <w:p>
      <w:pPr>
        <w:pStyle w:val="TextBody"/>
        <w:bidi w:val="0"/>
        <w:spacing w:before="120" w:after="0"/>
        <w:jc w:val="left"/>
        <w:rPr/>
      </w:pPr>
      <w:r>
        <w:rPr/>
        <w:t>“</w:t>
      </w:r>
      <w:r>
        <w:rPr>
          <w:rFonts w:ascii="Times New Roman" w:hAnsi="Times New Roman"/>
          <w:b/>
          <w:sz w:val="20"/>
        </w:rPr>
        <w:t>Ordinary Resolution</w:t>
      </w:r>
      <w:r>
        <w:rPr>
          <w:rFonts w:ascii="Times New Roman" w:hAnsi="Times New Roman"/>
          <w:sz w:val="20"/>
        </w:rPr>
        <w:t xml:space="preserve">” means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Ordinary Shares</w:t>
      </w:r>
      <w:r>
        <w:rPr>
          <w:rFonts w:ascii="Times New Roman" w:hAnsi="Times New Roman"/>
          <w:sz w:val="20"/>
        </w:rPr>
        <w:t xml:space="preserve">” means the ordinary shares in the capital of the Company of $0.00001 nominal or par value designated as “Ordinary Shares”, and having the rights provided for in these Articles. </w:t>
      </w:r>
    </w:p>
    <w:p>
      <w:pPr>
        <w:pStyle w:val="TextBody"/>
        <w:bidi w:val="0"/>
        <w:spacing w:before="120" w:after="0"/>
        <w:jc w:val="left"/>
        <w:rPr/>
      </w:pPr>
      <w:r>
        <w:rPr/>
        <w:t>“</w:t>
      </w:r>
      <w:r>
        <w:rPr>
          <w:rFonts w:ascii="Times New Roman" w:hAnsi="Times New Roman"/>
          <w:b/>
          <w:sz w:val="20"/>
        </w:rPr>
        <w:t>paid up</w:t>
      </w:r>
      <w:r>
        <w:rPr>
          <w:rFonts w:ascii="Times New Roman" w:hAnsi="Times New Roman"/>
          <w:sz w:val="20"/>
        </w:rPr>
        <w:t xml:space="preserve">” means paid up as to the par value in respect of the issue of any Shares and includes credited as paid up. </w:t>
      </w:r>
    </w:p>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 </w:t>
      </w:r>
    </w:p>
    <w:p>
      <w:pPr>
        <w:pStyle w:val="TextBody"/>
        <w:bidi w:val="0"/>
        <w:spacing w:before="120" w:after="0"/>
        <w:jc w:val="left"/>
        <w:rPr/>
      </w:pPr>
      <w:r>
        <w:rPr/>
        <w:t>“</w:t>
      </w:r>
      <w:r>
        <w:rPr>
          <w:rFonts w:ascii="Times New Roman" w:hAnsi="Times New Roman"/>
          <w:b/>
          <w:sz w:val="20"/>
        </w:rPr>
        <w:t>Preferred Shares</w:t>
      </w:r>
      <w:r>
        <w:rPr>
          <w:rFonts w:ascii="Times New Roman" w:hAnsi="Times New Roman"/>
          <w:sz w:val="20"/>
        </w:rPr>
        <w:t xml:space="preserve">” means the Preferred Shares in the capital of the Company of $0.00001 nominal or par value designated as Preferred Shares or such other Series of Preferred Shares, and having the rights provided for in these Articles. </w:t>
      </w:r>
    </w:p>
    <w:p>
      <w:pPr>
        <w:pStyle w:val="TextBody"/>
        <w:bidi w:val="0"/>
        <w:spacing w:before="120" w:after="0"/>
        <w:jc w:val="left"/>
        <w:rPr/>
      </w:pPr>
      <w:r>
        <w:rPr/>
        <w:t>“</w:t>
      </w:r>
      <w:r>
        <w:rPr>
          <w:rFonts w:ascii="Times New Roman" w:hAnsi="Times New Roman"/>
          <w:b/>
          <w:sz w:val="20"/>
        </w:rPr>
        <w:t>Proposing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Principal Register</w:t>
      </w:r>
      <w:r>
        <w:rPr>
          <w:rFonts w:ascii="Times New Roman" w:hAnsi="Times New Roman"/>
          <w:sz w:val="20"/>
        </w:rPr>
        <w:t xml:space="preserve">” means where the Company has established one or more Branch Registers pursuant to the Companies Act and these Articles, means the Register maintained by the Company pursuant to the Companies Act and these Articles that is not designated by the Directors as a Branch Register. </w:t>
      </w:r>
    </w:p>
    <w:p>
      <w:pPr>
        <w:pStyle w:val="TextBody"/>
        <w:bidi w:val="0"/>
        <w:spacing w:before="120" w:after="0"/>
        <w:jc w:val="left"/>
        <w:rPr/>
      </w:pPr>
      <w:r>
        <w:rPr/>
        <w:t>“</w:t>
      </w:r>
      <w:r>
        <w:rPr>
          <w:rFonts w:ascii="Times New Roman" w:hAnsi="Times New Roman"/>
          <w:b/>
          <w:sz w:val="20"/>
        </w:rPr>
        <w:t>qualified representative</w:t>
      </w:r>
      <w:r>
        <w:rPr>
          <w:rFonts w:ascii="Times New Roman" w:hAnsi="Times New Roman"/>
          <w:sz w:val="20"/>
        </w:rPr>
        <w:t xml:space="preserve">” has the meaning given to it in Article 15. </w:t>
      </w:r>
    </w:p>
    <w:p>
      <w:pPr>
        <w:pStyle w:val="TextBody"/>
        <w:bidi w:val="0"/>
        <w:spacing w:before="120" w:after="0"/>
        <w:jc w:val="left"/>
        <w:rPr/>
      </w:pPr>
      <w:r>
        <w:rPr/>
        <w:t>“</w:t>
      </w:r>
      <w:r>
        <w:rPr>
          <w:rFonts w:ascii="Times New Roman" w:hAnsi="Times New Roman"/>
          <w:b/>
          <w:sz w:val="20"/>
        </w:rPr>
        <w:t>Register</w:t>
      </w:r>
      <w:r>
        <w:rPr>
          <w:rFonts w:ascii="Times New Roman" w:hAnsi="Times New Roman"/>
          <w:sz w:val="20"/>
        </w:rPr>
        <w:t xml:space="preserve">” means the register of members of the Company required to be kept pursuant to the Companies Act and includes any Branch Register(s) established by the Company in accordance with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Seal</w:t>
      </w:r>
      <w:r>
        <w:rPr>
          <w:rFonts w:ascii="Times New Roman" w:hAnsi="Times New Roman"/>
          <w:sz w:val="20"/>
        </w:rPr>
        <w:t xml:space="preserve">” means the common seal of the Company (if adopted) including any facsimile thereof.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120" w:after="0"/>
        <w:jc w:val="left"/>
        <w:rPr/>
      </w:pPr>
      <w:r>
        <w:rPr/>
        <w:t>“</w:t>
      </w:r>
      <w:r>
        <w:rPr>
          <w:rFonts w:ascii="Times New Roman" w:hAnsi="Times New Roman"/>
          <w:b/>
          <w:sz w:val="20"/>
        </w:rPr>
        <w:t>Secretary</w:t>
      </w:r>
      <w:r>
        <w:rPr>
          <w:rFonts w:ascii="Times New Roman" w:hAnsi="Times New Roman"/>
          <w:sz w:val="20"/>
        </w:rPr>
        <w:t xml:space="preserve">” means any Person appointed by the Directors to perform any of the duties of the secretary of the Company.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Series</w:t>
      </w:r>
      <w:r>
        <w:rPr>
          <w:rFonts w:ascii="Times New Roman" w:hAnsi="Times New Roman"/>
          <w:sz w:val="20"/>
        </w:rPr>
        <w:t xml:space="preserve">” means a series of a Class as may from time to time be issued by the Company. </w:t>
      </w:r>
    </w:p>
    <w:p>
      <w:pPr>
        <w:pStyle w:val="TextBody"/>
        <w:bidi w:val="0"/>
        <w:spacing w:before="120" w:after="0"/>
        <w:jc w:val="left"/>
        <w:rPr/>
      </w:pPr>
      <w:r>
        <w:rPr/>
        <w:t>“</w:t>
      </w:r>
      <w:r>
        <w:rPr>
          <w:rFonts w:ascii="Times New Roman" w:hAnsi="Times New Roman"/>
          <w:b/>
          <w:sz w:val="20"/>
        </w:rPr>
        <w:t>Share</w:t>
      </w:r>
      <w:r>
        <w:rPr>
          <w:rFonts w:ascii="Times New Roman" w:hAnsi="Times New Roman"/>
          <w:sz w:val="20"/>
        </w:rPr>
        <w:t>” means a share in the capital of the Company. All references to “</w:t>
      </w:r>
      <w:r>
        <w:rPr>
          <w:rFonts w:ascii="Times New Roman" w:hAnsi="Times New Roman"/>
          <w:b/>
          <w:sz w:val="20"/>
        </w:rPr>
        <w:t>Shares</w:t>
      </w:r>
      <w:r>
        <w:rPr>
          <w:rFonts w:ascii="Times New Roman" w:hAnsi="Times New Roman"/>
          <w:sz w:val="20"/>
        </w:rPr>
        <w:t xml:space="preserve">” herein shall be deemed to be Shares of any or all Classes as the context may require. For the avoidance of doubt in these Articles the expression “Share” shall include a fraction of a Share. </w:t>
      </w:r>
    </w:p>
    <w:p>
      <w:pPr>
        <w:pStyle w:val="TextBody"/>
        <w:bidi w:val="0"/>
        <w:spacing w:before="120" w:after="0"/>
        <w:jc w:val="left"/>
        <w:rPr/>
      </w:pPr>
      <w:r>
        <w:rPr/>
        <w:t>“</w:t>
      </w:r>
      <w:r>
        <w:rPr>
          <w:rFonts w:ascii="Times New Roman" w:hAnsi="Times New Roman"/>
          <w:b/>
          <w:sz w:val="20"/>
        </w:rPr>
        <w:t>Shareholder</w:t>
      </w:r>
      <w:r>
        <w:rPr>
          <w:rFonts w:ascii="Times New Roman" w:hAnsi="Times New Roman"/>
          <w:sz w:val="20"/>
        </w:rPr>
        <w:t xml:space="preserve">” means a Person who is registered as the holder of Shares in the Register and includes each subscriber to the Memorandum of Association pending entry in the Register of such subscriber. </w:t>
      </w:r>
    </w:p>
    <w:p>
      <w:pPr>
        <w:pStyle w:val="TextBody"/>
        <w:bidi w:val="0"/>
        <w:spacing w:before="120" w:after="0"/>
        <w:jc w:val="left"/>
        <w:rPr/>
      </w:pPr>
      <w:r>
        <w:rPr/>
        <w:t>“</w:t>
      </w:r>
      <w:r>
        <w:rPr>
          <w:rFonts w:ascii="Times New Roman" w:hAnsi="Times New Roman"/>
          <w:b/>
          <w:sz w:val="20"/>
        </w:rPr>
        <w:t>Shareholder Requisite Removal with Cause Threshold</w:t>
      </w:r>
      <w:r>
        <w:rPr>
          <w:rFonts w:ascii="Times New Roman" w:hAnsi="Times New Roman"/>
          <w:sz w:val="20"/>
        </w:rPr>
        <w:t xml:space="preserve">” has the meaning given to it in Article 48. </w:t>
      </w:r>
    </w:p>
    <w:p>
      <w:pPr>
        <w:pStyle w:val="TextBody"/>
        <w:bidi w:val="0"/>
        <w:spacing w:before="120" w:after="0"/>
        <w:jc w:val="left"/>
        <w:rPr/>
      </w:pPr>
      <w:r>
        <w:rPr/>
        <w:t>“</w:t>
      </w:r>
      <w:r>
        <w:rPr>
          <w:rFonts w:ascii="Times New Roman" w:hAnsi="Times New Roman"/>
          <w:b/>
          <w:sz w:val="20"/>
        </w:rPr>
        <w:t>Shareholder Requisition</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 Delivery Date</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Requisitioned General Meeting</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 Premium Account</w:t>
      </w:r>
      <w:r>
        <w:rPr>
          <w:rFonts w:ascii="Times New Roman" w:hAnsi="Times New Roman"/>
          <w:sz w:val="20"/>
        </w:rPr>
        <w:t xml:space="preserve">” means the share premium account established in accordance with these Articles and the Companies Act. </w:t>
      </w:r>
    </w:p>
    <w:p>
      <w:pPr>
        <w:pStyle w:val="TextBody"/>
        <w:bidi w:val="0"/>
        <w:spacing w:before="120" w:after="0"/>
        <w:jc w:val="left"/>
        <w:rPr/>
      </w:pPr>
      <w:r>
        <w:rPr/>
        <w:t>“</w:t>
      </w:r>
      <w:r>
        <w:rPr>
          <w:rFonts w:ascii="Times New Roman" w:hAnsi="Times New Roman"/>
          <w:b/>
          <w:sz w:val="20"/>
        </w:rPr>
        <w:t>signed</w:t>
      </w:r>
      <w:r>
        <w:rPr>
          <w:rFonts w:ascii="Times New Roman" w:hAnsi="Times New Roman"/>
          <w:sz w:val="20"/>
        </w:rPr>
        <w:t>” or “</w:t>
      </w:r>
      <w:r>
        <w:rPr>
          <w:rFonts w:ascii="Times New Roman" w:hAnsi="Times New Roman"/>
          <w:b/>
          <w:sz w:val="20"/>
        </w:rPr>
        <w:t>executed</w:t>
      </w:r>
      <w:r>
        <w:rPr>
          <w:rFonts w:ascii="Times New Roman" w:hAnsi="Times New Roman"/>
          <w:sz w:val="20"/>
        </w:rPr>
        <w:t xml:space="preserve">” means bearing a signature or representation of a signature affixed by mechanical means. </w:t>
      </w:r>
    </w:p>
    <w:p>
      <w:pPr>
        <w:pStyle w:val="TextBody"/>
        <w:bidi w:val="0"/>
        <w:spacing w:before="120" w:after="0"/>
        <w:jc w:val="left"/>
        <w:rPr/>
      </w:pPr>
      <w:r>
        <w:rPr/>
        <w:t>“</w:t>
      </w:r>
      <w:r>
        <w:rPr>
          <w:rFonts w:ascii="Times New Roman" w:hAnsi="Times New Roman"/>
          <w:b/>
          <w:sz w:val="20"/>
        </w:rPr>
        <w:t>Solicitation Statement</w:t>
      </w:r>
      <w:r>
        <w:rPr>
          <w:rFonts w:ascii="Times New Roman" w:hAnsi="Times New Roman"/>
          <w:sz w:val="20"/>
        </w:rPr>
        <w:t>” has the meaning given to it in Article 10(e).“</w:t>
      </w:r>
      <w:r>
        <w:rPr>
          <w:rFonts w:ascii="Times New Roman" w:hAnsi="Times New Roman"/>
          <w:b/>
          <w:sz w:val="20"/>
        </w:rPr>
        <w:t>Special Resolution</w:t>
      </w:r>
      <w:r>
        <w:rPr>
          <w:rFonts w:ascii="Times New Roman" w:hAnsi="Times New Roman"/>
          <w:sz w:val="20"/>
        </w:rPr>
        <w:t xml:space="preserve">” means a special resolution of the Company passed in accordance with the Companies Act, being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Synthetic Equity Interest</w:t>
      </w:r>
      <w:r>
        <w:rPr>
          <w:rFonts w:ascii="Times New Roman" w:hAnsi="Times New Roman"/>
          <w:sz w:val="20"/>
        </w:rPr>
        <w:t xml:space="preserve">” has the meaning given to it in Article 10(c). </w:t>
      </w:r>
    </w:p>
    <w:p>
      <w:pPr>
        <w:pStyle w:val="TextBody"/>
        <w:bidi w:val="0"/>
        <w:spacing w:before="120" w:after="0"/>
        <w:jc w:val="left"/>
        <w:rPr/>
      </w:pPr>
      <w:r>
        <w:rPr/>
        <w:t>“</w:t>
      </w:r>
      <w:r>
        <w:rPr>
          <w:rFonts w:ascii="Times New Roman" w:hAnsi="Times New Roman"/>
          <w:b/>
          <w:sz w:val="20"/>
        </w:rPr>
        <w:t>Timely Notice</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Treasury Shares</w:t>
      </w:r>
      <w:r>
        <w:rPr>
          <w:rFonts w:ascii="Times New Roman" w:hAnsi="Times New Roman"/>
          <w:sz w:val="20"/>
        </w:rPr>
        <w:t xml:space="preserve">” means Shares that were previously issued but were purchased, redeemed, surrendered or otherwise acquired by the Company and not cancelled.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and any Person as the context may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word “may” shall be construed as permissive and the word “shall” shall be construed as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dollar or dollars or USD (or $) and to a cent or cents is reference to dollars and cents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statutory enactment shall include reference to any amendment or re-enactment thereof for the time being in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any determination by the Directors shall be construed as a determination by the Directors in their sole and absolute discretion and shall be applicable either generally or in any particular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poll include, without limitation, a poll conducted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vote, votes, voting or votes cast include, without limitation, a vote, votes, voting or votes cast in each case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electronic facilities include, without limitation, website addresses, webinars, webcast, video or any form of conference call system (telephone, video, web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meetings, annual general meetings or general meetings include a physical meeting, a hybrid meeting or an electronic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preceding Articles, any words defined in the Companies Act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bookmarkStart w:id="221" w:name="anxi111069_3"/>
      <w:bookmarkEnd w:id="221"/>
      <w:r>
        <w:rPr>
          <w:rFonts w:ascii="Times New Roman" w:hAnsi="Times New Roman"/>
          <w:b/>
          <w:sz w:val="20"/>
        </w:rPr>
        <w:t xml:space="preserve">PRELIMINARY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may be commenced at any time after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5.</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Act, provided always that a duplicate of such Branch Register(s) shall be maintained with the Principal Register in accordance with the Companies Act and the rules or requirements of any Designated Stock Exchange. </w:t>
            </w:r>
          </w:p>
        </w:tc>
      </w:tr>
    </w:tbl>
    <w:p>
      <w:pPr>
        <w:pStyle w:val="TextBody"/>
        <w:bidi w:val="0"/>
        <w:spacing w:before="480" w:after="0"/>
        <w:jc w:val="center"/>
        <w:rPr>
          <w:rFonts w:ascii="Times New Roman" w:hAnsi="Times New Roman"/>
          <w:b/>
          <w:sz w:val="20"/>
        </w:rPr>
      </w:pPr>
      <w:bookmarkStart w:id="222" w:name="anxi111069_4"/>
      <w:bookmarkEnd w:id="222"/>
      <w:r>
        <w:rPr>
          <w:rFonts w:ascii="Times New Roman" w:hAnsi="Times New Roman"/>
          <w:b/>
          <w:sz w:val="20"/>
        </w:rPr>
        <w:t xml:space="preserve">SHAREHOLDER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Company’s Shares are traded on a Designated Stock Exchange, the Company shall in each year hold a general meeting as its annual general meeting at such time, date, place and in such form (whether as a physical meeting, hybrid meeting or an electronic meeting) as may be determined by the Directors or an officer designated by the board of Directors in accordance with the rules of the Designated Stock Exchange, unless such Designated Stock Exchange does not require the holding of an annual general meeting. </w:t>
            </w:r>
          </w:p>
        </w:tc>
      </w:tr>
    </w:tbl>
    <w:p>
      <w:pPr>
        <w:pStyle w:val="TextBody"/>
        <w:bidi w:val="0"/>
        <w:spacing w:before="360" w:after="0"/>
        <w:jc w:val="left"/>
        <w:rPr>
          <w:rFonts w:ascii="Times New Roman" w:hAnsi="Times New Roman"/>
          <w:sz w:val="20"/>
        </w:rPr>
      </w:pPr>
      <w:r>
        <w:rPr>
          <w:rFonts w:ascii="Times New Roman" w:hAnsi="Times New Roman"/>
          <w:sz w:val="20"/>
          <w:u w:val="single"/>
        </w:rPr>
        <w:t>Notice of Shareholder Business and Nominations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9.</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(x) the foregoing clause (ii) shall be the exclusive means for a Shareholder to bring nominations or business properly before an annual general meeting, and such Shareholder must also comply with the notice and other procedures set forth in Articles 9-15 to bring such nominations or business properly before an annual general meeting, and (y) the number of nominees a Shareholder may nominate for election at an annual general meeting (or in the case of a Shareholder giving the notice on behalf of a beneficial owner, the number of nominees a Shareholder may nominate for election at the annual general meeting on behalf of the beneficial owner) shall not exceed the number of directors to be elected at such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(iii) together with the beneficial owner(s), if any, on whose behalf the nomination or business proposal is made, have acted in accordance with the representations set forth in the Solicitation Statement (as defined below) required by this Article 10, and (iv) in the case of business other than nominations, such business shall only be matters that may be expressly determined by resolution of Shareholders under these Articles or the Companies Act (“</w:t>
            </w:r>
            <w:r>
              <w:rPr>
                <w:rFonts w:ascii="Times New Roman" w:hAnsi="Times New Roman"/>
                <w:b/>
                <w:sz w:val="20"/>
              </w:rPr>
              <w:t>Proper Subject</w:t>
            </w:r>
            <w:r>
              <w:rPr>
                <w:rFonts w:ascii="Times New Roman" w:hAnsi="Times New Roman"/>
                <w:sz w:val="20"/>
              </w:rPr>
              <w:t xml:space="preserve">”)..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A Shareholder’s notice with respect to nominations of persons for election to the board of Directors given in accordance with this Article 10 must contain the names of only the nominees for whom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such Shareholder (or beneficial owner, if any) intends to solicit proxies and any substitute nominees in the event any such nominee is unable to serve or for good cause will not serve; provided that a Shareholder shall not be entitled to make or designate substitute nominees following the expiration of the time periods set forth in this Article 9, and in the event that a Shareholder’s notice includes one or more such substitute nominees, such Shareholder must provide timely notice of such substitute nominee(s) in accordance with the provisions of Articles 9-15 (including, without limitation, satisfaction of all applicable informational requirements set forth therein). Such Shareholder’s Timely Notice shall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(as defined below)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and (vi)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proposes to nominate for election or re-election as a director, a written representation and agreement (in the form to be provided by the Secretary or Directors upon written request of any Proposing Person within five (5) business days of such request),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except as disclosed in such representation and agreement; and (D) if elected as a director, will comply with all of the Company’s corporate governance policies and guidelines related to conflict of interest (and other fiduciary duties), confidentiality, share ownership and trading policies and guidelines, and any other Company policies and guidelines applicable to directors (which will be provided by the Secretary or Directors to such person within five (5) business days following a request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 to each person whom the Proposing Person proposes to nominate for election or re-election as a director, fully completed and signed questionnaire(s) prepared by the Company, with respect to such proposed nominee(s) in the form to be provided by the Secretary or Directors within five (5) business days following a request by a Proposing Person therefor (the “</w:t>
            </w:r>
            <w:r>
              <w:rPr>
                <w:rFonts w:ascii="Times New Roman" w:hAnsi="Times New Roman"/>
                <w:b/>
                <w:sz w:val="20"/>
              </w:rPr>
              <w:t>Questionnaire(s)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other business that the Proposing Person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and if such Proposing Person is an entity, any related person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as of the date of the Timely Notice, (i) the name and address of the Proposing Person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related persons, including any Shares of any Class or Series of the Company as to which such Proposing Person or any of its related persons has a right to acquire beneficial ownership at any time in the future, (b) all Synthetic Equity Interests (as defined below) in which such Proposing Person or any of its related persons,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related person, (y) whether or not such Synthetic Equity Interest is required to be, or is capable of being, settled through delivery of such Shares and (z) whether or not such Proposing Person or related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related person has or shares a right to, directly or indirectly, vote any Shares of the Company, (d) any rights to dividends or other distributions on the Shares of any Class or Series of the Company, directly or indirectly, owned beneficially by such Proposing Person or related person that are separated or separable from the underlying Shares of the Company, and (e) any performance-related fees (other than an asset based fee) that such Proposing Person or related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sz w:val="20"/>
              </w:rPr>
              <w:t>Material Ownership Interests</w:t>
            </w:r>
            <w:r>
              <w:rPr>
                <w:rFonts w:ascii="Times New Roman" w:hAnsi="Times New Roman"/>
                <w:sz w:val="20"/>
              </w:rPr>
              <w:t xml:space="preserve">”) and (iii) a description of the material terms of all agreements, arrangements or understandings (whether or not in writing) entered into by any Proposing Person or any of related persons with any other person for the purpose of acquiring, holding, disposing or voting of any Shares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the Timely Notice, (i) a description of all agreements, arrangements or understandings by and among any of the Proposing Persons or related persons, or by and among any Proposing Persons or related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(ii) a description (which description shall include, in addition to all other information described in this clause (f), information identifying all parties thereto) of (x) any plans or proposals that such Proposing Persons or related persons and any other person may have with respect to securities of the Company that would be required to be disclosed pursuant to Item 4 of the Exchange Act Schedule 13D and (y) any agreement, arrangement or understanding with respect to the nomination or other proposed business between or among such Proposing Persons or related persons and any other person, including, without limitation any agreements that would be required to be disclosed pursuant to Item 5 or Item 6 of the Exchange Act Schedule 13D, (in the case of either clause (f)(x) or (f)(y), regardless of whether the requirement to file a Schedule 13D is applicable) and (iii) identification of the names and addresses of other Shareholders (including beneficial owners) known by any of the Proposing Persons or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persons to support such nominations or other business proposal(s), and to the extent known, the class and number of all shares of the Company owned beneficially or of record by such other Shareholder(s) or other beneficial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 statement whether or not the Shareholder giving the notice and/or the other Proposing Person(s) or related person(s), if any, or any other participant (as defined in Item 4 of Schedule 14A under the Exchange Act) will engage in a solicitation with respect to such nomination or proposal and, if so, the name of each participant in such solicitation, and whether such solicitation will be conducted as an exempt solicitation under Rule 14a-2(b) of the Exchange Act, and (x) in the case of a proposal of business other than nominations, whether such person or group intends to deliver a proxy statement and form of proxy through means satisfying each of the conditions that would be applicable to the Company under either Rule 14a-16(a) under the Exchange Act or Rule 14a-16(n) under the Exchange Act, to holders of at least the percentage of the Company’s voting shares required under applicable law to carry the proposal, or (y) in the case of any non-exempt solicitation that is subject to Rule 14a-19 of the Exchange Act, confirming that such person or group will deliver, through means satisfying each of the conditions that would be applicable to the Company under either Exchange Act Rule 14a-16(a) or Exchange Act Rule 14a-16(n), a proxy statement and form of proxy to holders of at least 67% of the voting power of the Company’s shares entitled to vote generally in the election of directors, (for purposes of this clause (g), the term “holders” shall include, in addition to shareholders of record, any beneficial owners pursuant to Rule 14b-1 and Rule 14b-2 of the Exchange Act)(such statement, the “</w:t>
            </w:r>
            <w:r>
              <w:rPr>
                <w:rFonts w:ascii="Times New Roman" w:hAnsi="Times New Roman"/>
                <w:b/>
                <w:sz w:val="20"/>
              </w:rPr>
              <w:t>Solicitation Statement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promptly after a solicitation is made to the holders of the Company’s shares referred to in the Solicitation Statement required under clause (g) of this Article 10, and in any event no later than the 10th day before such annual general meeting, such Shareholder, Proposing Person or related person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shares entitled to vote generally in the 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Proposing Person</w:t>
      </w:r>
      <w:r>
        <w:rPr>
          <w:rFonts w:ascii="Times New Roman" w:hAnsi="Times New Roman"/>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related person</w:t>
      </w:r>
      <w:r>
        <w:rPr>
          <w:rFonts w:ascii="Times New Roman" w:hAnsi="Times New Roman"/>
          <w:sz w:val="20"/>
        </w:rPr>
        <w:t xml:space="preserve">” shall mean, in the case of a Proposing Person that is an entity, each individual who is a director, executive officer (as defined in Rule 3b-7 under the Exchange Act), general partner or managing member of such entity or of any other entity that has or shares control of such entity </w:t>
      </w:r>
    </w:p>
    <w:p>
      <w:pPr>
        <w:pStyle w:val="TextBody"/>
        <w:bidi w:val="0"/>
        <w:spacing w:before="120" w:after="0"/>
        <w:jc w:val="left"/>
        <w:rPr>
          <w:rFonts w:ascii="Times New Roman" w:hAnsi="Times New Roman"/>
          <w:sz w:val="20"/>
        </w:rPr>
      </w:pPr>
      <w:r>
        <w:rPr>
          <w:rFonts w:ascii="Times New Roman" w:hAnsi="Times New Roman"/>
          <w:sz w:val="20"/>
        </w:rPr>
        <w:t>For purposes of Article 10(c), the term “</w:t>
      </w:r>
      <w:r>
        <w:rPr>
          <w:rFonts w:ascii="Times New Roman" w:hAnsi="Times New Roman"/>
          <w:b/>
          <w:sz w:val="20"/>
        </w:rPr>
        <w:t>Synthetic Equity Interest</w:t>
      </w:r>
      <w:r>
        <w:rPr>
          <w:rFonts w:ascii="Times New Roman" w:hAnsi="Times New Roman"/>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providing Timely Notice of nominations or business proposed to be brought before an annual general meeting shall further update and supplement such notice, if necessary, so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 A proposed nominee for election or re-election as a director of the Company pursuant to Article 10 will provide to the Company promptly, but in any event within five business days after such request (or by the day prior to the day of the annual general meeting, if earlier) such other information as the Company may reasonably request, including such information reasonably necessary for the Company to determine whether such proposed nominee will satisfy any qualifications, requirements or standards imposed by the Articles, any law, rule, regulation or listing standard that may be applicable to the Company, or relevant to a determination whether such person can be considered an independent director of the Company. If any information or communication submitted pursuant to Articles 9-15 is inaccurate or incomplete in any respect (as determined by the board of Directors (or any authorized committee thereof) or in accordance with Article 13) in good faith, such information shall be deemed not to have been provided in accordance with Articles 9-15,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(other than a proposal included in the Company’s proxy statement pursuant to and in compliance with Rule 14a 8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w:t>
            </w:r>
            <w:r>
              <w:rPr>
                <w:rFonts w:ascii="Times New Roman" w:hAnsi="Times New Roman"/>
                <w:b/>
                <w:sz w:val="20"/>
              </w:rPr>
              <w:t>qualified representative</w:t>
            </w:r>
            <w:r>
              <w:rPr>
                <w:rFonts w:ascii="Times New Roman" w:hAnsi="Times New Roman"/>
                <w:sz w:val="20"/>
              </w:rPr>
              <w:t xml:space="preser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these Articles, “</w:t>
      </w:r>
      <w:r>
        <w:rPr>
          <w:rFonts w:ascii="Times New Roman" w:hAnsi="Times New Roman"/>
          <w:b/>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furnished or filed by the Company with the SEC pursuant to Section 13, 14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if any, of the holders of any Series of Preferred Shares and any Certificate of Designation, general meetings of Shareholders may be called (i) by the board of Directors acting pursuant to a resolution approved by the affirmative vote of a simple majority of the voting power of the Directors present at a meeting of the Directors, or in accordance with the terms set out in Article 54 of these Articles, or (ii) on the requisition in writing of any Shareholder or Shareholders entitled to attend and vote at a general meeting of the Company (whether such a general meeting is a physical meeting, a hybrid meeting or an electronic meeting, a “</w:t>
            </w:r>
            <w:r>
              <w:rPr>
                <w:rFonts w:ascii="Times New Roman" w:hAnsi="Times New Roman"/>
                <w:b/>
                <w:sz w:val="20"/>
              </w:rPr>
              <w:t>Shareholder Requisitioned General Meeting</w:t>
            </w:r>
            <w:r>
              <w:rPr>
                <w:rFonts w:ascii="Times New Roman" w:hAnsi="Times New Roman"/>
                <w:sz w:val="20"/>
              </w:rPr>
              <w:t>”) holding at least forty (40) percent of the paid up voting share capital of the Company (the “</w:t>
            </w:r>
            <w:r>
              <w:rPr>
                <w:rFonts w:ascii="Times New Roman" w:hAnsi="Times New Roman"/>
                <w:b/>
                <w:sz w:val="20"/>
              </w:rPr>
              <w:t>Requisite Percentage</w:t>
            </w:r>
            <w:r>
              <w:rPr>
                <w:rFonts w:ascii="Times New Roman" w:hAnsi="Times New Roman"/>
                <w:sz w:val="20"/>
              </w:rPr>
              <w:t>”) as of the ownership record date (as defined below) delivered to an officer or the Directors at the principal executive offices of the Company (a “</w:t>
            </w:r>
            <w:r>
              <w:rPr>
                <w:rFonts w:ascii="Times New Roman" w:hAnsi="Times New Roman"/>
                <w:b/>
                <w:sz w:val="20"/>
              </w:rPr>
              <w:t>Shareholder Requisition</w:t>
            </w:r>
            <w:r>
              <w:rPr>
                <w:rFonts w:ascii="Times New Roman" w:hAnsi="Times New Roman"/>
                <w:sz w:val="20"/>
              </w:rPr>
              <w:t>” and such delivery date, the “</w:t>
            </w:r>
            <w:r>
              <w:rPr>
                <w:rFonts w:ascii="Times New Roman" w:hAnsi="Times New Roman"/>
                <w:b/>
                <w:sz w:val="20"/>
              </w:rPr>
              <w:t>Shareholder Requisition Delivery Date</w:t>
            </w:r>
            <w:r>
              <w:rPr>
                <w:rFonts w:ascii="Times New Roman" w:hAnsi="Times New Roman"/>
                <w:sz w:val="20"/>
              </w:rPr>
              <w:t xml:space="preserve">”)). Such Shareholder Requisition shall (i) specify the business of the general meeting and the matters to be proposed at the general meeting, each of which shall be a business and matter properly brought before a general meeting in accordance with these Articles and applicable law, (ii) be dated and signed by each such Shareholder (or qualified representative) (iii) contain the information required by Articles 9-15 with respect to any director nominations or other business proposed to be presented at the general meeting; provided however, that, with respect to the Material Ownership Interests disclosure required by Article 10(e), the Shareholder Requisition shall be accompanied by documentary evidence supporting such disclosure as of the ownership record date; provided, however, that if the requesting persons are not the beneficial owners of the Shares representing the Requisite Percentage, then to be valid, the Shareholder Requisition must also include documentary evidence of the Material Ownership Interests of the beneficial owners on whose behalf the Shareholder Requisition is made, and (iv) be delivered to an officer or the Directors at the principal executive offices of the Company, by hand or by certified or registered mail, return receipt requested, within 60 days after the ownership record date. For the avoidance of doubt, the number of nominees a Shareholder may nominate for election at a general meeting (or in the case of a Shareholder giving the notice on behalf of a beneficial owner, the number of nominees a Shareholder may nominate for election at the general meeting on behalf of the beneficial owner) shall not exceed the number of directors to be elected at such general meeting. Only those matters set forth in the notice of the general meeting may be considered or acted upon at a general meeting of Shareholders. For the avoidance of doubt, nominations of persons for election to the board of Directors of the Company and Shareholder proposals of other business may be brought before a general meeting of Shareholders in the same manner as provided for annual general meetings in accordance with the terms of Articles 9-15. Any person seeking to request a general meeting shall first request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board of Directors fix a record date to determine the persons entitled to request a special meeting (the “</w:t>
            </w:r>
            <w:r>
              <w:rPr>
                <w:b/>
              </w:rPr>
              <w:t>ownership record date</w:t>
            </w:r>
            <w:r>
              <w:rPr/>
              <w:t>”) by delivering notice in writing to the Secretary or the Directors at the principal executive offices of the Company (the “</w:t>
            </w:r>
            <w:r>
              <w:rPr>
                <w:b/>
              </w:rPr>
              <w:t>record date request notice</w:t>
            </w:r>
            <w:r>
              <w:rPr/>
              <w:t xml:space="preserve">”). A person’s record date request notice shall contain information about the Class or Series and number of shares of the Company which are owned of record and beneficially by the person as of the date of the record date request notice and state the business proposed to be acted on at the meeting. Upon receiving a record date request notice, the board of Directors may set an ownership record date. Notwithstanding any other provision of these Articles, the ownership record date shall not precede the date upon which the resolution fixing the ownership record date is adopted by the board of Directors, and shall not be more than 10 days after the close of business on the date upon which the resolution fixing the ownership record date is adopted by the board of Directors. If the board of Directors, within 10 days after the date upon which a valid record date request notice is received by the Secretary or the Directors, does not adopt a resolution fixing the ownership record date, the ownership record date shall be the close of business on the 10th day after the date upon which a valid record date request notice is received by the Secretary or the Directors (or, if such 10th day is not a business day, the first business day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not be required to call a Shareholder Requisitioned General Meeting if (i) the Shareholder Requisition does not comply with Article 16, (ii) the board of Directors has called, or calls an annual general meeting or a general meeting to be held within ninety (90) days after the Shareholder Requisition Delivery Date and the business of such meeting includes the business specified in the Shareholder Requisition; (iii) an annual general meeting or a general meeting has been held within twelve (12) months of the Shareholder Requisition Delivery Date at which the business specified in the Shareholder Requisition was considered; or (iv) the Shareholder Requisition relates to an item of business that is not a Proper Subject, or that involves a violation of, applicable law, such determinations under (ii), (iii) and (iv) to be made in good faith by the board of Directors. If the Shareholders who deposited the Shareholder Requisition in accordance with Article 16 do not attend the Shareholder Requisitioned General Meeting either in person (or by proxy) or by a qualified representative to present the business specified in the Shareholder Requisition, the Company shall not be required to present such business for a vote at such Shareholder Requisitioned General Meeting notwithstanding that proxies and votes in respect of such matter may have been received by the Company. Business transacted at a shareholder-requested general meeting shall be limited to: (i) the business stated in the valid Shareholder Requisition received from the Requisite Percentage; and (ii) any additional business that the board of Directors determines to include in the Company’s notice of meeting. The board of Directors may postpone or adjourn any general meeting previously scheduled pursuant to this Article 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Shareholder Requisitioned General Meeting is determined by an officer or the board of Directors, as applicable, to comply with Article 16, such Shareholder Requisitioned General Meeting shall be held not less than sixty (60) days and not more than ninety (90) days after the Shareholder Requisition Delivery Date, and written notice of such Shareholder Requisitioned General Meeting shall be given in accordance with the provisions in Article 17, save that the timing requirements for notice set out in Article 17 shall be replaced by the requirement that such notice of Shareholder Requisitioned General Meeting be given no later than 30 days after the Shareholder Requisition Delivery Date. Any Shareholder having requisitioned a Shareholder Requisitioned General Meeting in compliance with Article 16 may revoke such Shareholder Requisition at any time by written notice delivered to an officer or the Directors.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Notice of Meetings; Adjournments; Postponements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of each annual general meeting stating the time, date and place of such annual general meeting (and, if the annual general meeting is to be a hybrid meeting or an electronic meeting, the details of the electronic facilities for attendance and participation by electronic means at the annual general meeting)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which Shareholders and proxyholders may be deemed to be present in person and vote at such meeting, in each case as determined by the Directors, shall be given not less than seven (7) days nor more than sixty (60) days before the annual general meeting, to each Shareholder entitled to vote thereat as of the relevant record date for such meeting by delivering such notice to such Shareholder in accordance with Articles 123-127. No business may be transacted at such annual general meeting otherwise than specified in the notice of annual general meeting or as otherwise outlined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all general meetings of Shareholders shall be given in the same manner as provided for annual general meetings, except that the notice of all general meetings shall state the business, purpose or purposes for which the meeting has been called.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an annual general meeting or general meeting of Shareholders need not be given to a Shareholder if a waiver of notice is executed and filed with the records of the meeting, or waiver of notice by electronic transmission is provided, before or after such meeting by such Shareholder or if such Shareholder attends such meeting (whether such meeting is a physical meeting, a hybrid meeting or an electronic meeting), unless such attendance is for the express purpose of objecting at the beginning of the meeting to the transaction of any business because the meeting was not lawfully called or convened or that a matter to be considered when it is presented to the meeting, is not within the purposes described in the notice of such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adjourn for the reasons set out in, and in accordance with, Article 21. The Directors shall make a public announcement of any cancellation or postponement or otherwise provide notice to Shareholders of any cancellation or postponement, including a public announcement or notice specifying the form of the postponed or adjourned meeting (whether a physical meeting, a hybrid meeting or an electronic meeting).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(or extend any time period) for the giving of a Shareholder’s notice under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any meeting is convened, the chairman of the meeting may adjourn the meeting if (i) no quorum is present for the transaction of business, (ii) the chairman determines that adjournment is necessary or appropriate to enable the Shareholders to consider fully information which the chairman determines has not been made sufficiently or timely available to Shareholders, or (iii) the chairman determines that adjournment is otherwise in the best interests of the Company. When any annual general meeting or general meeting of Shareholders is adjourned to another time, date or place, notice need not be given of the adjourned meeting other than an announcement at the meeting at which the adjournment is taken of the time, date, place and the form of such meeting (whether a physical meeting, a hybrid meeting or an electronic meeting), if any, to which the meeting is adjourned; provided, however, that if the adjournment is for more than thirty (30) days from the meeting date, or if after the adjournment a new record date is fixed for the adjourned meeting, notice of the adjourned meeting specifying the time, date, place and the form of such meeting (whether a physical meeting, a hybrid meeting or an electronic meeting) shall be given to each Shareholder of record entitled to vote thereat and each Shareholder who, under these Articles, is entitled to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meeting to or the non-receipt of a notice of a meeting by any Shareholder shall not invalidate the proceedings at any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in any Certificate of Designation (as the case may be) or these Articles, the holders of record of one-third of the issued and outstanding Shares entitled to vote, present in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 meeting will be adjourned until quorum is present. At such adjourned meeting at which a quorum is present, any business may be transacted which might have been transacted at the original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attendance at an annual general meeting or general meeting, it is immaterial whether any two or more Shareholders attending it are in the same place or using the same form (whether a physical meeting, a hybrid meeting or an electronic meeting) as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or more Shareholders who are not in the same place as each other (or not attending using the same form as each other, whether through a physical meeting, a hybrid meeting or an electronic meeting) attend an annual general meeting or general meeting if their circumstances are such that if they have (or were to have) rights to speak and vote at that meeting, they are (or would be) able to exercise them.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Voting and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in these Articles and subject to any rights and restrictions for the time being attached to any Share, every holder of an Ordinary Share present in person and every Person representing a Shareholder by proxy shall, at an annual general meeting or general meeting of the Company, have one vote for each Ordinary Share of which he or she or the Person represented by proxy is the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those Shareholders entitled to vote at any meeting of the Shareholders, except as otherwise provided by law, only persons in whose names are recorded on the Register on the record date, as provided in Article 41,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instrument appointing a proxy may be in any usual or common form or such other form as the Directors may approve.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put to the vote of the meeting shall be decided on a poll in such manner as the chairman directs and the result of the poll shall be deemed to be the resolution of the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Action at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93, 128, 137 and 139), any Certificate of Designation, or by applicable law. For the avoidance of doubt, any election of directors by Shareholders entitled to vote on such election shall be determined by a plurality of the votes in accordance with Article 44.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Conduct of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every meeting of Shareholders, and unless otherwise determined by the board of Directors, the chairman of the Directors, or, if a chairman has not been appointed or is absent, the chief executive officer shall act as chairman of the meeting. The Secretary, or, in his or her absence, an assistant Secretary directed to do so by the chairman, shall act as Secretary of the meeting. The chairman of the meeting shall be entitled to make such rules or regulations for the conduct of meetings of Shareholders as it shall deem necessary, appropriate or convenient including, without limitation, establishing order of business for the meeting, rules and procedures for maintaining order at the meeting, limitations on participation in such meeting to Shareholders of record of the Company and regulation of the opening and closing of the polls for balloting on matters which are to be voted on by ballot. The chairman at any meeting of Shareholders shall have the power, among other things, to adjourn such meeting at any time and from time to time, subject to Article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meeting may, in its absolute discretion, arrange for persons entitled to attend an annual general meeting or general meeting to do so by either one or both of the following: (i) physical attendance at the location of the annual general meeting or general meeting as determined by the chairman of the meeting in its absolute discretion and (ii) participation by means of electronic facilities as determined by the chairman of the meeting, in its absolute discretion. Without prejudice to any other provision of these Articles, any Shareholder or any proxy physically attending in any such way and any Shareholder or any proxy participating in any electronic meeting or a hybrid meeting by means of electronic facilities is deemed to be present at and shall be counted in the quorum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 annual general meeting or general meeting may attend, preside as chair at, and conduct proceedings of, such meeting by means of electronic facilities.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Inspector of Elections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Corporations Acting by Representatives at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Clearing Houses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40.</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40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Record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Term of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specified by these Articles or any Certificate of Designation, the size of the board of Directors shall be fixed by the board of Directors and may be increased or decreased at any time by the affirmative vote of a simple majority of the voting power of the Directors present, or in accordance with terms set out in Article 54 of these Articles. If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reason, the Directors shall not have been elected at an annual general meeting in accordance with these Articles, they may be elected as soon thereafter as convenient at a general meeting of the Shareholders called for that purpose in the manner provided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date of adoption of these Articles, the term of office of the Class I directors shall expire and Class I directors shall be elected for a full term of three years. At the second annual general meeting of Shareholders following the date of adoption of these Articles, the term of office of the Class II directors shall expire and Class II directors shall be elected for a full term of three years. At the third annual general meeting of Shareholders following the date of adoption of these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or officer need be a Shareholder of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by the affirmative vote of a simple majority of the voting power of the Directors present, or in accordance with the terms set out in Article 54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In the event of a vacancy in the board of Directors, the remaining Directors, except as otherwise provided by law, shall exercise the powers of the full board of Directors until the vacancy is filled.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Removal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Ordinary Resolution (the “</w:t>
            </w:r>
            <w:r>
              <w:rPr>
                <w:rFonts w:ascii="Times New Roman" w:hAnsi="Times New Roman"/>
                <w:b/>
                <w:i/>
                <w:sz w:val="20"/>
              </w:rPr>
              <w:t>Shareholder</w:t>
            </w:r>
            <w:r>
              <w:rPr>
                <w:rFonts w:ascii="Times New Roman" w:hAnsi="Times New Roman"/>
                <w:sz w:val="20"/>
              </w:rPr>
              <w:t xml:space="preserv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a simple majority of Directors then in office (the “</w:t>
            </w:r>
            <w:r>
              <w:rPr>
                <w:rFonts w:ascii="Times New Roman" w:hAnsi="Times New Roman"/>
                <w:b/>
                <w:i/>
                <w:sz w:val="20"/>
              </w:rPr>
              <w:t>Director Requisite Removal with Cause Threshold</w:t>
            </w:r>
            <w:r>
              <w:rPr>
                <w:rFonts w:ascii="Times New Roman" w:hAnsi="Times New Roman"/>
                <w:sz w:val="20"/>
              </w:rPr>
              <w:t>” and together with the Shareholder Requisite Removal with Cause Threshold, the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Articles 47, 48 and 49 and any Certificate of Designation (as the case may be), “cause” for the removal of a Director shall be deemed to exist only if such Director has been found by the affirmative vote of the applicable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resign at any time by electronic transmission or by giving written notice to the board of Directors, the chairman, if one is elected, or the Secretary. A resignation shall be effective upon receipt, unless the resignation otherwise provides.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Meetings of the board of Directors may be held at such time, date and place (including any electronic facilities) as the board of Directors may from time to time determine and publicize by means of twenty-four hours’ notice (either orally or in writing, by telephone, including a voice-messaging system or other system designed to record and communicate messages, telegraph or telex, or by electronic mail or other electronic means), unless such notice is waived. A notice or waiver of notice need not specify the purpose of the meeting. Notice of a meeting need not be given to any Director if a waiver of notice signed by the Director before or after the meeting or delivered by the Director by means of electronic transmission is filed with the minutes or to any Director who attends the meeting without objecting to holding the meeting or transacting business at the meeting at the beginning of the meeting or promptly upon the Director’s arrival or who thereafter votes for or assents to action taken at the meeting. No further notice shall be required for meetings of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 simple majority of the voting power of the Directors then in office shall constitute a quorum for the transaction of business, but if less than a quorum is present at a meeting, the chairman, if one is elected, or a simple majority of the voting power of the Directors present may adjourn the meeting finally or from time to time without further notice until a quorum is secured. Any business which might have been transacted at the meeting as originally noticed may be transacted at such adjourned meeting at which a quorum is present. For purposes of this Article 52, the total number of Directors includes any unfilled vacancies on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at Directors’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at which a quorum is present, the vote of a simple majority of the voting power of the Directors present shall constitute action by the board of Directors, unless otherwise specified under these Articles or any Certificate of Designation (as the case may be).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By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 writing signed by all the Directors or all the members of a committee of Directors entitled to receive notice of a meeting of Directors or committee of Directors, as the case may be (an alternate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Manner of Participation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Chairman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Committees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by vote of a simple majority of the voting power of the Directors present or in accordance with the terms set out in Article 54 of these Articles, may elect one or more committees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shall receive such compensation for their services as shall be determined by a simple majority of the voting power of the Directors present or in accordance with the terms set out in Article 54 of these Articles, or a designated committee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provided for the purpose of recording: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appointments of Officers made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Directors present at each meeting of the Directors and of any committee of the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resolutions and proceedings at all meetings of the Company, and of the Directors and of committees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Authority to Wind Up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have the authority to present a winding up petition on behalf of the Company without the sanction of a resolution passed by the Company in a general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Alternate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sz w:val="20"/>
              </w:rPr>
              <w:t>Attorney</w:t>
            </w:r>
            <w:r>
              <w:rPr>
                <w:rFonts w:ascii="Times New Roman" w:hAnsi="Times New Roman"/>
                <w:sz w:val="20"/>
              </w:rPr>
              <w:t>” or “</w:t>
            </w:r>
            <w:r>
              <w:rPr>
                <w:rFonts w:ascii="Times New Roman" w:hAnsi="Times New Roman"/>
                <w:b/>
                <w:sz w:val="20"/>
              </w:rPr>
              <w:t>Authorised</w:t>
            </w:r>
            <w:r>
              <w:rPr>
                <w:rFonts w:ascii="Times New Roman" w:hAnsi="Times New Roman"/>
                <w:sz w:val="20"/>
              </w:rPr>
              <w:t xml:space="preserve"> </w:t>
            </w:r>
            <w:r>
              <w:rPr>
                <w:rFonts w:ascii="Times New Roman" w:hAnsi="Times New Roman"/>
                <w:b/>
                <w:sz w:val="20"/>
              </w:rPr>
              <w:t>Signatory</w:t>
            </w:r>
            <w:r>
              <w:rPr>
                <w:rFonts w:ascii="Times New Roman" w:hAnsi="Times New Roman"/>
                <w:sz w:val="20"/>
              </w:rPr>
              <w:t xml:space="preserve">”,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allot and dispose of the same to such Persons, in such manner, on such terms and having such rights and being subject to such restrictions as they may from time to time determine;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options with respect to such Shares and issue warrants or similar instruments with respect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such purposes, the Directors may reserve an appropriate number of Shares for the time being unissued.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issue fractions of a Share and, if so issued, a fraction of a Share shall be subject to and carry the corresponding fraction of liabilities (whether with respect to nominal or par value, premium,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calls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arrangements on the issue of partly paid Shares for a difference between the Shareholders, or the particular Shares, in the amount of calls to be paid and in the times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Forfeiture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times and for such periods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instruments of transfer that are registered shall be retained by the Company, but any instrument of transfer that the Directors decline to register shall (except in any case of fraud) be returned to the Person depositing the same.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Transmission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 up Shares into stock and reconvert that stock into paid up Shares of any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Shares so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reduce its share capital and any capital redemption reserve in any manner authorized by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Purchase and Surrender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rules of the Designated Stock Exchange, the Company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Company or the Shareholder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on such terms and in such manner as the Directors may determine and agree with the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authorized by the Companies Act, including out of its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purchase or surrender of any Share shall not be deemed to give rise to the redemption, purchase or surrender of any other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that the Company purchases, redeems or acquires (by way of surrender or otherwise) may, at the option of the Company, be cancelled immediately or held as Treasury Shares in accordance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Companies Act. In the event that the Directors do not specify that the relevant Shares are to be held as Treasury Shares, such Shares shall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may be declared or paid, and no other distribution (whether in cash or otherwise) of the Company’s assets (including any distribution of assets to Shareholders on a winding up) may be declared or paid in respect of a Treasury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entered in the Register as the holder of the Treasury Shares;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be treated as a member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Treasury Shares may be disposed of by the Company on such terms and conditions as determined by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these Articles, the Directors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to capitalize an amount standing to the credit of reserves (including a Share Premium Account, capital redemption reserve and profit and loss account), whether or not available for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the sum resolved to be capitalized to the Shareholders in proportion to the nominal amount of Shares (whether or not fully paid) held by them respectively and apply that sum on their behalf in or towards: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the amounts (if any) for the time being unpaid on Shares held by them respectively,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in full unissued Shares or debentures of a nominal amount equal to that sum,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102, only be applied in paying up unissued Shares to be allotted to Shareholders credited as fully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arrangements they think fit to resolve a difficulty arising in the distribution of a capitalized reserve and in particular, without limitation, where Shares or debentures become distributable in fractions the Directors may deal with the fractions as they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a Person to enter (on behalf of all the Shareholders concerned) into an agreement with the Company providing for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allotment to the Shareholders respectively, credited as fully paid, of Shares or debentures to which they may be entitled on the capitalization,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Company on behalf of the Shareholders (by the application of their respective proportions of the reserves resolved to be capitalized) of the amounts or part of the amounts remaining unpaid on their existing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any such agreement made under this authority being effective and binding on all those Shareholders;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do all acts and things required to give effect to any of the actions contemplated by this Article 102.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Premium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in accordance with the Companies Act establish a Share Premium Account and shall carry to the credit of such account from time to time a sum equal to the amount or value of the premium paid on the issue of any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Certificates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share certificate of the Company shall bear legends required under the applicable laws, including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Shares are held jointly by several persons, any request may be made by any one of the joint holders and if so made shall be binding on all of the joint 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Declaration of Dividends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several Persons are registered as joint holders of any Share, any of them may give effectual receipts for any dividend or other moneys payable on or in respect of the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Indemnification Of Directors, Officers, Employees and Other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law, every Director (including, for the purposes of this Article 116,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sz w:val="20"/>
              </w:rPr>
              <w:t>Indemnified Person</w:t>
            </w:r>
            <w:r>
              <w:rPr>
                <w:rFonts w:ascii="Times New Roman" w:hAnsi="Times New Roman"/>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Indemnified Person shall be 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acts, receipts, neglects, defaults or omissions of any other Director or Officer or agent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on account of defect of title to any property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account of the insufficiency of any security in or upon which any money of the Company shall be invested;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incurred through any bank, broker or other similar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occasioned by any negligence, default, breach of duty, breach of trust, error of judgement or oversight on such Indemnified Person’s part;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damage or misfortune whatsoever which may happen in or arise from the execution or discharge of the duties, powers, authorities, or discretions of such Indemnified Person’s office or in relation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same shall happen through such Indemnified Person’s own actual fraud, wilful default or wilful neglect as determined by a court of competent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these Articles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year of the Company shall end on 31 December of each year or such other date as the Directors may determine.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adopt and alter a Seal. The Seal may be used by causing it or a facsimile thereof to be impressed or affixed or reproduced or otherwise, as may be determined from time to time by the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present, either personally or by proxy, at any meeting of the Company shall for all purposes be deemed to have received due notice of such meeting and, where requisite, of the purposes for which such meeting was convened.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document, if served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 shall be deemed to have been served five clear days after the time when the letter containing the same is posted;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facsimile, shall be deemed to have been served upon production by the transmitting facsimile machine of a report confirming transmission of the facsimile in full to the facsimile number of the recipient;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courier service, shall be deemed to have been served 48 hours after the time when the letter containing the same is delivered to the courier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time of the transmission by electronic mail or approved electronic communication, and it shall not be necessary for the receipt of the e-mail to be acknowledged by the recipient;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it on the Company’s website; service of the notice shall be deemed to have been effected one hour after the notice or document was placed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service by post or courier service it shall be sufficient to prove that the letter containing the notice or documents was properly addressed and duly posted or delivered to the courier service.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of the Company shall be given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holding Shares with the right to receive notice and who have supplied to the Company an address for the giving of notices to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entitled to a Share in consequence of the death or bankruptcy of a Shareholder, who but for his or her death or bankruptcy would be entitled to receive notice of the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OF THE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rights attaching to the various Classes, including pursuant to any Certificate of Designation, the Company may at any time and from time to time by Special Resolution alter or amend these Articles in whole or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ACCOUNTS, AUDIT AND ANNUAL RETURN AND DECLARATION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relating to the Company’s affairs shall be kept in such manner as may be determined from time to time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shall be kept at the Office, or at such other place or places as the Directors think fit, and shall always be open to the inspection of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accounts relating to the Company’s affairs shall only be audited if the Directors so determine, in which case the financial year end and the accounting principles will be determined by the Directors. The financial year of the Company is set out in Article 121.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sz w:val="20"/>
              </w:rPr>
              <w:t>Audit Committee</w:t>
            </w:r>
            <w:r>
              <w:rPr>
                <w:rFonts w:ascii="Times New Roman" w:hAnsi="Times New Roman"/>
                <w:sz w:val="20"/>
              </w:rPr>
              <w:t xml:space="preserve">”) as a committee of the board of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in each year shall prepare, or cause to be prepared, an annual return and declaration setting forth the particulars required by the Companies Act and deliver a copy thereof to the Registrar of Companies in the Cayman Islands.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such manner and order as he or she thinks fit in satisfaction of creditors’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and any Certificate of Designation, if the Company shall be wound up, the liquidator may, with the sanction of an Ordinary Resolution divide amongst the holders of Ordinary Shares,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holders of Ordinary Shares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137, the Directors may cause an application to be made to the Registrar of Companies to deregister the Company in the Cayman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Islands or such other jurisdiction in which it is for the time being incorporated, registered or existing and may cause all such further steps as they consider appropriate to be taken to effect the transfer by way of continuation of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MERGERS AND CONSOLIDATION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merge or consolidate in accordance with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the Companies Act, the Company may by Special Resolution resolve to merge or consolidate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EXCLUSIVE JURISDICTION AND FORUM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any fiduciary or other duty owed by any current or former Director, Officer or other employee of the Company to the Company or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Companies Act, the Memorandum of Association or the Articles;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the Company concerning its internal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Article 143 below, each Shareholder irrevocably submits to the exclusive jurisdiction of the courts of the Cayman Islands over all such claims or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Articles 140, 141 and 142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3" w:name="tx111069_57"/>
      <w:bookmarkEnd w:id="223"/>
      <w:r>
        <w:rPr>
          <w:rFonts w:ascii="Times New Roman" w:hAnsi="Times New Roman"/>
          <w:b/>
          <w:sz w:val="20"/>
        </w:rPr>
        <w:t xml:space="preserve">Annex L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 262.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Provided, however</w:t>
      </w:r>
      <w:r>
        <w:rPr>
          <w:rFonts w:ascii="Times New Roman" w:hAnsi="Times New Roman"/>
          <w:sz w:val="20"/>
        </w:rPr>
        <w:t xml:space="preserve">,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conversion, transfer, domestication or continuance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 consents to receive notices given by the surviving, resulting or converted entity hereunder and to be set forth on the verified list required by subsection (f)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24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4" w:name="tx111069_58"/>
      <w:bookmarkEnd w:id="224"/>
      <w:r>
        <w:rPr>
          <w:rFonts w:ascii="Times New Roman" w:hAnsi="Times New Roman"/>
          <w:b/>
          <w:sz w:val="20"/>
        </w:rPr>
        <w:t xml:space="preserve">Annex M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of the Board of Directors for the Cayman Redomestication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Redomestication of the Company to the Cayman Islands by way of Continuation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as part of their ongoing oversight, direction and management of the business of Cyclerion Therapeutics, Inc., a Massachusetts corporation (the “</w:t>
      </w:r>
      <w:r>
        <w:rPr>
          <w:rFonts w:ascii="Times New Roman" w:hAnsi="Times New Roman"/>
          <w:b/>
          <w:i/>
          <w:sz w:val="20"/>
        </w:rPr>
        <w:t>Company</w:t>
      </w:r>
      <w:r>
        <w:rPr>
          <w:rFonts w:ascii="Times New Roman" w:hAnsi="Times New Roman"/>
          <w:sz w:val="20"/>
        </w:rPr>
        <w:t>”), the board of directors of the Company (the “</w:t>
      </w:r>
      <w:r>
        <w:rPr>
          <w:rFonts w:ascii="Times New Roman" w:hAnsi="Times New Roman"/>
          <w:b/>
          <w:i/>
          <w:sz w:val="20"/>
        </w:rPr>
        <w:t>Board</w:t>
      </w:r>
      <w:r>
        <w:rPr>
          <w:rFonts w:ascii="Times New Roman" w:hAnsi="Times New Roman"/>
          <w:sz w:val="20"/>
        </w:rPr>
        <w:t xml:space="preserve">”) and management have thoroughly discussed the issue of the Company’s jurisdiction of incorporation;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after considering other jurisdictions of incorporation, the Board decided to focus on Massachusetts and the Cayman Islands and evaluate the domestication of the Company from the Commonwealth of Massachusetts to the Cayman Islands by way of continuation of the Company from a corporation organized under the laws of the Commonwealth of Massachusetts to an exempted company incorporated under the laws of the Cayman Islands, pursuant to and in accordance with Section 9.20 of the Massachusetts Business Corporations Act, as amended (the “</w:t>
      </w:r>
      <w:r>
        <w:rPr>
          <w:rFonts w:ascii="Times New Roman" w:hAnsi="Times New Roman"/>
          <w:b/>
          <w:i/>
          <w:sz w:val="20"/>
        </w:rPr>
        <w:t>MBCA</w:t>
      </w:r>
      <w:r>
        <w:rPr>
          <w:rFonts w:ascii="Times New Roman" w:hAnsi="Times New Roman"/>
          <w:sz w:val="20"/>
        </w:rPr>
        <w:t>”), Part XII of the Companies Act, as amended, of the Cayman Islands (the “</w:t>
      </w:r>
      <w:r>
        <w:rPr>
          <w:rFonts w:ascii="Times New Roman" w:hAnsi="Times New Roman"/>
          <w:b/>
          <w:i/>
          <w:sz w:val="20"/>
        </w:rPr>
        <w:t>Companies Act</w:t>
      </w:r>
      <w:r>
        <w:rPr>
          <w:rFonts w:ascii="Times New Roman" w:hAnsi="Times New Roman"/>
          <w:sz w:val="20"/>
        </w:rPr>
        <w:t>”), and the proposed Plan of Domestication (the “</w:t>
      </w:r>
      <w:r>
        <w:rPr>
          <w:rFonts w:ascii="Times New Roman" w:hAnsi="Times New Roman"/>
          <w:b/>
          <w:i/>
          <w:sz w:val="20"/>
        </w:rPr>
        <w:t>Plan of Domestication</w:t>
      </w:r>
      <w:r>
        <w:rPr>
          <w:rFonts w:ascii="Times New Roman" w:hAnsi="Times New Roman"/>
          <w:sz w:val="20"/>
        </w:rPr>
        <w:t xml:space="preserve">”), substantially in the form attached hereto as </w:t>
      </w:r>
      <w:r>
        <w:rPr>
          <w:rFonts w:ascii="Times New Roman" w:hAnsi="Times New Roman"/>
          <w:sz w:val="20"/>
          <w:u w:val="single"/>
        </w:rPr>
        <w:t>Exhibit A</w:t>
      </w:r>
      <w:r>
        <w:rPr>
          <w:rFonts w:ascii="Times New Roman" w:hAnsi="Times New Roman"/>
          <w:sz w:val="20"/>
        </w:rPr>
        <w:t xml:space="preserve"> (such domestication and continuation, the “</w:t>
      </w:r>
      <w:r>
        <w:rPr>
          <w:rFonts w:ascii="Times New Roman" w:hAnsi="Times New Roman"/>
          <w:b/>
          <w:i/>
          <w:sz w:val="20"/>
        </w:rPr>
        <w:t>Cayman Redomestication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evaluated a number of factors in reaching a decision regarding the Company’s jurisdiction of incorporation, including possible negative impacts from a potential redomestication, meaningful differences in corporate law between Massachusetts and the Cayman Islands and implications to the Company’s shareholders for economic, governance and litigation rights, as well as the other factors and considerations reflected in the draft management proposal (the “</w:t>
      </w:r>
      <w:r>
        <w:rPr>
          <w:rFonts w:ascii="Times New Roman" w:hAnsi="Times New Roman"/>
          <w:b/>
          <w:i/>
          <w:sz w:val="20"/>
        </w:rPr>
        <w:t>Cayman</w:t>
      </w:r>
      <w:r>
        <w:rPr>
          <w:rFonts w:ascii="Times New Roman" w:hAnsi="Times New Roman"/>
          <w:sz w:val="20"/>
        </w:rPr>
        <w:t xml:space="preserve"> </w:t>
      </w:r>
      <w:r>
        <w:rPr>
          <w:rFonts w:ascii="Times New Roman" w:hAnsi="Times New Roman"/>
          <w:b/>
          <w:i/>
          <w:sz w:val="20"/>
        </w:rPr>
        <w:t>Redomestication Proposal</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and as included in the proxy statement/prospectus for the Annual Meeting in lieu of an annual meeting of the Company’s shareholders (including any adjournments or postponements thereof, the “</w:t>
      </w:r>
      <w:r>
        <w:rPr>
          <w:rFonts w:ascii="Times New Roman" w:hAnsi="Times New Roman"/>
          <w:b/>
          <w:i/>
          <w:sz w:val="20"/>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through the adoption of the Plan of Domestication, upon the Cayman Redomestication, the Company will cease to be governed by the laws of the Commonwealth of Massachusetts and its existing restated articles of organization, as amended by certificates of amendment, and amended and restated bylaws and will become an exempted company governed by the laws of the Cayman Islands (the “</w:t>
      </w:r>
      <w:r>
        <w:rPr>
          <w:rFonts w:ascii="Times New Roman" w:hAnsi="Times New Roman"/>
          <w:b/>
          <w:i/>
          <w:sz w:val="20"/>
        </w:rPr>
        <w:t>Converted Company</w:t>
      </w:r>
      <w:r>
        <w:rPr>
          <w:rFonts w:ascii="Times New Roman" w:hAnsi="Times New Roman"/>
          <w:sz w:val="20"/>
        </w:rPr>
        <w:t xml:space="preserve">”) as well as by the proposed Cayman Islands memorandum and articles of association, substantially in the forms attached hereto and incorporated herein by reference as </w:t>
      </w:r>
      <w:r>
        <w:rPr>
          <w:rFonts w:ascii="Times New Roman" w:hAnsi="Times New Roman"/>
          <w:sz w:val="20"/>
          <w:u w:val="single"/>
        </w:rPr>
        <w:t xml:space="preserve">Exhibit C </w:t>
      </w:r>
      <w:r>
        <w:rPr>
          <w:rFonts w:ascii="Times New Roman" w:hAnsi="Times New Roman"/>
          <w:sz w:val="20"/>
        </w:rPr>
        <w:t>(the “</w:t>
      </w:r>
      <w:r>
        <w:rPr>
          <w:rFonts w:ascii="Times New Roman" w:hAnsi="Times New Roman"/>
          <w:b/>
          <w:i/>
          <w:sz w:val="20"/>
        </w:rPr>
        <w:t>Cayman Articles</w:t>
      </w:r>
      <w:r>
        <w:rPr>
          <w:rFonts w:ascii="Times New Roman" w:hAnsi="Times New Roman"/>
          <w:sz w:val="20"/>
        </w:rPr>
        <w:t xml:space="preserve">”), and the proposed Cayman Islands certificates of designation of Series A Non-Voting Convertible Preferred Shares and Series B Non-Voting Convertible Preferred Shares, substantially in the forms attached hereto and incorporated herein by reference as </w:t>
      </w:r>
      <w:r>
        <w:rPr>
          <w:rFonts w:ascii="Times New Roman" w:hAnsi="Times New Roman"/>
          <w:sz w:val="20"/>
          <w:u w:val="single"/>
        </w:rPr>
        <w:t>Exhibit D-1</w:t>
      </w:r>
      <w:r>
        <w:rPr>
          <w:rFonts w:ascii="Times New Roman" w:hAnsi="Times New Roman"/>
          <w:sz w:val="20"/>
        </w:rPr>
        <w:t xml:space="preserve"> and </w:t>
      </w:r>
      <w:r>
        <w:rPr>
          <w:rFonts w:ascii="Times New Roman" w:hAnsi="Times New Roman"/>
          <w:sz w:val="20"/>
          <w:u w:val="single"/>
        </w:rPr>
        <w:t>Exhibit D-2</w:t>
      </w:r>
      <w:r>
        <w:rPr>
          <w:rFonts w:ascii="Times New Roman" w:hAnsi="Times New Roman"/>
          <w:sz w:val="20"/>
        </w:rPr>
        <w:t>, respectively (collectively, the “</w:t>
      </w:r>
      <w:r>
        <w:rPr>
          <w:rFonts w:ascii="Times New Roman" w:hAnsi="Times New Roman"/>
          <w:b/>
          <w:i/>
          <w:sz w:val="20"/>
        </w:rPr>
        <w:t>Cayman Certificates of Designation</w:t>
      </w:r>
      <w:r>
        <w:rPr>
          <w:rFonts w:ascii="Times New Roman" w:hAnsi="Times New Roman"/>
          <w:sz w:val="20"/>
        </w:rPr>
        <w:t>” and, together with the Cayman Articles, the “</w:t>
      </w:r>
      <w:r>
        <w:rPr>
          <w:rFonts w:ascii="Times New Roman" w:hAnsi="Times New Roman"/>
          <w:b/>
          <w:i/>
          <w:sz w:val="20"/>
        </w:rPr>
        <w:t>Cayman 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upon receipt of shareholder approval of the Cayman Redomestication Proposal and the Cayman Redomestication (including the Plan of Domestication, the Redomestication Documents (as hereinafter defined) and Cayman Governing Documents) and these resolutions approving the Cayman Redomestication at the Annual Meeting, the Cayman Redomestication will become effective on the date and/or time (the “</w:t>
      </w:r>
      <w:r>
        <w:rPr>
          <w:rFonts w:ascii="Times New Roman" w:hAnsi="Times New Roman"/>
          <w:b/>
          <w:i/>
          <w:sz w:val="20"/>
        </w:rPr>
        <w:t>Effective Date</w:t>
      </w:r>
      <w:r>
        <w:rPr>
          <w:rFonts w:ascii="Times New Roman" w:hAnsi="Times New Roman"/>
          <w:sz w:val="20"/>
        </w:rPr>
        <w:t>”) (i) of the registration of the Converted Company by the Cayman Islands Registrar of Companies (the “</w:t>
      </w:r>
      <w:r>
        <w:rPr>
          <w:rFonts w:ascii="Times New Roman" w:hAnsi="Times New Roman"/>
          <w:b/>
          <w:i/>
          <w:sz w:val="20"/>
        </w:rPr>
        <w:t>Certificate of Continuation</w:t>
      </w:r>
      <w:r>
        <w:rPr>
          <w:rFonts w:ascii="Times New Roman" w:hAnsi="Times New Roman"/>
          <w:sz w:val="20"/>
        </w:rPr>
        <w:t>”) and (ii) specified in articles of charter surrender meeting the requirements of Section 9.23 of the MBCA (the “</w:t>
      </w:r>
      <w:r>
        <w:rPr>
          <w:rFonts w:ascii="Times New Roman" w:hAnsi="Times New Roman"/>
          <w:b/>
          <w:i/>
          <w:sz w:val="20"/>
        </w:rPr>
        <w:t>Articles of Charter Surrender</w:t>
      </w:r>
      <w:r>
        <w:rPr>
          <w:rFonts w:ascii="Times New Roman" w:hAnsi="Times New Roman"/>
          <w:sz w:val="20"/>
        </w:rPr>
        <w:t xml:space="preserve">”) to be properly executed and filed in accordance with such section;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the Effective Date, (i) each share of common stock, no par value per share (“</w:t>
      </w:r>
      <w:r>
        <w:rPr>
          <w:rFonts w:ascii="Times New Roman" w:hAnsi="Times New Roman"/>
          <w:b/>
          <w:i/>
          <w:sz w:val="20"/>
        </w:rPr>
        <w:t>Common Stock</w:t>
      </w:r>
      <w:r>
        <w:rPr>
          <w:rFonts w:ascii="Times New Roman" w:hAnsi="Times New Roman"/>
          <w:sz w:val="20"/>
        </w:rPr>
        <w:t xml:space="preserve">”), of the Company issued and outstanding or held in treasury immediately prior to the Effective Date will be automatically converted into one outstanding ordinary share of the Converted Company with a nominal or par value of $0.0001 per ordinary share; (ii) each share of any series of the preferred stock, no par value per share, of the Company issued and outstanding immediately prior to the Effective Date will be automatically converted into one outstanding share, with a nominal or par value of $0.0001 per ordinary share, of the corresponding series of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shares of the Converted Company; and (iii) each option or right to acquire shares of Common Stock of the Company issued and outstanding will continue in existence in the form of and will automatically become an option or right to acquire an equal number of ordinary shares, each with a nominal or par value of $0.0001 per ordinary share of the Converted Company under the same terms and conditions;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it is in the best interests of the Company and its shareholders for the Company to domesticate to the Cayman Islands by way of continuation.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hereby unanimously determines that the Cayman Redomestication, the Plan of Domestication, the Redomestication Documents and the Cayman Governing Documents are in the best interests of the Company and its shareholders and approves and adopts the Cayman Redomestication, the Plan of Domestication, the Redomestication Documents and the Cayman Governing Documents;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Plan of Domestication (including each attachment thereto) is incorporated herein by reference and that the form, terms, provisions and conditions of the Plan of Domestication be, and the same hereby are, in all respects approved and adopted;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board of directors of the Converted Company shall consist of the same directors as the Board immediately prior to the Effective Date,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initial term of office of the Class I directors shall expire at the Converted Company’s 2027 annual meeting of shareholders, the initial term of office of the Class II directors shall expire at the Converted Company’s 2028 annual meeting of shareholders, the initial term of office of the Class III directors shall expire at the Converted Company’s 2029 annual meeting of shareholders, and at each annual meeting of shareholders following the Effective Date, directors elected to succeed those directors of the class whose terms then expire shall be elected for a term of office to expire at the third succeeding annual meeting of shareholders after their election;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Chair of the Board as of the Effective Date shall continue to serve as the Chair of the board of directors of the Converted Company until a successor has been duly elected or appointed and qualified or until his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effective as of the Effective Date, each committee of the Board as of immediately prior to the Effective Date shall be, from and after the Effective Date, constituted as a committee of the board of directors of the Converted Company on the same terms and with the same powers and authority of the Board as of immediately prior to the Effective Date, and the members of each committee of the Board as of immediately prior to the Effective Date shall be, from and after the Effective Date, the members of each such committee of the board of directors of the Converted Company,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directs that the Cayman Redomestication (including the Plan of Domestication and Cayman Governing Documents) and these resolutions approving the Cayman Redomestication be submitted for approval and adoption, respectively, by the shareholders of the Company at the Annual Meeting;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unanimously recommends a vote “FOR” the Cayman Redomestication Proposal, including, without limitation, the Cayman Redomestication (including the Plan of Domestication and the Cayman Governing Documents), and that the Company’s shareholders approve the Cayman Redomestication (including the Plan of Domestication and the Cayman Governing Documents) and adopt these resolutions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that upon receipt of shareholder approval of the Cayman Redomestication Proposal at the Annual Meeting, including, without limitation, the approval of the Cayman Redomestication (including the Plan of Domestication and the Cayman Governing Documents) and the adoption of these resolutions, at the Annual Meeting, each of the duly authorized officers of the Company (together, the “</w:t>
      </w:r>
      <w:r>
        <w:rPr>
          <w:rFonts w:ascii="Times New Roman" w:hAnsi="Times New Roman"/>
          <w:b/>
          <w:i/>
          <w:sz w:val="20"/>
        </w:rPr>
        <w:t>Authorized Officers</w:t>
      </w:r>
      <w:r>
        <w:rPr>
          <w:rFonts w:ascii="Times New Roman" w:hAnsi="Times New Roman"/>
          <w:sz w:val="20"/>
        </w:rPr>
        <w:t>” and each, an “</w:t>
      </w:r>
      <w:r>
        <w:rPr>
          <w:rFonts w:ascii="Times New Roman" w:hAnsi="Times New Roman"/>
          <w:b/>
          <w:i/>
          <w:sz w:val="20"/>
        </w:rPr>
        <w:t>Authorized Officer</w:t>
      </w:r>
      <w:r>
        <w:rPr>
          <w:rFonts w:ascii="Times New Roman" w:hAnsi="Times New Roman"/>
          <w:sz w:val="20"/>
        </w:rPr>
        <w:t>”)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Domestication and Redomestication Documents and to consummate the Cayman Redomestication, including, without limitation, (a) the execution and filing of any and all documents relating to and in connection with the Cayman Redomestication required under the MBCA and the Companies Act, including, without limitation, any affidavit, undertaking, declaration, notice or otherwise (the “</w:t>
      </w:r>
      <w:r>
        <w:rPr>
          <w:rFonts w:ascii="Times New Roman" w:hAnsi="Times New Roman"/>
          <w:b/>
          <w:i/>
          <w:sz w:val="20"/>
        </w:rPr>
        <w:t>Redomestication</w:t>
      </w:r>
      <w:r>
        <w:rPr>
          <w:rFonts w:ascii="Times New Roman" w:hAnsi="Times New Roman"/>
          <w:sz w:val="20"/>
        </w:rPr>
        <w:t xml:space="preserve"> </w:t>
      </w:r>
      <w:r>
        <w:rPr>
          <w:rFonts w:ascii="Times New Roman" w:hAnsi="Times New Roman"/>
          <w:b/>
          <w:i/>
          <w:sz w:val="20"/>
        </w:rPr>
        <w:t>Documents</w:t>
      </w:r>
      <w:r>
        <w:rPr>
          <w:rFonts w:ascii="Times New Roman" w:hAnsi="Times New Roman"/>
          <w:sz w:val="20"/>
        </w:rPr>
        <w:t xml:space="preserve">”), (b) the execution and filing of the Plan of Domestication and the Cayman Articles; (c) the filing of the annual reports required by the Secretary of the Commonwealth of Massachusetts; (d) the payment of any fees that may be necessary in connection with the Cayman Redomestication; (e) the submission of all required notifications to the Nasdaq Stock Market LLC or any other applicable stock exchange; and (f) the filing of Current Reports on Form 8-K and any other regulatory filings that may be necessary, desirable or appropriate in connection with the Cayman Redomestication;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approval by the shareholders of the Company at the Annual Meeting of the Cayman Redomestication (including the Plan of Domestication and the Cayman Governing Documents) and the adoption of these resolutions, the Board may, at any time prior to the Effective Date, abandon the Cayman Redomestication and the Plan of Domestication without further action by the shareholders of the Company;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pursuant to the Plan of Domestication, at the Effective Date, any outstanding stock certificates that immediately prior to the Effective Date represented issued and outstanding shares of Common Stock of the Company shall be deemed, subject to the below, for all purposes to evidence ownership of and to represent the respective ordinary shares of the Converted Company into which the shares represented by such certificates are converted pursuant to the Plan of Domestication, and that, at the Effective Date, the transfer agent be and is hereby authorized to make any updates to the register of members of the Company that may be required in connection with the Cayman Redomestication; and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the foregoing resolutions, any ordinary shares of the Converted Company may be issued as uncertificated shares,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5" w:name="tx111069_59"/>
      <w:bookmarkEnd w:id="225"/>
      <w:r>
        <w:rPr>
          <w:rFonts w:ascii="Times New Roman" w:hAnsi="Times New Roman"/>
          <w:b/>
          <w:sz w:val="20"/>
        </w:rPr>
        <w:t xml:space="preserve">Annex N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CONVERTIBLE PREFERRED SHARES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A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A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TERMS OF SERIES A CONVERTIBLE PREFERRED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Designation, Amount and Par Value of Series A Preferred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Shares shall be designated as “Series A Convertible Preferred Shares” (the “</w:t>
      </w:r>
      <w:r>
        <w:rPr>
          <w:rFonts w:ascii="Times New Roman" w:hAnsi="Times New Roman"/>
          <w:b/>
          <w:sz w:val="20"/>
        </w:rPr>
        <w:t>Series A Preferred Shares</w:t>
      </w:r>
      <w:r>
        <w:rPr>
          <w:rFonts w:ascii="Times New Roman" w:hAnsi="Times New Roman"/>
          <w:sz w:val="20"/>
        </w:rPr>
        <w:t xml:space="preserve">”) and the number of shares constituting the Series A Preferred Shares shall be 500,000. Each Series A Preferred Share shall have a par value of $0.0001 per share. Such number of shares may be increased or decreased by resolution of the Board of Directors; provided, that no decrease shall reduce the number of Series A Preferred Shares to a number less than the number of shares then issued and outstanding plus the number of shares reserved for issuance upon the exercise of outstanding options, rights or warrants or upon the conversion of any outstanding securities issued by the Company convertible into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From and after the date of the issuance of any Series A Preferred Shares (the “</w:t>
      </w:r>
      <w:r>
        <w:rPr>
          <w:rFonts w:ascii="Times New Roman" w:hAnsi="Times New Roman"/>
          <w:b/>
          <w:sz w:val="20"/>
        </w:rPr>
        <w:t>Series A Original Issue Date</w:t>
      </w:r>
      <w:r>
        <w:rPr>
          <w:rFonts w:ascii="Times New Roman" w:hAnsi="Times New Roman"/>
          <w:sz w:val="20"/>
        </w:rPr>
        <w:t xml:space="preserve">”), the holders of Series A Preferred Shares shall be entitled to receive, and the Company shall pay, dividends or distributions on Series A Preferred Shares (on an as-if-converted-to-Ordinary Shares basis, whether or not there is then a sufficient number of authorized but unissued Ordinary Shares to effect such conversion) in the same amount and form as dividends or distributions actually paid on Ordinary Shares when, as and if such dividends or distributions are paid on Ordinary Shares. No other dividends or distributions shall be paid on Series A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A Preferred Shares and Ordinary Shares</w:t>
      </w:r>
      <w:r>
        <w:rPr>
          <w:rFonts w:ascii="Times New Roman" w:hAnsi="Times New Roman"/>
          <w:sz w:val="20"/>
        </w:rPr>
        <w:t xml:space="preserve">. In the event of any voluntary or involuntary liquidation, dissolution or winding up of the Company, the holders of the Series A Preferred Shares then issued and outstanding shall be entitled to a payment of $0.01 per share, subject to adjustment as provided below, before any payment is made to the holders of Ordinary Shares, and thereafter the holders of the Series A Preferred Shares then issued and outstanding shall be entitled to be paid out of the remaining assets of the Company available for distribution (on an as-converted-into-Ordinary Shares basis) on a pari passu basis with the holders of Ordinary Shares then issued and outstanding. The Series A Preferred Shares will rank junior to the holders of shares of any other class or series of preferred shares designated to be senior to the Ordinary Shares or the Series A Preferred Shares in the event of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holders of Series A Preferred Shares shall not be entitled to vote on any matter presented to the shareholders of the Company for their action or consideration at any meeting of shareholders of the Company (or by written consent of shareholders in lieu of meeting),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Series A Preferred Shares shall have conversion rights as follows (the “</w:t>
      </w:r>
      <w:r>
        <w:rPr>
          <w:rFonts w:ascii="Times New Roman" w:hAnsi="Times New Roman"/>
          <w:b/>
          <w:sz w:val="20"/>
        </w:rPr>
        <w:t>Series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Ratio</w:t>
      </w:r>
      <w:r>
        <w:rPr>
          <w:rFonts w:ascii="Times New Roman" w:hAnsi="Times New Roman"/>
          <w:sz w:val="20"/>
        </w:rPr>
        <w:t>. Each Series A Preferred Share shall be convertible, at the option of the holder thereof and without the payment of additional consideration by the holder thereof, into one fully paid and non-assessable Ordinary Share (the “</w:t>
      </w:r>
      <w:r>
        <w:rPr>
          <w:rFonts w:ascii="Times New Roman" w:hAnsi="Times New Roman"/>
          <w:b/>
          <w:sz w:val="20"/>
        </w:rPr>
        <w:t>Series A Conversion Ratio</w:t>
      </w:r>
      <w:r>
        <w:rPr>
          <w:rFonts w:ascii="Times New Roman" w:hAnsi="Times New Roman"/>
          <w:sz w:val="20"/>
        </w:rPr>
        <w:t xml:space="preserve">”). Such initial Series A Conversion Ratio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Series A Conversion Rights</w:t>
      </w:r>
      <w:r>
        <w:rPr>
          <w:rFonts w:ascii="Times New Roman" w:hAnsi="Times New Roman"/>
          <w:sz w:val="20"/>
        </w:rPr>
        <w:t xml:space="preserve">. In the event of a liquidation, dissolution or winding up of the Company, the Series A Conversion Rights shall terminate at the close of business on the last full day preceding the date fixed for the payment of any such amounts distributable on such event to the holders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Fractional Shares</w:t>
      </w:r>
      <w:r>
        <w:rPr>
          <w:rFonts w:ascii="Times New Roman" w:hAnsi="Times New Roman"/>
          <w:sz w:val="20"/>
        </w:rPr>
        <w:t xml:space="preserve">. No fractional Ordinary Share shall be issued upon conversion of the Series A Preferred Shares. In lieu of any fractional shares to which the holder would otherwise be entitled, the Company shall pay cash equal to such fraction multiplied by the fair market value of a share of Ordinary Shares as determined in good faith by the Board of Directors of the Company.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Notice of Conversion</w:t>
      </w:r>
      <w:r>
        <w:rPr>
          <w:rFonts w:ascii="Times New Roman" w:hAnsi="Times New Roman"/>
          <w:sz w:val="20"/>
        </w:rPr>
        <w:t xml:space="preserve">. In order for a holder of Series A Preferred Shares to voluntarily convert sham of Series A Preferred Shares into Ordinary Shares, such holder shall, at the office of the transfer agent for the Series A Preferred Shares (or at the principal office of the Company if the Company serves as its own transfer agent with respect to the Series A Preferred Shares), deliver written notice that such holder elects to convert all or any number of Series A Preferred Shares owned by such holder and, if applicable, any event on which such conversion is contingent. Such notice shall state such holder’s name or the names of the nominees in which such holder wishes Ordinary Shares to be issued. The close of business on the date of receipt by the transfer agent (or by the Company if the Company serves as its own transfer agent with respect to the Series A Preferred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notice shall be the time of conversion (the “</w:t>
      </w:r>
      <w:r>
        <w:rPr>
          <w:rFonts w:ascii="Times New Roman" w:hAnsi="Times New Roman"/>
          <w:b/>
          <w:sz w:val="20"/>
        </w:rPr>
        <w:t>Series A Conversion Time</w:t>
      </w:r>
      <w:r>
        <w:rPr>
          <w:rFonts w:ascii="Times New Roman" w:hAnsi="Times New Roman"/>
          <w:sz w:val="20"/>
        </w:rPr>
        <w:t xml:space="preserve">”), and the Ordinary Shares issuable upon such conversion shall be deemed to be issued and outstanding of record as of such date. The Company shall, as soon as practicable after the Series A Conversion Time (but not more than two days thereafter), (i) issue and deliver to such holder of Series A Preferred Shares, or to his, her or its nominees, book entry for the number of full Ordinary Shares issuable upon such conversion in accordance with the provisions hereof, (ii) pay in cash such amount as provided in </w:t>
      </w:r>
      <w:r>
        <w:rPr>
          <w:rFonts w:ascii="Times New Roman" w:hAnsi="Times New Roman"/>
          <w:sz w:val="20"/>
          <w:u w:val="single"/>
        </w:rPr>
        <w:t>Section 4(b)</w:t>
      </w:r>
      <w:r>
        <w:rPr>
          <w:rFonts w:ascii="Times New Roman" w:hAnsi="Times New Roman"/>
          <w:sz w:val="20"/>
        </w:rPr>
        <w:t xml:space="preserve"> in lieu of any fraction of a share of Ordinary Shares otherwise issuable upon such conversion and (iii) pay all declared but unpaid dividends on the Series A Preferred Shares converted.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Reservation of Shares</w:t>
      </w:r>
      <w:r>
        <w:rPr>
          <w:rFonts w:ascii="Times New Roman" w:hAnsi="Times New Roman"/>
          <w:sz w:val="20"/>
        </w:rPr>
        <w:t xml:space="preserve">. The Company shall at all times when the Series A Preferred Shares shall be issued and outstanding, reserve and keep available out of its authorized but unissued share capital, for the purpose of effecting the conversion of the Series A Preferred Shares, such number of its duly authorized Ordinary Shares as shall from time to time be sufficient to effect the conversion of all the issued and outstanding Series A Preferred Shares; and if at any time the number of authorized but unissued Common Shares shall not be sufficient to effect the conversion of all the then issued and outstanding Series A Preferred Shares, the Company shall take such corporate action as may be necessary to increase its authorized but unissued Ordinary Shares to such number of shares as shall be sufficient for such purposes, including, without limitation, engaging in best efforts to obtain the requisite shareholder approval of any necessary amendment to the Articles.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Effect of Conversion</w:t>
      </w:r>
      <w:r>
        <w:rPr>
          <w:rFonts w:ascii="Times New Roman" w:hAnsi="Times New Roman"/>
          <w:sz w:val="20"/>
        </w:rPr>
        <w:t xml:space="preserve">. All Series A Preferred Shares which shall have been surrendered for conversion as herein provided shall no longer be deemed to be issued and outstanding and all rights with respect to such shares shall immediately cease and terminate at the Series A Conversion Time, except only the right of the holders thereof to receive Ordinary Shares in exchange therefor, to receive payment in lieu of any fraction of a share otherwise issuable upon such conversion as provided in </w:t>
      </w:r>
      <w:r>
        <w:rPr>
          <w:rFonts w:ascii="Times New Roman" w:hAnsi="Times New Roman"/>
          <w:sz w:val="20"/>
          <w:u w:val="single"/>
        </w:rPr>
        <w:t>Section 4(b)</w:t>
      </w:r>
      <w:r>
        <w:rPr>
          <w:rFonts w:ascii="Times New Roman" w:hAnsi="Times New Roman"/>
          <w:sz w:val="20"/>
        </w:rPr>
        <w:t xml:space="preserve"> and to receive payment of any dividends declared but unpaid on the Series A Preferred Shares so converted. Any Series A Preferred Shares so converted shall be retired and cancelled and may not be reissued as shares of such series, and the Company may thereafter take such appropriate action (without the need for shareholder action) as may be necessary to reduce the authorized number of Series A Preferred Shares accordingly.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Taxes</w:t>
      </w:r>
      <w:r>
        <w:rPr>
          <w:rFonts w:ascii="Times New Roman" w:hAnsi="Times New Roman"/>
          <w:sz w:val="20"/>
        </w:rPr>
        <w:t xml:space="preserve">. The Company shall pay any and all issue and other similar taxes that may be payable in respect of any issuance or delivery of Ordinary Shares upon conversion of Series A Preferred Shares pursuant to this </w:t>
      </w:r>
      <w:r>
        <w:rPr>
          <w:rFonts w:ascii="Times New Roman" w:hAnsi="Times New Roman"/>
          <w:sz w:val="20"/>
          <w:u w:val="single"/>
        </w:rPr>
        <w:t>Section 4</w:t>
      </w:r>
      <w:r>
        <w:rPr>
          <w:rFonts w:ascii="Times New Roman" w:hAnsi="Times New Roman"/>
          <w:sz w:val="20"/>
        </w:rPr>
        <w:t xml:space="preserve">. The Company shall not, however, be required to pay any tax which may be payable in respect of any transfer involved in the issuance and delivery of Ordinary Shares in a name other than that in which the Series A Preferred Shares so convened were registered, and no such issuance or delivery shall be made unless and until the person or entity requesting such issuance has paid to the Company the amount of any such tax or has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Adjustment for Share Splits and Combinations. </w:t>
      </w:r>
      <w:r>
        <w:rPr>
          <w:rFonts w:ascii="Times New Roman" w:hAnsi="Times New Roman"/>
          <w:sz w:val="20"/>
        </w:rPr>
        <w:t xml:space="preserve">If the Company shall at any time or from time to time after the Series A Original Issue Date effect a subdivision of the issued and outstanding Ordinary Shares, the Series A Conversion Ratio in effect immediately before that subdivision shall be proportionately adjusted so that the number of Ordinary Shares issuable on conversion of each share of such series shall be increased in proportion to such increase in the aggregate number of Ordinary Shares issued and outstanding. If the Company shall at any time or from time to time after the Series A Original Issue Date combine the issued and outstanding Ordinary Shares, the Series A Conversion Ratio in effect immediately before the combination shall be proportionately adjusted so that the number of Ordinary Shares issuable on conversion of each share of such series shall be decreased in proportion to such decrease in the aggregate number of Ordinary Shares issued and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Certain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on the Ordinary Shares in additional Ordinary Shares, then and in each such event the Series A Conversion Ratio in effect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such event shall be adjusted as of the time of such issuance or, in the event such a record date shall have been fixed, as of the close of business on such record date, by multiplying the number of Ordinary Shares into which the Series A Preferred Shares may be converted, as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Ordinary Shares issued and outstanding immediately prior to the time of such issuance or the close of business on such record date plus the number of Ordinary Shares issuable in payment of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Ordinary Shares issued and outstanding immediately prior to the time of such issuance or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Series A Conversion Ratio shall be recomputed accordingly as of the close of business on such record date and thereafter the Series A Conversion Ratio shall be adjusted pursuant to this subsection as of the time of actual payment of such dividends or distributions; and (b) that no such adjustment shall be made if the holders of Series A Preferred Shares simultaneously receive a dividend or other distribution of Ordinary Shares in a number equal to the number of Ordinary Shares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for Other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in securities of the Company (other than a distribution of Ordinary Shares in respect of issued and outstanding Ordinary Shares)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Series A Preferred Shares shall receive, simultaneously with the distribution to the holders of Ordinary Shares, a dividend or other distribution of such securities or other property in an amount equal to the amount of such securities or other property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 for Merger or Reorganization, etc</w:t>
      </w:r>
      <w:r>
        <w:rPr>
          <w:rFonts w:ascii="Times New Roman" w:hAnsi="Times New Roman"/>
          <w:sz w:val="20"/>
        </w:rPr>
        <w:t xml:space="preserve">. If there shall occur any reorganization, recapitalization, reclassification, consolidation or merger involving the Company in which the Ordinary Shares (but not the Series A Preferred Shares) is converted into or exchanged for securities, cash or other property, then, following any such reorganization, recapitalization, reclassification, consolidation or merger, each share of Series A Preferred Shares shall thereafter be convertible in lieu of the Ordinary Shares into which it was convertible prior to such event into the kind and amount of securities, cash or other property which a holder of the number of Ordinary Shares of the Company issuable upon conversion of one share of Series A Preferred Shares immediately prior to such reorganization, recapitalization, reclassification, consolidation or merger would have been entitled to receive pursuant to such transaction; and, in such case, appropriate adjustment (as determined in good faith by the Board of Directors of the Company)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Series A Preferred Shares,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Series A Conversion Ratio) shall thereafter be applicable, as nearly as reasonably may be, in relation to any securities or other property thereafter deliverable upon the conversion of the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Series A Conversion Ratio pursuant to this </w:t>
      </w:r>
      <w:r>
        <w:rPr>
          <w:rFonts w:ascii="Times New Roman" w:hAnsi="Times New Roman"/>
          <w:sz w:val="20"/>
          <w:u w:val="single"/>
        </w:rPr>
        <w:t>Section 4</w:t>
      </w:r>
      <w:r>
        <w:rPr>
          <w:rFonts w:ascii="Times New Roman" w:hAnsi="Times New Roman"/>
          <w:sz w:val="20"/>
        </w:rPr>
        <w:t xml:space="preserve">, the Company at its expense shall, as promptly as reasonably practicable but in any event not later than ten (10) days thereafter, compute such adjustment or readjustment in accordance with the terms hereof and furnish to each holder of Series A Preferred Shares a certificate setting forth such adjustment or readjustment (including the kind and amount of securities, cash or other property into which the Series A Preferred Shares is convertible) and showing in detail the facts upon which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readjustment is based. The Company shall, as promptly as reasonably practicable after the written request at any time of any holder of Series A Preferred Shares (but in any event not later than ten (10) days thereafter), furnish or cause to be furnished to such holder a certificate setting forth (i) the Series A Conversion Ratio then in effect, and (ii) the number of Ordinary Shares and the amount, if any, of other securities, cash or property which then would be received upon the conversion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take a record of the holders of its Ordinary Shares (or other shares or securities at the time issuable upon conversion of the Series A Preferred Shares) for the purpose of entitling or enabling them to receive any dividend or other distribution, or to receive any right to subscribe for or purchase any shares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(2) of any capital reorganization of the Company, any reclassification of the Ordinary Shares of the Company, or any recapitalization, consolidation or merger involving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(3) of the voluntary or involuntary dissolution, liquidation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will send or cause to be sent to the holders of the Series A Preferred Shares a notice specifying, as the case may be, (i) the record date for such dividend, distribution or right, and the amount and manner of payment of such dividend, distribution or right, or (ii) the effective date on which such reorganization, reclassification, consolidation, merger, transfer, dissolution, liquidation or winding-up is proposed to take place, and the time, if any is to be fixed, as of which the holders of record of Ordinary Shares (or such other shares or securities at the time issuable upon the conversion of the Series A Preferred Shares) shall be entitled to exchange their Ordinary Shares (or such other shares or securities) for securities or other property deliverable upon such reorganization, reclassification, consolidation, merger, transfer, dissolution, liquidation or winding-up, and the amount per share and character of such exchange applicable to the Series A Preferred Shares and the Ordinary Shares.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Acquired Shares</w:t>
      </w:r>
      <w:r>
        <w:rPr>
          <w:rFonts w:ascii="Times New Roman" w:hAnsi="Times New Roman"/>
          <w:sz w:val="20"/>
        </w:rPr>
        <w:t xml:space="preserve">. Any Series A Preferred Shares that are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Shares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w:t>
      </w:r>
      <w:r>
        <w:rPr>
          <w:rFonts w:ascii="Times New Roman" w:hAnsi="Times New Roman"/>
          <w:sz w:val="20"/>
        </w:rPr>
        <w:t xml:space="preserve">. Any of the rights, powers, preferences and other terms of the Series A Preferred Shares set forth herein may be waived on behalf of all holders of Series A Preferred Shares by the affirmative written consent or vote of the holders of at least a majority of the Series A Preferred Shares then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Notices.</w:t>
      </w:r>
      <w:r>
        <w:rPr>
          <w:rFonts w:ascii="Times New Roman" w:hAnsi="Times New Roman"/>
          <w:sz w:val="20"/>
        </w:rPr>
        <w:t xml:space="preserve"> Any notice required or permitted by the provisions of hereof to be given to a holder of Series A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 xml:space="preserve">Korsana Biosciences, Inc. </w:t>
      </w:r>
      <w:r>
        <w:rPr>
          <w:rFonts w:ascii="Times New Roman" w:hAnsi="Times New Roman"/>
          <w:sz w:val="20"/>
        </w:rPr>
        <w:t xml:space="preserve">has caused this Certificate of Designation of Preferences, Rights and Limitations of Series A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6" w:name="tx111069_60"/>
      <w:bookmarkEnd w:id="226"/>
      <w:r>
        <w:rPr>
          <w:rFonts w:ascii="Times New Roman" w:hAnsi="Times New Roman"/>
          <w:b/>
          <w:sz w:val="20"/>
        </w:rPr>
        <w:t xml:space="preserve">Annex O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B CONVERTIBLE PREFERRED SHARE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B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sz w:val="20"/>
        </w:rPr>
        <w:t>WHEREAS: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B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Ordinary Shares issuable upon conversion of the Series B Non-Voting Preferred Shares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Series B Non-Voting Preferred Shares. </w:t>
      </w:r>
    </w:p>
    <w:p>
      <w:pPr>
        <w:pStyle w:val="TextBody"/>
        <w:bidi w:val="0"/>
        <w:spacing w:before="240" w:after="0"/>
        <w:jc w:val="left"/>
        <w:rPr/>
      </w:pPr>
      <w:r>
        <w:rPr/>
        <w:t>“</w:t>
      </w:r>
      <w:r>
        <w:rPr>
          <w:rFonts w:ascii="Times New Roman" w:hAnsi="Times New Roman"/>
          <w:b/>
          <w:i/>
          <w:sz w:val="20"/>
        </w:rPr>
        <w:t>Ordinary Shares</w:t>
      </w:r>
      <w:r>
        <w:rPr>
          <w:rFonts w:ascii="Times New Roman" w:hAnsi="Times New Roman"/>
          <w:sz w:val="20"/>
        </w:rPr>
        <w:t xml:space="preserve">” means the Company’s ordinary shares of $0.0001 par value, and any other class of shares into which such securities may hereafter be reclassified or changed.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Shares shall be designated as the Company’s Series B Non-Voting Convertible Preferred Shares (the “</w:t>
      </w:r>
      <w:r>
        <w:rPr>
          <w:rFonts w:ascii="Times New Roman" w:hAnsi="Times New Roman"/>
          <w:b/>
          <w:i/>
          <w:sz w:val="20"/>
        </w:rPr>
        <w:t>Series B Non-Voting Preferred Shares</w:t>
      </w:r>
      <w:r>
        <w:rPr>
          <w:rFonts w:ascii="Times New Roman" w:hAnsi="Times New Roman"/>
          <w:sz w:val="20"/>
        </w:rPr>
        <w:t xml:space="preserve">”) and the number of shares so designated shall be [  ]. Each Series B Non-Voting Preferred Share shall have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Company shall pay, dividends on the Series B Non-Voting Preferred Shares (on an as-if-converted-to-Ordinary-Share basis, without regard to the Beneficial Ownership Limitation (as defined below)) equal to and in the same form, and in the same manner, as dividends (other than dividends on Ordinary Shares payable in the form of Ordinary Shares) actually paid on Ordinary Shares when, as and if such dividends (other than dividends payable in the form of Ordinary Shares) are paid on Ordinary Shares. Other than as set forth in the previous sentence, no other dividends shall be paid on Series B Non-Voting Preferred Shares and the Company shall pay no dividends (other than dividends payable in the form of Ordinary Shares) on Ordinary Shares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Companies Act (as amended) of the Cayman Islands, the Series B Non-Voting Preferred Shares shall have no voting rights. However, as long as any Series B Non-Voting Preferred Shares are issued and outstanding, the Company shall not, without the affirmative vote of the holders of a majority of the then issued and outstanding Series B Non-Voting Preferred Shares: (i) alter or change adversely the powers, preferences or rights given to the Series B Non-Voting Preferred Shares or alter or amend the rights, powers, preferences and other terms of the Preferred Shares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(including this Description of Rights), or file any articles of amendment, descriptions of rights,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majority of the shares in the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or any other Section of this Certificate of Designation may be taken at a meeting of the Holders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Shares remains issued and outstanding, (i) the holders of record of the Series B Non-Voting Preferred Shares, exclusively and voting together as a separate class on an as-converted to Ordinary Shares basis, shall be entitled to elect four directors of the Company (the “</w:t>
      </w:r>
      <w:r>
        <w:rPr>
          <w:rFonts w:ascii="Times New Roman" w:hAnsi="Times New Roman"/>
          <w:b/>
          <w:i/>
          <w:sz w:val="20"/>
        </w:rPr>
        <w:t>Preferred Directors</w:t>
      </w:r>
      <w:r>
        <w:rPr>
          <w:rFonts w:ascii="Times New Roman" w:hAnsi="Times New Roman"/>
          <w:sz w:val="20"/>
        </w:rPr>
        <w:t>”); and (iii) the holders of record of the Ordinary Shares and of any other class or series of voting share (including the Series B Non-Voting Preferred Shares), exclusively and voting together as a single class on an as-converted to Ordinary Shares basis, shall be entitled to elect the balance of the total number of directors of the Company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Shares without a separate action by the holders of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Series B Non-Voting Preferred Shares, given either at a meeting of the Holders duly called for that purpose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the Series B Non-Voting Preferred Shares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Shares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issued and outstanding Series B Non-Voting Preferred Shares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The Series B Non-Voting Preferred Shares shall rank on parity with the Ordinary Shares, the Company’s Series A Convertible Preferred Shares as to distributions of assets upon liquidation, winding up or subsequent dissolution of the Company,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winding-up or subsequent dissolution of the Company,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sz w:val="20"/>
        </w:rPr>
        <w:t>pari passu</w:t>
      </w:r>
      <w:r>
        <w:rPr>
          <w:rFonts w:ascii="Times New Roman" w:hAnsi="Times New Roman"/>
          <w:sz w:val="20"/>
        </w:rPr>
        <w:t xml:space="preserve"> 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Series B Non-Voting Preferred Share then issued and outstanding shall be convertible, at any time and from time to time, at the option of the Holder thereof, into a number of Ordinary Shares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Company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Company’s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Series B Non-Voting Preferred Shares shall be 1,000 Ordinary Shares issuable upon the conversion (the “</w:t>
      </w:r>
      <w:r>
        <w:rPr>
          <w:rFonts w:ascii="Times New Roman" w:hAnsi="Times New Roman"/>
          <w:b/>
          <w:i/>
          <w:sz w:val="20"/>
        </w:rPr>
        <w:t>Conversion</w:t>
      </w:r>
      <w:r>
        <w:rPr>
          <w:rFonts w:ascii="Times New Roman" w:hAnsi="Times New Roman"/>
          <w:sz w:val="20"/>
        </w:rPr>
        <w:t xml:space="preserve">”) of each Series B Non-Voting Preferred Share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Company shall not effect any conversion of any Series B Non-Voting Preferred Share, and a Holder shall not have the right to convert any portion of the Series B Non-Voting Preferred Shares pursuant to </w:t>
      </w:r>
      <w:r>
        <w:rPr>
          <w:rFonts w:ascii="Times New Roman" w:hAnsi="Times New Roman"/>
          <w:sz w:val="20"/>
          <w:u w:val="single"/>
        </w:rPr>
        <w:t>Section 6.2</w:t>
      </w:r>
      <w:r>
        <w:rPr>
          <w:rFonts w:ascii="Times New Roman" w:hAnsi="Times New Roman"/>
          <w:sz w:val="20"/>
        </w:rPr>
        <w:t xml:space="preserve">, to the extent that, after giving effect to such attempted conversion set forth on an applicable Notice of Conversion (as defined in this Description of Rights) with respect to the Series B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issued and outstanding Ordinary Shares, a Holder may rely on the number of authorized but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authorized but then issued and outstanding. Upon the written request of a Holder (which may be by email), the Company shall, within two (2) Trading Days thereof, confirm in writing to such Holder (which may be via email) the number of Ordinary Shares authorized but then issued and outstanding. In any case, the number of issued and outstanding Ordinary Shares shall be determined after giving effect to any actual conversion or exercise of securities of the Company, including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Ordinary Shares issued and outstanding or deemed to be outstanding as of the applicable measurement date, and such percentage shall be set at 19.99% for any Holder that does not make such designation in the Purchase Agreement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Ordinary Shares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share certificates or otherwise direct the return of any Ordinary Shares delivered to the Holder through the DWAC system, representing the Series B Non-Voting Preferred Shares unsuccessfully tendered for conversion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the Series B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initial issuance of the Series B Non-Voting Preferred Share, the Company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Company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Series B Non-Voting Preferred Shares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Company covenants that at all times it will reserve and keep available out of its authorized and unissued shares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issued and outstanding Series B Non-Voting Preferred Shares. The Company covenants that all Ordinary Shares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Shareholder</w:t>
      </w:r>
      <w:r>
        <w:rPr>
          <w:rFonts w:ascii="Times New Roman" w:hAnsi="Times New Roman"/>
          <w:sz w:val="20"/>
        </w:rPr>
        <w:t xml:space="preserve">.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Description of Rights. In all cases, the Holder shall retain all of its rights and remedies for the Company’s failure to convert Series B Non-Voting Preferred Share.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Share Dividends and Share Splits</w:t>
      </w:r>
      <w:r>
        <w:rPr>
          <w:rFonts w:ascii="Times New Roman" w:hAnsi="Times New Roman"/>
          <w:sz w:val="20"/>
        </w:rPr>
        <w:t xml:space="preserve">. If the Company, at any time while Series B Non-Voting Preferred Shares are issued and outstanding: (A) pays a share dividend or otherwise makes a distribution or distributions payable in Ordinary Shares (which, for avoidance of doubt, shall not include any Ordinary Shares issued by the Company upon conversion of this Series B Non-Voting Preferred Share) with respect to the then outstanding Ordinary Shares; (B) subdivides issued and outstanding Ordinary Shares into a larger number of shares; or (C) combines (including by way of a reverse share split)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outstanding immediately before such event (excluding any treasury shares of the Company).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shareholders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the Series B Non-Voting Preferred Shares are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by the Company is completed pursuant to which more than 50% of the Ordinary Shares not held by the Company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xml:space="preserve">) to which the Ordinary Shares are effectively converted into or exchanged for other securities, cash or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such case, a “</w:t>
      </w:r>
      <w:r>
        <w:rPr>
          <w:rFonts w:ascii="Times New Roman" w:hAnsi="Times New Roman"/>
          <w:b/>
          <w:i/>
          <w:sz w:val="20"/>
        </w:rPr>
        <w:t>Fundamental Transaction</w:t>
      </w:r>
      <w:r>
        <w:rPr>
          <w:rFonts w:ascii="Times New Roman" w:hAnsi="Times New Roman"/>
          <w:sz w:val="20"/>
        </w:rPr>
        <w:t>”), then, upon any subsequent conversion of the Series B Non-Voting Preferred Shares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the Series B Non-Voting Preferred Shares following such Fundamental Transaction. To the extent necessary to effectuate the foregoing provisions, any successor to the Company or surviving entity in such Fundamental Transaction shall file a new description of terms, certificate of designations or similar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the Series B Non-Voting Preferred Shares (or any such replacement security) will be similarly adjusted upon any subsequent transaction analogous to a Fundamental Transaction. The Company shall cause to be delivered to each Holder, at its last address as it shall appear upon the share registers of the Company,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Ordinary Shares deemed to be issued as of a given date shall be the sum of the number of Ordinary Shares (excluding any treasury shares of the Company) issued.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Series B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Series B Non-Voting Preferred Shares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Share Register</w:t>
      </w:r>
      <w:r>
        <w:rPr>
          <w:rFonts w:ascii="Times New Roman" w:hAnsi="Times New Roman"/>
          <w:sz w:val="20"/>
        </w:rPr>
        <w:t xml:space="preserve">. The Company shall maintain at its principal executive offices (or such other office or agency of the Company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Share,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 The Company may deem and treat the registered Holder of Series B Non-Voting Preferred Shares as the absolute owner thereof for the purpose of any conversion thereof and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purposes. The Company shall keep the register open and available at all times during business hours for inspection by any Holder of Series B Non-Voting Preferred Shares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Shares will be issued in book-entry form; provided that, if a Holder requests that such Holder’s of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Share Certificate</w:t>
      </w:r>
      <w:r>
        <w:rPr>
          <w:rFonts w:ascii="Times New Roman" w:hAnsi="Times New Roman"/>
          <w:sz w:val="20"/>
        </w:rPr>
        <w:t xml:space="preserve">. If a Holder’s Series B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B Non-Voting Preferred Share so mutilated, lost, stolen or destroyed, but only upon receipt of evidence of such loss, theft or destruction of such certificate, and of the ownership hereof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Company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Company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Company or a Holder must be in writing. Notwithstanding any provision in this Description of Rights to the contrary, any provision contained herein and any right of the Holders of Series B Non-Voting Preferred Shares granted hereunder may be waived as to all Series B Non-Voting Preferred Shares (and the Holders thereof) upon the written consent of the Holders of not less than a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Share</w:t>
      </w:r>
      <w:r>
        <w:rPr>
          <w:rFonts w:ascii="Times New Roman" w:hAnsi="Times New Roman"/>
          <w:sz w:val="20"/>
        </w:rPr>
        <w:t xml:space="preserve">. If any Series B Non-Voting Preferred Shares shall be converted or redeemed by the Company, such shares shall, to the fullest extent permitted by applicable law, be retired and cancelled upon such acquisition, and shall not be reissued as Series B Non-Voting Preferred Shares. Any Series B Non-Voting Preferred Shares so acquired shall, upon its retirement and cancellation, and upon the taking of any action required by applicable law, resume the status of authorized but unissued preferred shares and shall no longer be designated as Series B Non-Voting Preferred Shares.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Korsana Biosciences, Inc</w:t>
      </w:r>
      <w:r>
        <w:rPr>
          <w:rFonts w:ascii="Times New Roman" w:hAnsi="Times New Roman"/>
          <w:sz w:val="20"/>
        </w:rPr>
        <w:t xml:space="preserve">. has caused this Certificate of Designation of Preferences, Rights and Limitations of Series B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SERIES B NON-VOTING CONVERTIBLE PREFERRED SHARE)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Series B Non-Voting Preferred Shares indicated below, represented in book-entry form, into ordinary shares of $0.0001 par value (the “</w:t>
      </w:r>
      <w:r>
        <w:rPr>
          <w:rFonts w:ascii="Times New Roman" w:hAnsi="Times New Roman"/>
          <w:b/>
          <w:i/>
          <w:sz w:val="20"/>
        </w:rPr>
        <w:t>Ordinary Shares</w:t>
      </w:r>
      <w:r>
        <w:rPr>
          <w:rFonts w:ascii="Times New Roman" w:hAnsi="Times New Roman"/>
          <w:sz w:val="20"/>
        </w:rPr>
        <w:t>”), of Korsana Biosciences, Inc. (the “</w:t>
      </w:r>
      <w:r>
        <w:rPr>
          <w:rFonts w:ascii="Times New Roman" w:hAnsi="Times New Roman"/>
          <w:b/>
          <w:sz w:val="20"/>
        </w:rPr>
        <w:t>Company</w:t>
      </w:r>
      <w:r>
        <w:rPr>
          <w:rFonts w:ascii="Times New Roman" w:hAnsi="Times New Roman"/>
          <w:sz w:val="20"/>
        </w:rPr>
        <w:t xml:space="preserve">”), an exempted company incorporated in the Cayman Islands with limited liability,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Amended and Restated Memorandum and Articles of Association adopted by special resolution on [  ], 2026 or the Certificate of Designation of Preferences Rights and Limitations of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3"/>
        <w:gridCol w:w="101"/>
        <w:gridCol w:w="1531"/>
      </w:tblGrid>
      <w:tr>
        <w:trPr/>
        <w:tc>
          <w:tcPr>
            <w:tcW w:w="8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Date to Effect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owned prior to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to be Converted: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Ordinary Shares to be Issued: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Address for delivery of physical certificates:</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For DWAC Delivery, please provide the following:</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Name: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Title: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7" w:name="tx111069_61"/>
      <w:bookmarkEnd w:id="227"/>
      <w:r>
        <w:rPr>
          <w:rFonts w:ascii="Times New Roman" w:hAnsi="Times New Roman"/>
          <w:b/>
          <w:sz w:val="20"/>
        </w:rPr>
        <w:t xml:space="preserve">Annex P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Stock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Korsana Biosciences, Inc. and its stockholders by providing stock-based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Restricted Stock Units and Other Stock-Based Awards and for Incentive Bonuses, which may be paid in cash, Common Stock or a combination thereof, as determined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or no contest to: (A) a felony or (B) any misdemeanor involving moral turpitude, deceit, dishonesty or fraud; (iii) failure to perform in all material respects the Participant’s assigned duties and responsibilities; (iv) gross negligence, willful misconduct that results in or is reasonably anticipated to result in material harm to the Company; (v) violation of any material provision of any agreement(s) between the Participant and the Company; or (vi) material violation of any written Company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stockholders of the Company in substantially the same proportions as their ownership of the Company immediately prior to such sale.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Common Stock</w:t>
      </w:r>
      <w:r>
        <w:rPr>
          <w:rFonts w:ascii="Times New Roman" w:hAnsi="Times New Roman"/>
          <w:sz w:val="20"/>
        </w:rPr>
        <w:t xml:space="preserve">” means the common stock of the Company, no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Company</w:t>
      </w:r>
      <w:r>
        <w:rPr>
          <w:rFonts w:ascii="Times New Roman" w:hAnsi="Times New Roman"/>
          <w:sz w:val="20"/>
        </w:rPr>
        <w:t xml:space="preserve">” means Korsana Biosciences, Inc., a Massachusetts corporation, and except as utilized in the definition of Change in Control, any successor corporation.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b/>
          <w:i/>
          <w:sz w:val="20"/>
        </w:rPr>
        <w:t>Dividend Equivalent</w:t>
      </w:r>
      <w:r>
        <w:rPr>
          <w:rFonts w:ascii="Times New Roman" w:hAnsi="Times New Roman"/>
          <w:sz w:val="20"/>
        </w:rPr>
        <w:t xml:space="preserve">” means an amount payable in cash or Common Stock, as determined by the Committee, equal to the dividends that would have been paid to the Participant if the share of Common Stock with respect to which the Dividend Equivalent relates had been owned by the Participant.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Eligible Person</w:t>
      </w:r>
      <w:r>
        <w:rPr>
          <w:rFonts w:ascii="Times New Roman" w:hAnsi="Times New Roman"/>
          <w:sz w:val="20"/>
        </w:rPr>
        <w:t xml:space="preserve">”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of a share of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Option</w:t>
      </w:r>
      <w:r>
        <w:rPr>
          <w:rFonts w:ascii="Times New Roman" w:hAnsi="Times New Roman"/>
          <w:sz w:val="20"/>
        </w:rPr>
        <w:t xml:space="preserve">”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(determined on an as-converted basis without regard to any limitations on such conversion).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(aa) “</w:t>
      </w:r>
      <w:r>
        <w:rPr>
          <w:rFonts w:ascii="Times New Roman" w:hAnsi="Times New Roman"/>
          <w:b/>
          <w:i/>
          <w:sz w:val="20"/>
        </w:rPr>
        <w:t>Prior Plan</w:t>
      </w:r>
      <w:r>
        <w:rPr>
          <w:rFonts w:ascii="Times New Roman" w:hAnsi="Times New Roman"/>
          <w:sz w:val="20"/>
        </w:rPr>
        <w:t xml:space="preserve">” means the Korsana Biosciences, Inc. 2025 Equity Incentive Plan.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Restricted Stock</w:t>
      </w:r>
      <w:r>
        <w:rPr>
          <w:rFonts w:ascii="Times New Roman" w:hAnsi="Times New Roman"/>
          <w:sz w:val="20"/>
        </w:rPr>
        <w:t xml:space="preserve">” means an Award or issuance of Common Stock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i/>
          <w:sz w:val="20"/>
        </w:rPr>
        <w:t>Restricted Stock Unit</w:t>
      </w:r>
      <w:r>
        <w:rPr>
          <w:rFonts w:ascii="Times New Roman" w:hAnsi="Times New Roman"/>
          <w:sz w:val="20"/>
        </w:rPr>
        <w:t xml:space="preserve">” means an Award denominated in units of Common Stock under which the issuance of shares of such Common Stock (or cash payment in lieu thereof) is subject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i/>
          <w:sz w:val="20"/>
        </w:rPr>
        <w:t>Substitute Awards</w:t>
      </w:r>
      <w:r>
        <w:rPr>
          <w:rFonts w:ascii="Times New Roman" w:hAnsi="Times New Roman"/>
          <w:sz w:val="20"/>
        </w:rPr>
        <w:t xml:space="preserve">”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the Closing Date (as defined in the Merger Agreement) (the “</w:t>
      </w:r>
      <w:r>
        <w:rPr>
          <w:rFonts w:ascii="Times New Roman" w:hAnsi="Times New Roman"/>
          <w:b/>
          <w:i/>
          <w:sz w:val="20"/>
        </w:rPr>
        <w:t>Effective Date</w:t>
      </w:r>
      <w:r>
        <w:rPr>
          <w:rFonts w:ascii="Times New Roman" w:hAnsi="Times New Roman"/>
          <w:sz w:val="20"/>
        </w:rPr>
        <w:t xml:space="preserve">”). The Plan shall remain available for the grant of Awards until July 16, 2036.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Limits</w:t>
      </w:r>
      <w:r>
        <w:rPr>
          <w:rFonts w:ascii="Times New Roman" w:hAnsi="Times New Roman"/>
          <w:sz w:val="20"/>
        </w:rPr>
        <w:t xml:space="preserve">. The aggregate number of shares of Common Stock issuable under the Plan shall be equal to (i) 10%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all shares of Common Stock available for issuance under the Prior Plan as of the Effective Date (after giving effect to the transactions contemplated by the Merger Agreement) and the number of shares of Common Stock subject to any award outstanding under the Prior Plan as of the Effective Date (after giving effect to the transactions contemplated by the Merger Agreement) that after the Effective Date are not issued because such award is forfeited, canceled, terminates, expires or otherwise lapses without being exercised (to the extent applicable), or is settled in cash, </w:t>
      </w:r>
      <w:r>
        <w:rPr>
          <w:rFonts w:ascii="Times New Roman" w:hAnsi="Times New Roman"/>
          <w:i/>
          <w:sz w:val="20"/>
        </w:rPr>
        <w:t>plus</w:t>
      </w:r>
      <w:r>
        <w:rPr>
          <w:rFonts w:ascii="Times New Roman" w:hAnsi="Times New Roman"/>
          <w:sz w:val="20"/>
        </w:rPr>
        <w:t xml:space="preserve"> (iii)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Common Stock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shares of Common Stock than would otherwise occur pursuant to this sentence. The aggregate number of shares of Common Stock available for grant under this Plan and the number of shares of Common Stock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shares of Common Stock issued under this Plan may be shares that are authorized and unissued or shares that were reacquired by the Company, including shares purchased in the open market or in private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Substitute Awards</w:t>
      </w:r>
      <w:r>
        <w:rPr>
          <w:rFonts w:ascii="Times New Roman" w:hAnsi="Times New Roman"/>
          <w:sz w:val="20"/>
        </w:rPr>
        <w:t xml:space="preserve">.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Times New Roman" w:hAnsi="Times New Roman"/>
          <w:i/>
          <w:sz w:val="20"/>
        </w:rPr>
        <w:t>provided, however</w:t>
      </w:r>
      <w:r>
        <w:rPr>
          <w:rFonts w:ascii="Times New Roman" w:hAnsi="Times New Roman"/>
          <w:sz w:val="20"/>
        </w:rPr>
        <w:t xml:space="preserve">, that Awards using such available shares (i) shall not be made after the date awards or grants could have been made under the terms of the pre-existing plan, absent the acquisition or combination, (ii) shall only be made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who were not employees or service providers of the Company or its Affiliates at the time of such acquisition or combination, and (iii) shall comply with the requirements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Tax Code Limits</w:t>
      </w:r>
      <w:r>
        <w:rPr>
          <w:rFonts w:ascii="Times New Roman" w:hAnsi="Times New Roman"/>
          <w:sz w:val="20"/>
        </w:rPr>
        <w:t xml:space="preserve">. The aggregate number of shares of Common Stock that may be issued pursuant to the exercise of Incentive Stock Options granted under this Plan shall be equal to 60,000,000,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$750,000 during any full calendar year following the Effective Date of this Plan;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most senior officer in the Finance department,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12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Rights of a Stockholder</w:t>
      </w:r>
      <w:r>
        <w:rPr>
          <w:rFonts w:ascii="Times New Roman" w:hAnsi="Times New Roman"/>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Fractional Shares</w:t>
      </w:r>
      <w:r>
        <w:rPr>
          <w:rFonts w:ascii="Times New Roman" w:hAnsi="Times New Roman"/>
          <w:sz w:val="20"/>
        </w:rPr>
        <w:t xml:space="preserve">. No fractional shares of Common Stock shall be issued pursuant to an Award or in settlement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including an irrevocable commitment by a broker to pay over such amount from a sale of the shares of Common Stock issuable under an Option, the delivery of previously owned shares of Common Stock or withholding of shares of Common Stock otherwise deliverable upon exercise.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shares of Common Stock to the Company in payment of the exercise price and/or tax withholding obligation under any other employee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Option or any shares of Common Stock subject to an Option until the Participant has become the holder of record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Common Stock, other Awards, or other property, as the Committee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Common Stock,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on may be adjusted by the Committee on the basis of such further considerations as the Committee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shares of Common Stock,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Common Stock.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performance criteria, and other terms to reflect the foregoing events, which adjustments need not be uniform as between different Awards or different types of Awards. No fractional shares of Common Stock shall be issued or issuable pursuant to such an adjustment.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increase the maximum number of shares of Common Stock for which Awards may be granted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24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240" w:after="0"/>
        <w:jc w:val="left"/>
        <w:rPr>
          <w:rFonts w:ascii="Times New Roman" w:hAnsi="Times New Roman"/>
          <w:sz w:val="20"/>
        </w:rPr>
      </w:pPr>
      <w:r>
        <w:rPr>
          <w:rFonts w:ascii="Times New Roman" w:hAnsi="Times New Roman"/>
          <w:sz w:val="20"/>
        </w:rPr>
        <w:t xml:space="preserve">(d) otherwise amend the Plan in any manner requiring stockholder approval by law or the rules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association on which the Company’s securities are listed or as is otherwise required by the Rule 10D-1 under the Exchange Act or other applicable law. 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8" w:name="tx111069_62"/>
      <w:bookmarkEnd w:id="228"/>
      <w:r>
        <w:rPr>
          <w:rFonts w:ascii="Times New Roman" w:hAnsi="Times New Roman"/>
          <w:b/>
          <w:sz w:val="20"/>
        </w:rPr>
        <w:t xml:space="preserve">Annex Q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Common Stock</w:t>
      </w:r>
      <w:r>
        <w:rPr>
          <w:rFonts w:ascii="Times New Roman" w:hAnsi="Times New Roman"/>
          <w:sz w:val="20"/>
        </w:rPr>
        <w:t xml:space="preserve">” means the common stock of the Company, no par value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Company</w:t>
      </w:r>
      <w:r>
        <w:rPr>
          <w:rFonts w:ascii="Times New Roman" w:hAnsi="Times New Roman"/>
          <w:sz w:val="20"/>
        </w:rPr>
        <w:t xml:space="preserve">” means Korsana Biosciences, Inc., a Massachusetts corporation, and any successor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date of adoption of the Plan, the Designated Subsidiaries consist exclusively of Korsana Biosciences Operating Company LLC.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Effective Date</w:t>
      </w:r>
      <w:r>
        <w:rPr>
          <w:rFonts w:ascii="Times New Roman" w:hAnsi="Times New Roman"/>
          <w:sz w:val="20"/>
        </w:rPr>
        <w:t xml:space="preserve">” means the Closing Date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any calendar year. For purposes of the Plan, the employment relationship shall be treated as continuing intact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per share.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Period</w:t>
      </w:r>
      <w:r>
        <w:rPr>
          <w:rFonts w:ascii="Times New Roman" w:hAnsi="Times New Roman"/>
          <w:sz w:val="20"/>
        </w:rPr>
        <w:t xml:space="preserve">” means the period during an Offering Period during which shares of Common Stock may be purchased on a Participant’s behalf in accordance with the terms of the Plan, as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Purchase Price</w:t>
      </w:r>
      <w:r>
        <w:rPr>
          <w:rFonts w:ascii="Times New Roman" w:hAnsi="Times New Roman"/>
          <w:sz w:val="20"/>
        </w:rPr>
        <w:t xml:space="preserve">” means an amount equal to 85% of the Fair Market Value of a share of Common Stock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Trading Day</w:t>
      </w:r>
      <w:r>
        <w:rPr>
          <w:rFonts w:ascii="Times New Roman" w:hAnsi="Times New Roman"/>
          <w:sz w:val="20"/>
        </w:rPr>
        <w:t xml:space="preserve">” means a day on which the national stock exchange upon which the Common Stock is listed is open for trading or, if the Common Stock is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$25,000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to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that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shares of Common Stock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shares of Common Stock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240" w:after="0"/>
        <w:jc w:val="left"/>
        <w:rPr>
          <w:rFonts w:ascii="Times New Roman" w:hAnsi="Times New Roman"/>
          <w:sz w:val="20"/>
        </w:rPr>
      </w:pPr>
      <w:r>
        <w:rPr>
          <w:rFonts w:ascii="Times New Roman" w:hAnsi="Times New Roman"/>
          <w:sz w:val="20"/>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w:t>
      </w:r>
      <w:r>
        <w:rPr>
          <w:rFonts w:ascii="Times New Roman" w:hAnsi="Times New Roman"/>
          <w:sz w:val="20"/>
          <w:u w:val="single"/>
        </w:rPr>
        <w:t>Section 18</w:t>
      </w:r>
      <w:r>
        <w:rPr>
          <w:rFonts w:ascii="Times New Roman" w:hAnsi="Times New Roman"/>
          <w:sz w:val="20"/>
        </w:rPr>
        <w:t xml:space="preserve"> hereof, the maximum number of shares of Common Stock that will be made available for sale under the Plan shall be equal to (i) a number equal to the lesser of (x) 1,000,000 or (y) 1%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the lesser of (x) 2,000,000 or (y) 1% of the Outstanding Common Stock on the preceding December 31; </w:t>
      </w:r>
      <w:r>
        <w:rPr>
          <w:rFonts w:ascii="Times New Roman" w:hAnsi="Times New Roman"/>
          <w:i/>
          <w:sz w:val="20"/>
        </w:rPr>
        <w:t>provided, however</w:t>
      </w:r>
      <w:r>
        <w:rPr>
          <w:rFonts w:ascii="Times New Roman" w:hAnsi="Times New Roman"/>
          <w:sz w:val="20"/>
        </w:rPr>
        <w:t xml:space="preserve">, that the Administrator may provide that there will be no January 1 increase in the Share Pool for any such year or that the increase in the Share Pool for any such year will be a smaller number of shares of Common Stock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Shares of Common Stock to be delivered to a Participant under the Plan will be registered in the name of the Participant or in the name of the Participant and his or her spouse.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most senior officer in the Finance department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shares of Common Stock are issued, Participants will only have the rights of an unsecured creditor with respect to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shares of Common Stock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Shares of Common Stock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stockholders of the Company within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_____ Original Application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 xml:space="preserve">Offering Date: </w:t>
            </w:r>
            <w:r>
              <w:rPr>
                <w:u w:val="single"/>
              </w:rPr>
              <w:t>     </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_____ Change in Payroll Deduction Rate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1.           hereby elects to participate in the Korsana Biosciences,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Common Stock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 of my Compensation on each payday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Common Stock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Shares of Common Stock purchased for me under the Plan should be issued in the name(s) of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holding period,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9"/>
        <w:gridCol w:w="102"/>
        <w:gridCol w:w="5614"/>
      </w:tblGrid>
      <w:tr>
        <w:trPr/>
        <w:tc>
          <w:tcPr>
            <w:tcW w:w="448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614" w:type="dxa"/>
            <w:tcBorders/>
            <w:vAlign w:val="center"/>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489" w:type="dxa"/>
            <w:tcBorders/>
            <w:vAlign w:val="center"/>
          </w:tcPr>
          <w:p>
            <w:pPr>
              <w:pStyle w:val="TableContents"/>
              <w:bidi w:val="0"/>
              <w:spacing w:before="0" w:after="283"/>
              <w:jc w:val="left"/>
              <w:rPr>
                <w:sz w:val="4"/>
                <w:szCs w:val="4"/>
              </w:rPr>
            </w:pPr>
            <w:r>
              <w:rPr>
                <w:sz w:val="4"/>
                <w:szCs w:val="4"/>
              </w:rPr>
            </w:r>
          </w:p>
        </w:tc>
        <w:tc>
          <w:tcPr>
            <w:tcW w:w="5716" w:type="dxa"/>
            <w:gridSpan w:val="2"/>
            <w:tcBorders/>
            <w:vAlign w:val="center"/>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4"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489" w:type="dxa"/>
            <w:tcBorders/>
            <w:vAlign w:val="center"/>
          </w:tcPr>
          <w:p>
            <w:pPr>
              <w:pStyle w:val="TableContents"/>
              <w:bidi w:val="0"/>
              <w:spacing w:before="0" w:after="283"/>
              <w:jc w:val="left"/>
              <w:rPr>
                <w:sz w:val="4"/>
                <w:szCs w:val="4"/>
              </w:rPr>
            </w:pPr>
            <w:r>
              <w:rPr>
                <w:sz w:val="4"/>
                <w:szCs w:val="4"/>
              </w:rPr>
            </w:r>
          </w:p>
        </w:tc>
        <w:tc>
          <w:tcPr>
            <w:tcW w:w="5716" w:type="dxa"/>
            <w:gridSpan w:val="2"/>
            <w:tcBorders/>
            <w:vAlign w:val="center"/>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1"/>
        <w:gridCol w:w="101"/>
        <w:gridCol w:w="510"/>
        <w:gridCol w:w="102"/>
        <w:gridCol w:w="510"/>
        <w:gridCol w:w="101"/>
        <w:gridCol w:w="4390"/>
      </w:tblGrid>
      <w:tr>
        <w:trPr/>
        <w:tc>
          <w:tcPr>
            <w:tcW w:w="449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90" w:type="dxa"/>
            <w:tcBorders/>
            <w:vAlign w:val="center"/>
          </w:tcPr>
          <w:p>
            <w:pPr>
              <w:pStyle w:val="TableContents"/>
              <w:bidi w:val="0"/>
              <w:spacing w:before="0" w:after="283"/>
              <w:jc w:val="left"/>
              <w:rPr>
                <w:sz w:val="4"/>
                <w:szCs w:val="4"/>
              </w:rPr>
            </w:pPr>
            <w:r>
              <w:rPr>
                <w:sz w:val="4"/>
                <w:szCs w:val="4"/>
              </w:rPr>
            </w:r>
          </w:p>
        </w:tc>
      </w:tr>
      <w:tr>
        <w:trPr/>
        <w:tc>
          <w:tcPr>
            <w:tcW w:w="4491"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Date: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390"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Korsana Biosciences, Inc. 2026 Employee Stock Purchase Plan that began on      ,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102"/>
        <w:gridCol w:w="5613"/>
      </w:tblGrid>
      <w:tr>
        <w:trPr/>
        <w:tc>
          <w:tcPr>
            <w:tcW w:w="449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613"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Participant’s Name: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3"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490" w:type="dxa"/>
            <w:tcBorders/>
            <w:vAlign w:val="center"/>
          </w:tcPr>
          <w:p>
            <w:pPr>
              <w:pStyle w:val="TableContents"/>
              <w:bidi w:val="0"/>
              <w:spacing w:before="0" w:after="283"/>
              <w:jc w:val="left"/>
              <w:rPr>
                <w:sz w:val="4"/>
                <w:szCs w:val="4"/>
              </w:rPr>
            </w:pPr>
            <w:r>
              <w:rPr>
                <w:sz w:val="4"/>
                <w:szCs w:val="4"/>
              </w:rPr>
            </w:r>
          </w:p>
        </w:tc>
        <w:tc>
          <w:tcPr>
            <w:tcW w:w="5715" w:type="dxa"/>
            <w:gridSpan w:val="2"/>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Participant’s Address:</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3"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490" w:type="dxa"/>
            <w:tcBorders/>
            <w:vAlign w:val="center"/>
          </w:tcPr>
          <w:p>
            <w:pPr>
              <w:pStyle w:val="TableContents"/>
              <w:bidi w:val="0"/>
              <w:spacing w:before="0" w:after="283"/>
              <w:jc w:val="left"/>
              <w:rPr>
                <w:sz w:val="4"/>
                <w:szCs w:val="4"/>
              </w:rPr>
            </w:pPr>
            <w:r>
              <w:rPr>
                <w:sz w:val="4"/>
                <w:szCs w:val="4"/>
              </w:rPr>
            </w:r>
          </w:p>
        </w:tc>
        <w:tc>
          <w:tcPr>
            <w:tcW w:w="5715" w:type="dxa"/>
            <w:gridSpan w:val="2"/>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61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1"/>
        <w:gridCol w:w="101"/>
        <w:gridCol w:w="510"/>
        <w:gridCol w:w="102"/>
        <w:gridCol w:w="510"/>
        <w:gridCol w:w="101"/>
        <w:gridCol w:w="4390"/>
      </w:tblGrid>
      <w:tr>
        <w:trPr/>
        <w:tc>
          <w:tcPr>
            <w:tcW w:w="449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90" w:type="dxa"/>
            <w:tcBorders/>
            <w:vAlign w:val="center"/>
          </w:tcPr>
          <w:p>
            <w:pPr>
              <w:pStyle w:val="TableContents"/>
              <w:bidi w:val="0"/>
              <w:spacing w:before="0" w:after="283"/>
              <w:jc w:val="left"/>
              <w:rPr>
                <w:sz w:val="4"/>
                <w:szCs w:val="4"/>
              </w:rPr>
            </w:pPr>
            <w:r>
              <w:rPr>
                <w:sz w:val="4"/>
                <w:szCs w:val="4"/>
              </w:rPr>
            </w:r>
          </w:p>
        </w:tc>
      </w:tr>
      <w:tr>
        <w:trPr/>
        <w:tc>
          <w:tcPr>
            <w:tcW w:w="4491"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Date: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390"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9" w:name="tx111069_63"/>
      <w:bookmarkEnd w:id="229"/>
      <w:r>
        <w:rPr>
          <w:rFonts w:ascii="Times New Roman" w:hAnsi="Times New Roman"/>
          <w:b/>
          <w:sz w:val="20"/>
        </w:rPr>
        <w:t xml:space="preserve">Annex R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736663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65800" cy="736663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0880" cy="5729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70880" cy="572960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833</Pages>
  <Words>469342</Words>
  <Characters>2565084</Characters>
  <CharactersWithSpaces>3046843</CharactersWithSpaces>
  <Paragraphs>31990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